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D6863C">
      <w:pPr>
        <w:rPr>
          <w:rFonts w:hint="default" w:ascii="Times New Roman" w:hAnsi="Times New Roman" w:eastAsia="仿宋_GB2312" w:cs="Times New Roman"/>
          <w:color w:val="auto"/>
          <w:sz w:val="36"/>
          <w:szCs w:val="36"/>
          <w:highlight w:val="none"/>
        </w:rPr>
      </w:pPr>
    </w:p>
    <w:p w14:paraId="0C0082F8">
      <w:pPr>
        <w:rPr>
          <w:rFonts w:hint="default" w:ascii="Times New Roman" w:hAnsi="Times New Roman" w:eastAsia="仿宋_GB2312" w:cs="Times New Roman"/>
          <w:color w:val="auto"/>
          <w:sz w:val="36"/>
          <w:szCs w:val="36"/>
          <w:highlight w:val="none"/>
        </w:rPr>
      </w:pPr>
    </w:p>
    <w:p w14:paraId="6AEBA0A2">
      <w:pPr>
        <w:rPr>
          <w:rFonts w:hint="default" w:ascii="Times New Roman" w:hAnsi="Times New Roman" w:eastAsia="仿宋_GB2312" w:cs="Times New Roman"/>
          <w:color w:val="auto"/>
          <w:sz w:val="36"/>
          <w:szCs w:val="36"/>
          <w:highlight w:val="none"/>
        </w:rPr>
      </w:pPr>
    </w:p>
    <w:p w14:paraId="14873475">
      <w:pPr>
        <w:rPr>
          <w:rFonts w:hint="default" w:ascii="Times New Roman" w:hAnsi="Times New Roman" w:eastAsia="仿宋_GB2312" w:cs="Times New Roman"/>
          <w:color w:val="auto"/>
          <w:sz w:val="36"/>
          <w:szCs w:val="36"/>
          <w:highlight w:val="none"/>
        </w:rPr>
      </w:pPr>
    </w:p>
    <w:p w14:paraId="6B7E2E64">
      <w:pPr>
        <w:rPr>
          <w:rFonts w:hint="default" w:ascii="Times New Roman" w:hAnsi="Times New Roman" w:eastAsia="仿宋_GB2312" w:cs="Times New Roman"/>
          <w:color w:val="auto"/>
          <w:sz w:val="36"/>
          <w:szCs w:val="36"/>
          <w:highlight w:val="none"/>
        </w:rPr>
      </w:pPr>
    </w:p>
    <w:p w14:paraId="2FCF6021">
      <w:pPr>
        <w:adjustRightInd w:val="0"/>
        <w:snapToGrid w:val="0"/>
        <w:jc w:val="center"/>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0D4FBB3F">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14:paraId="16B1D6C7">
      <w:pPr>
        <w:adjustRightInd w:val="0"/>
        <w:snapToGrid w:val="0"/>
        <w:spacing w:line="288" w:lineRule="auto"/>
        <w:jc w:val="center"/>
        <w:rPr>
          <w:rFonts w:hint="default" w:ascii="Times New Roman" w:hAnsi="Times New Roman" w:eastAsia="华文仿宋" w:cs="Times New Roman"/>
          <w:color w:val="auto"/>
          <w:kern w:val="44"/>
          <w:sz w:val="44"/>
          <w:szCs w:val="44"/>
          <w:highlight w:val="none"/>
          <w:lang w:val="en-US" w:eastAsia="zh-CN"/>
        </w:rPr>
      </w:pPr>
    </w:p>
    <w:p w14:paraId="1B362D26">
      <w:pPr>
        <w:jc w:val="center"/>
        <w:rPr>
          <w:rFonts w:hint="default" w:ascii="Times New Roman" w:hAnsi="Times New Roman" w:eastAsia="仿宋" w:cs="Times New Roman"/>
          <w:color w:val="auto"/>
          <w:sz w:val="52"/>
          <w:szCs w:val="52"/>
          <w:highlight w:val="none"/>
        </w:rPr>
      </w:pPr>
    </w:p>
    <w:p w14:paraId="46FA4754">
      <w:pPr>
        <w:ind w:firstLine="1040"/>
        <w:rPr>
          <w:rFonts w:hint="default" w:ascii="Times New Roman" w:hAnsi="Times New Roman" w:eastAsia="仿宋" w:cs="Times New Roman"/>
          <w:color w:val="auto"/>
          <w:sz w:val="44"/>
          <w:szCs w:val="44"/>
          <w:highlight w:val="none"/>
        </w:rPr>
      </w:pPr>
    </w:p>
    <w:p w14:paraId="57637D80">
      <w:pPr>
        <w:ind w:firstLine="1040"/>
        <w:rPr>
          <w:rFonts w:hint="default" w:ascii="Times New Roman" w:hAnsi="Times New Roman" w:eastAsia="仿宋" w:cs="Times New Roman"/>
          <w:color w:val="auto"/>
          <w:sz w:val="44"/>
          <w:szCs w:val="44"/>
          <w:highlight w:val="none"/>
        </w:rPr>
      </w:pPr>
    </w:p>
    <w:p w14:paraId="30CA64D7">
      <w:pPr>
        <w:ind w:firstLine="1040"/>
        <w:rPr>
          <w:rFonts w:hint="default" w:ascii="Times New Roman" w:hAnsi="Times New Roman" w:eastAsia="仿宋" w:cs="Times New Roman"/>
          <w:color w:val="auto"/>
          <w:sz w:val="44"/>
          <w:szCs w:val="44"/>
          <w:highlight w:val="none"/>
        </w:rPr>
      </w:pPr>
    </w:p>
    <w:p w14:paraId="41C6F67A">
      <w:pPr>
        <w:ind w:firstLine="1040"/>
        <w:rPr>
          <w:rFonts w:hint="default" w:ascii="Times New Roman" w:hAnsi="Times New Roman" w:eastAsia="仿宋" w:cs="Times New Roman"/>
          <w:color w:val="auto"/>
          <w:sz w:val="44"/>
          <w:szCs w:val="44"/>
          <w:highlight w:val="none"/>
        </w:rPr>
      </w:pPr>
    </w:p>
    <w:p w14:paraId="44D84879">
      <w:pPr>
        <w:adjustRightInd w:val="0"/>
        <w:snapToGrid w:val="0"/>
        <w:spacing w:line="288" w:lineRule="auto"/>
        <w:jc w:val="center"/>
        <w:rPr>
          <w:rFonts w:hint="default" w:ascii="Times New Roman" w:hAnsi="Times New Roman" w:eastAsia="仿宋_GB2312" w:cs="Times New Roman"/>
          <w:color w:val="auto"/>
          <w:sz w:val="32"/>
          <w:szCs w:val="32"/>
          <w:highlight w:val="none"/>
          <w:u w:val="single"/>
          <w:lang w:val="en-US"/>
        </w:rPr>
      </w:pPr>
      <w:r>
        <w:rPr>
          <w:rFonts w:hint="default" w:ascii="Times New Roman" w:hAnsi="Times New Roman" w:eastAsia="仿宋_GB2312" w:cs="Times New Roman"/>
          <w:color w:val="auto"/>
          <w:sz w:val="32"/>
          <w:szCs w:val="32"/>
          <w:highlight w:val="none"/>
        </w:rPr>
        <w:t>项目名称：</w:t>
      </w:r>
      <w:r>
        <w:rPr>
          <w:rFonts w:hint="eastAsia" w:ascii="Times New Roman" w:hAnsi="Times New Roman" w:eastAsia="仿宋_GB2312" w:cs="Times New Roman"/>
          <w:color w:val="auto"/>
          <w:sz w:val="32"/>
          <w:szCs w:val="32"/>
          <w:highlight w:val="none"/>
          <w:u w:val="single"/>
          <w:lang w:val="en-US" w:eastAsia="zh-CN"/>
        </w:rPr>
        <w:t>昊志高端装备智能制造项目</w:t>
      </w:r>
      <w:r>
        <w:rPr>
          <w:rFonts w:hint="eastAsia" w:eastAsia="仿宋_GB2312" w:cs="Times New Roman"/>
          <w:color w:val="auto"/>
          <w:sz w:val="32"/>
          <w:szCs w:val="32"/>
          <w:highlight w:val="none"/>
          <w:u w:val="single"/>
          <w:lang w:val="en-US" w:eastAsia="zh-CN"/>
        </w:rPr>
        <w:t>（一期）重大变动</w:t>
      </w:r>
    </w:p>
    <w:p w14:paraId="1267A546">
      <w:pPr>
        <w:adjustRightInd w:val="0"/>
        <w:snapToGrid w:val="0"/>
        <w:spacing w:line="288" w:lineRule="auto"/>
        <w:jc w:val="center"/>
        <w:rPr>
          <w:rFonts w:hint="default" w:ascii="Times New Roman" w:hAnsi="Times New Roman" w:eastAsia="仿宋_GB2312" w:cs="Times New Roman"/>
          <w:color w:val="auto"/>
          <w:sz w:val="32"/>
          <w:szCs w:val="32"/>
          <w:highlight w:val="none"/>
          <w:u w:val="single"/>
          <w:lang w:val="en-US"/>
        </w:rPr>
      </w:pPr>
      <w:r>
        <w:rPr>
          <w:rFonts w:hint="default" w:ascii="Times New Roman" w:hAnsi="Times New Roman" w:eastAsia="仿宋_GB2312" w:cs="Times New Roman"/>
          <w:color w:val="auto"/>
          <w:sz w:val="32"/>
          <w:szCs w:val="32"/>
          <w:highlight w:val="none"/>
        </w:rPr>
        <w:t>建设单位（盖章）：</w:t>
      </w:r>
      <w:r>
        <w:rPr>
          <w:rFonts w:hint="eastAsia" w:ascii="Times New Roman" w:hAnsi="Times New Roman" w:eastAsia="仿宋_GB2312" w:cs="Times New Roman"/>
          <w:color w:val="auto"/>
          <w:sz w:val="32"/>
          <w:szCs w:val="32"/>
          <w:highlight w:val="none"/>
          <w:u w:val="single"/>
          <w:lang w:val="en-US" w:eastAsia="zh-CN"/>
        </w:rPr>
        <w:t xml:space="preserve"> 湖南昊志传动机械有限公司</w:t>
      </w:r>
    </w:p>
    <w:p w14:paraId="11AD1ED2">
      <w:pPr>
        <w:adjustRightInd w:val="0"/>
        <w:snapToGrid w:val="0"/>
        <w:spacing w:line="288" w:lineRule="auto"/>
        <w:jc w:val="center"/>
        <w:rPr>
          <w:rFonts w:hint="default" w:ascii="Times New Roman" w:hAnsi="Times New Roman" w:eastAsia="仿宋_GB2312" w:cs="Times New Roman"/>
          <w:color w:val="auto"/>
          <w:sz w:val="32"/>
          <w:szCs w:val="32"/>
          <w:highlight w:val="none"/>
          <w:u w:val="single"/>
          <w:lang w:val="en-US" w:eastAsia="zh-CN"/>
        </w:rPr>
      </w:pPr>
      <w:r>
        <w:rPr>
          <w:rFonts w:hint="default" w:ascii="Times New Roman" w:hAnsi="Times New Roman" w:eastAsia="仿宋_GB2312" w:cs="Times New Roman"/>
          <w:color w:val="auto"/>
          <w:sz w:val="32"/>
          <w:szCs w:val="32"/>
          <w:highlight w:val="none"/>
        </w:rPr>
        <w:t>编制日期：</w:t>
      </w:r>
      <w:r>
        <w:rPr>
          <w:rFonts w:hint="default" w:ascii="Times New Roman" w:hAnsi="Times New Roman" w:eastAsia="仿宋_GB2312" w:cs="Times New Roman"/>
          <w:color w:val="auto"/>
          <w:sz w:val="32"/>
          <w:szCs w:val="32"/>
          <w:highlight w:val="none"/>
          <w:u w:val="single"/>
        </w:rPr>
        <w:t>20</w:t>
      </w:r>
      <w:r>
        <w:rPr>
          <w:rFonts w:hint="eastAsia" w:eastAsia="仿宋_GB2312" w:cs="Times New Roman"/>
          <w:color w:val="auto"/>
          <w:sz w:val="32"/>
          <w:szCs w:val="32"/>
          <w:highlight w:val="none"/>
          <w:u w:val="single"/>
          <w:lang w:val="en-US" w:eastAsia="zh-CN"/>
        </w:rPr>
        <w:t>26</w:t>
      </w:r>
      <w:r>
        <w:rPr>
          <w:rFonts w:hint="default" w:ascii="Times New Roman" w:hAnsi="Times New Roman" w:eastAsia="仿宋_GB2312" w:cs="Times New Roman"/>
          <w:color w:val="auto"/>
          <w:sz w:val="32"/>
          <w:szCs w:val="32"/>
          <w:highlight w:val="none"/>
          <w:u w:val="single"/>
        </w:rPr>
        <w:t>年</w:t>
      </w:r>
      <w:r>
        <w:rPr>
          <w:rFonts w:hint="eastAsia" w:eastAsia="仿宋_GB2312" w:cs="Times New Roman"/>
          <w:color w:val="auto"/>
          <w:sz w:val="32"/>
          <w:szCs w:val="32"/>
          <w:highlight w:val="none"/>
          <w:u w:val="single"/>
          <w:lang w:val="en-US" w:eastAsia="zh-CN"/>
        </w:rPr>
        <w:t>2</w:t>
      </w:r>
      <w:r>
        <w:rPr>
          <w:rFonts w:hint="default" w:ascii="Times New Roman" w:hAnsi="Times New Roman" w:eastAsia="仿宋_GB2312" w:cs="Times New Roman"/>
          <w:color w:val="auto"/>
          <w:sz w:val="32"/>
          <w:szCs w:val="32"/>
          <w:highlight w:val="none"/>
          <w:u w:val="single"/>
        </w:rPr>
        <w:t>月</w:t>
      </w:r>
    </w:p>
    <w:p w14:paraId="40CFA032">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bookmarkStart w:id="0" w:name="_Hlk57884087"/>
    </w:p>
    <w:p w14:paraId="69E63A21">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5A729AF7">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0D3F30DB">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62360513">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0C455E50">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0"/>
    <w:p w14:paraId="31693987">
      <w:pPr>
        <w:adjustRightInd w:val="0"/>
        <w:snapToGrid w:val="0"/>
        <w:spacing w:line="288" w:lineRule="auto"/>
        <w:jc w:val="cente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14:paraId="4C0F5894">
      <w:pPr>
        <w:adjustRightInd w:val="0"/>
        <w:snapToGrid w:val="0"/>
        <w:spacing w:line="288" w:lineRule="auto"/>
        <w:jc w:val="center"/>
        <w:rPr>
          <w:rFonts w:hint="default" w:ascii="Times New Roman" w:hAnsi="Times New Roman" w:eastAsia="楷体_GB2312" w:cs="Times New Roman"/>
          <w:color w:val="auto"/>
          <w:sz w:val="36"/>
          <w:szCs w:val="36"/>
          <w:highlight w:val="none"/>
        </w:rPr>
      </w:pPr>
    </w:p>
    <w:p w14:paraId="08B4776B">
      <w:pPr>
        <w:adjustRightInd w:val="0"/>
        <w:snapToGrid w:val="0"/>
        <w:spacing w:line="288" w:lineRule="auto"/>
        <w:jc w:val="center"/>
        <w:rPr>
          <w:rFonts w:hint="eastAsia" w:ascii="Times New Roman" w:hAnsi="Times New Roman" w:eastAsia="楷体_GB2312" w:cs="Times New Roman"/>
          <w:color w:val="auto"/>
          <w:sz w:val="36"/>
          <w:szCs w:val="36"/>
          <w:highlight w:val="none"/>
          <w:lang w:eastAsia="zh-CN"/>
        </w:rPr>
      </w:pPr>
    </w:p>
    <w:p w14:paraId="248C5540">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黑体" w:cs="Times New Roman"/>
          <w:b w:val="0"/>
          <w:bCs w:val="0"/>
          <w:color w:val="auto"/>
          <w:sz w:val="30"/>
          <w:szCs w:val="30"/>
          <w:highlight w:val="none"/>
          <w:lang w:val="en-US" w:eastAsia="zh-CN"/>
        </w:rPr>
      </w:pPr>
      <w:r>
        <w:rPr>
          <w:rFonts w:hint="default" w:ascii="Times New Roman" w:hAnsi="Times New Roman" w:eastAsia="黑体" w:cs="Times New Roman"/>
          <w:b w:val="0"/>
          <w:bCs w:val="0"/>
          <w:color w:val="auto"/>
          <w:sz w:val="30"/>
          <w:szCs w:val="30"/>
          <w:highlight w:val="none"/>
          <w:lang w:val="en-US" w:eastAsia="zh-CN"/>
        </w:rPr>
        <w:t>目  录</w:t>
      </w:r>
    </w:p>
    <w:p w14:paraId="046CCC5F">
      <w:pPr>
        <w:pStyle w:val="12"/>
        <w:rPr>
          <w:rFonts w:hint="default"/>
          <w:color w:val="auto"/>
          <w:lang w:val="en-US" w:eastAsia="zh-CN"/>
        </w:rPr>
      </w:pPr>
    </w:p>
    <w:p w14:paraId="3DD99632">
      <w:pPr>
        <w:pStyle w:val="25"/>
        <w:keepNext w:val="0"/>
        <w:keepLines w:val="0"/>
        <w:pageBreakBefore w:val="0"/>
        <w:widowControl w:val="0"/>
        <w:tabs>
          <w:tab w:val="right" w:leader="dot" w:pos="8844"/>
        </w:tabs>
        <w:kinsoku/>
        <w:wordWrap/>
        <w:overflowPunct/>
        <w:topLinePunct w:val="0"/>
        <w:autoSpaceDE/>
        <w:autoSpaceDN/>
        <w:bidi w:val="0"/>
        <w:snapToGrid/>
        <w:spacing w:line="360" w:lineRule="auto"/>
        <w:textAlignment w:val="auto"/>
        <w:rPr>
          <w:rFonts w:hint="default" w:ascii="Times New Roman" w:hAnsi="Times New Roman" w:cs="Times New Roman"/>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TOC \o "1-2" \h \u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_Toc28009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一、建设项目基本情况</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_Toc28009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14:paraId="33897776">
      <w:pPr>
        <w:pStyle w:val="25"/>
        <w:keepNext w:val="0"/>
        <w:keepLines w:val="0"/>
        <w:pageBreakBefore w:val="0"/>
        <w:widowControl w:val="0"/>
        <w:tabs>
          <w:tab w:val="right" w:leader="dot" w:pos="8844"/>
        </w:tabs>
        <w:kinsoku/>
        <w:wordWrap/>
        <w:overflowPunct/>
        <w:topLinePunct w:val="0"/>
        <w:autoSpaceDE/>
        <w:autoSpaceDN/>
        <w:bidi w:val="0"/>
        <w:snapToGrid/>
        <w:spacing w:line="360" w:lineRule="auto"/>
        <w:textAlignment w:val="auto"/>
        <w:rPr>
          <w:rFonts w:hint="default" w:ascii="Times New Roman" w:hAnsi="Times New Roman" w:cs="Times New Roman"/>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_Toc24733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二、建设项目工程分析</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_Toc24733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16</w:t>
      </w:r>
      <w:r>
        <w:rPr>
          <w:rFonts w:hint="default" w:ascii="Times New Roman" w:hAnsi="Times New Roman" w:cs="Times New Roman"/>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14:paraId="0BBB452F">
      <w:pPr>
        <w:pStyle w:val="25"/>
        <w:keepNext w:val="0"/>
        <w:keepLines w:val="0"/>
        <w:pageBreakBefore w:val="0"/>
        <w:widowControl w:val="0"/>
        <w:tabs>
          <w:tab w:val="right" w:leader="dot" w:pos="8844"/>
        </w:tabs>
        <w:kinsoku/>
        <w:wordWrap/>
        <w:overflowPunct/>
        <w:topLinePunct w:val="0"/>
        <w:autoSpaceDE/>
        <w:autoSpaceDN/>
        <w:bidi w:val="0"/>
        <w:snapToGrid/>
        <w:spacing w:line="360" w:lineRule="auto"/>
        <w:textAlignment w:val="auto"/>
        <w:rPr>
          <w:rFonts w:hint="default" w:ascii="Times New Roman" w:hAnsi="Times New Roman" w:cs="Times New Roman"/>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_Toc2071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三、区域环境质量现状、环境保护目标及评价标准</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_Toc2071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41</w:t>
      </w:r>
      <w:r>
        <w:rPr>
          <w:rFonts w:hint="default" w:ascii="Times New Roman" w:hAnsi="Times New Roman" w:cs="Times New Roman"/>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14:paraId="54E7DED6">
      <w:pPr>
        <w:pStyle w:val="25"/>
        <w:keepNext w:val="0"/>
        <w:keepLines w:val="0"/>
        <w:pageBreakBefore w:val="0"/>
        <w:widowControl w:val="0"/>
        <w:tabs>
          <w:tab w:val="right" w:leader="dot" w:pos="8844"/>
        </w:tabs>
        <w:kinsoku/>
        <w:wordWrap/>
        <w:overflowPunct/>
        <w:topLinePunct w:val="0"/>
        <w:autoSpaceDE/>
        <w:autoSpaceDN/>
        <w:bidi w:val="0"/>
        <w:snapToGrid/>
        <w:spacing w:line="360" w:lineRule="auto"/>
        <w:textAlignment w:val="auto"/>
        <w:rPr>
          <w:rFonts w:hint="default" w:ascii="Times New Roman" w:hAnsi="Times New Roman" w:cs="Times New Roman"/>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_Toc148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四、主要环境影响和保护措施</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_Toc148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47</w:t>
      </w:r>
      <w:r>
        <w:rPr>
          <w:rFonts w:hint="default" w:ascii="Times New Roman" w:hAnsi="Times New Roman" w:cs="Times New Roman"/>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14:paraId="25A51331">
      <w:pPr>
        <w:pStyle w:val="25"/>
        <w:keepNext w:val="0"/>
        <w:keepLines w:val="0"/>
        <w:pageBreakBefore w:val="0"/>
        <w:widowControl w:val="0"/>
        <w:tabs>
          <w:tab w:val="right" w:leader="dot" w:pos="8844"/>
        </w:tabs>
        <w:kinsoku/>
        <w:wordWrap/>
        <w:overflowPunct/>
        <w:topLinePunct w:val="0"/>
        <w:autoSpaceDE/>
        <w:autoSpaceDN/>
        <w:bidi w:val="0"/>
        <w:snapToGrid/>
        <w:spacing w:line="360" w:lineRule="auto"/>
        <w:textAlignment w:val="auto"/>
        <w:rPr>
          <w:rFonts w:hint="default" w:ascii="Times New Roman" w:hAnsi="Times New Roman" w:cs="Times New Roman"/>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_Toc28805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五、环境保护措施监督检查清单</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_Toc28805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84</w:t>
      </w:r>
      <w:r>
        <w:rPr>
          <w:rFonts w:hint="default" w:ascii="Times New Roman" w:hAnsi="Times New Roman" w:cs="Times New Roman"/>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14:paraId="266ECE82">
      <w:pPr>
        <w:pStyle w:val="25"/>
        <w:keepNext w:val="0"/>
        <w:keepLines w:val="0"/>
        <w:pageBreakBefore w:val="0"/>
        <w:widowControl w:val="0"/>
        <w:tabs>
          <w:tab w:val="right" w:leader="dot" w:pos="8844"/>
        </w:tabs>
        <w:kinsoku/>
        <w:wordWrap/>
        <w:overflowPunct/>
        <w:topLinePunct w:val="0"/>
        <w:autoSpaceDE/>
        <w:autoSpaceDN/>
        <w:bidi w:val="0"/>
        <w:snapToGrid/>
        <w:spacing w:line="360" w:lineRule="auto"/>
        <w:textAlignment w:val="auto"/>
        <w:rPr>
          <w:rFonts w:hint="default" w:ascii="Times New Roman" w:hAnsi="Times New Roman" w:cs="Times New Roman"/>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_Toc25015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六、结论</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_Toc25015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87</w:t>
      </w:r>
      <w:r>
        <w:rPr>
          <w:rFonts w:hint="default" w:ascii="Times New Roman" w:hAnsi="Times New Roman" w:cs="Times New Roman"/>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14:paraId="1DB822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仿宋_GB2312" w:cs="Times New Roman"/>
          <w:color w:val="auto"/>
          <w:sz w:val="24"/>
          <w:szCs w:val="24"/>
          <w:highlight w:val="none"/>
        </w:rPr>
        <w:fldChar w:fldCharType="end"/>
      </w:r>
    </w:p>
    <w:p w14:paraId="3576A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附图：</w:t>
      </w:r>
    </w:p>
    <w:p w14:paraId="624BB36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 xml:space="preserve">附图1  项目地理位置图 </w:t>
      </w:r>
    </w:p>
    <w:p w14:paraId="36CAB06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附图2  项目总平面布置图</w:t>
      </w:r>
    </w:p>
    <w:p w14:paraId="6AFFE10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附图3  环境保护目标分布图</w:t>
      </w:r>
    </w:p>
    <w:p w14:paraId="7F2BDF7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default"/>
          <w:lang w:val="en-US" w:eastAsia="zh-CN"/>
        </w:rPr>
        <w:t>附图</w:t>
      </w:r>
      <w:r>
        <w:rPr>
          <w:rFonts w:hint="eastAsia"/>
          <w:lang w:val="en-US" w:eastAsia="zh-CN"/>
        </w:rPr>
        <w:t>4</w:t>
      </w:r>
      <w:r>
        <w:rPr>
          <w:rFonts w:hint="default"/>
          <w:lang w:val="en-US" w:eastAsia="zh-CN"/>
        </w:rPr>
        <w:t xml:space="preserve">  </w:t>
      </w:r>
      <w:r>
        <w:rPr>
          <w:rFonts w:hint="eastAsia"/>
          <w:lang w:val="en-US" w:eastAsia="zh-CN"/>
        </w:rPr>
        <w:t>土地利用规划图</w:t>
      </w:r>
    </w:p>
    <w:p w14:paraId="4DD0FB9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附图5  雨水走向图</w:t>
      </w:r>
    </w:p>
    <w:p w14:paraId="440D770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附图6  污水走向图</w:t>
      </w:r>
    </w:p>
    <w:p w14:paraId="726BE8F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附图7  现状检测点位布置图</w:t>
      </w:r>
    </w:p>
    <w:p w14:paraId="298C1A2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附图8  现场照片</w:t>
      </w:r>
    </w:p>
    <w:p w14:paraId="63E94A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rPr>
      </w:pPr>
    </w:p>
    <w:p w14:paraId="57E53722">
      <w:pPr>
        <w:pStyle w:val="12"/>
        <w:keepNext w:val="0"/>
        <w:keepLines w:val="0"/>
        <w:pageBreakBefore w:val="0"/>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b w:val="0"/>
          <w:bCs w:val="0"/>
          <w:color w:val="auto"/>
          <w:sz w:val="24"/>
          <w:szCs w:val="24"/>
          <w:highlight w:val="none"/>
        </w:rPr>
      </w:pPr>
    </w:p>
    <w:p w14:paraId="51DD8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附件：</w:t>
      </w:r>
    </w:p>
    <w:p w14:paraId="17BB8C19">
      <w:pPr>
        <w:pStyle w:val="12"/>
        <w:keepNext w:val="0"/>
        <w:keepLines w:val="0"/>
        <w:pageBreakBefore w:val="0"/>
        <w:widowControl/>
        <w:kinsoku/>
        <w:wordWrap/>
        <w:overflowPunct/>
        <w:topLinePunct w:val="0"/>
        <w:autoSpaceDE/>
        <w:autoSpaceDN/>
        <w:bidi w:val="0"/>
        <w:adjustRightInd/>
        <w:snapToGrid/>
        <w:spacing w:before="0" w:after="0" w:line="24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附件1  委托书</w:t>
      </w:r>
    </w:p>
    <w:p w14:paraId="009EC2C9">
      <w:pPr>
        <w:pStyle w:val="12"/>
        <w:keepNext w:val="0"/>
        <w:keepLines w:val="0"/>
        <w:pageBreakBefore w:val="0"/>
        <w:widowControl/>
        <w:kinsoku/>
        <w:wordWrap/>
        <w:overflowPunct/>
        <w:topLinePunct w:val="0"/>
        <w:autoSpaceDE/>
        <w:autoSpaceDN/>
        <w:bidi w:val="0"/>
        <w:adjustRightInd/>
        <w:snapToGrid/>
        <w:spacing w:before="0" w:after="0" w:line="24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 xml:space="preserve">  营业执照</w:t>
      </w:r>
    </w:p>
    <w:p w14:paraId="000A1708">
      <w:pPr>
        <w:pStyle w:val="12"/>
        <w:keepNext w:val="0"/>
        <w:keepLines w:val="0"/>
        <w:pageBreakBefore w:val="0"/>
        <w:widowControl/>
        <w:kinsoku/>
        <w:wordWrap/>
        <w:overflowPunct/>
        <w:topLinePunct w:val="0"/>
        <w:autoSpaceDE/>
        <w:autoSpaceDN/>
        <w:bidi w:val="0"/>
        <w:adjustRightInd/>
        <w:snapToGrid/>
        <w:spacing w:before="0" w:after="0" w:line="24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附件3  现有工程环评批复</w:t>
      </w:r>
    </w:p>
    <w:p w14:paraId="078E8DB0">
      <w:pPr>
        <w:pStyle w:val="12"/>
        <w:keepNext w:val="0"/>
        <w:keepLines w:val="0"/>
        <w:pageBreakBefore w:val="0"/>
        <w:widowControl/>
        <w:kinsoku/>
        <w:wordWrap/>
        <w:overflowPunct/>
        <w:topLinePunct w:val="0"/>
        <w:autoSpaceDE/>
        <w:autoSpaceDN/>
        <w:bidi w:val="0"/>
        <w:adjustRightInd/>
        <w:snapToGrid/>
        <w:spacing w:before="0" w:after="0" w:line="24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附件4  发改委备案</w:t>
      </w:r>
    </w:p>
    <w:p w14:paraId="368900D0">
      <w:pPr>
        <w:pStyle w:val="12"/>
        <w:keepNext w:val="0"/>
        <w:keepLines w:val="0"/>
        <w:pageBreakBefore w:val="0"/>
        <w:widowControl/>
        <w:kinsoku/>
        <w:wordWrap/>
        <w:overflowPunct/>
        <w:topLinePunct w:val="0"/>
        <w:autoSpaceDE/>
        <w:autoSpaceDN/>
        <w:bidi w:val="0"/>
        <w:adjustRightInd/>
        <w:snapToGrid/>
        <w:spacing w:before="0" w:after="0" w:line="240" w:lineRule="auto"/>
        <w:ind w:left="0" w:right="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 xml:space="preserve">  </w:t>
      </w:r>
      <w:r>
        <w:rPr>
          <w:rFonts w:hint="eastAsia" w:ascii="Times New Roman" w:hAnsi="Times New Roman" w:eastAsia="宋体" w:cs="Times New Roman"/>
          <w:b w:val="0"/>
          <w:bCs w:val="0"/>
          <w:color w:val="auto"/>
          <w:sz w:val="24"/>
          <w:szCs w:val="24"/>
          <w:highlight w:val="none"/>
          <w:lang w:val="en-US" w:eastAsia="zh-CN"/>
        </w:rPr>
        <w:t>联审意见</w:t>
      </w:r>
    </w:p>
    <w:p w14:paraId="798211D5">
      <w:pPr>
        <w:pStyle w:val="12"/>
        <w:keepNext w:val="0"/>
        <w:keepLines w:val="0"/>
        <w:pageBreakBefore w:val="0"/>
        <w:widowControl/>
        <w:kinsoku/>
        <w:wordWrap/>
        <w:overflowPunct/>
        <w:topLinePunct w:val="0"/>
        <w:autoSpaceDE/>
        <w:autoSpaceDN/>
        <w:bidi w:val="0"/>
        <w:adjustRightInd/>
        <w:snapToGrid/>
        <w:spacing w:before="0" w:after="0" w:line="24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附件6  工业用地证明</w:t>
      </w:r>
    </w:p>
    <w:p w14:paraId="42602EDF">
      <w:pPr>
        <w:pStyle w:val="12"/>
        <w:keepNext w:val="0"/>
        <w:keepLines w:val="0"/>
        <w:pageBreakBefore w:val="0"/>
        <w:widowControl/>
        <w:kinsoku/>
        <w:wordWrap/>
        <w:overflowPunct/>
        <w:topLinePunct w:val="0"/>
        <w:autoSpaceDE/>
        <w:autoSpaceDN/>
        <w:bidi w:val="0"/>
        <w:adjustRightInd/>
        <w:snapToGrid/>
        <w:spacing w:before="0" w:after="0" w:line="24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附件7  招商协议</w:t>
      </w:r>
    </w:p>
    <w:p w14:paraId="2E426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附件</w:t>
      </w:r>
      <w:r>
        <w:rPr>
          <w:rFonts w:hint="eastAsia" w:cs="Times New Roman"/>
          <w:b w:val="0"/>
          <w:bCs w:val="0"/>
          <w:color w:val="auto"/>
          <w:kern w:val="2"/>
          <w:sz w:val="24"/>
          <w:szCs w:val="24"/>
          <w:lang w:val="en-US" w:eastAsia="zh-CN" w:bidi="ar"/>
        </w:rPr>
        <w:t>8</w:t>
      </w:r>
      <w:r>
        <w:rPr>
          <w:rFonts w:hint="default" w:ascii="Times New Roman" w:hAnsi="Times New Roman" w:eastAsia="宋体" w:cs="Times New Roman"/>
          <w:b w:val="0"/>
          <w:bCs w:val="0"/>
          <w:color w:val="auto"/>
          <w:kern w:val="2"/>
          <w:sz w:val="24"/>
          <w:szCs w:val="24"/>
          <w:lang w:val="en-US" w:eastAsia="zh-CN" w:bidi="ar"/>
        </w:rPr>
        <w:t xml:space="preserve">  </w:t>
      </w:r>
      <w:r>
        <w:rPr>
          <w:rFonts w:hint="eastAsia" w:cs="Times New Roman"/>
          <w:b w:val="0"/>
          <w:bCs w:val="0"/>
          <w:color w:val="auto"/>
          <w:kern w:val="2"/>
          <w:sz w:val="24"/>
          <w:szCs w:val="24"/>
          <w:lang w:val="en-US" w:eastAsia="zh-CN" w:bidi="ar"/>
        </w:rPr>
        <w:t>防锈剂MSDS</w:t>
      </w:r>
    </w:p>
    <w:p w14:paraId="2DCAE923">
      <w:pPr>
        <w:pStyle w:val="12"/>
        <w:keepNext w:val="0"/>
        <w:keepLines w:val="0"/>
        <w:pageBreakBefore w:val="0"/>
        <w:widowControl/>
        <w:kinsoku/>
        <w:wordWrap/>
        <w:overflowPunct/>
        <w:topLinePunct w:val="0"/>
        <w:autoSpaceDE/>
        <w:autoSpaceDN/>
        <w:bidi w:val="0"/>
        <w:adjustRightInd/>
        <w:snapToGrid/>
        <w:spacing w:before="0" w:after="0" w:line="240" w:lineRule="auto"/>
        <w:ind w:left="0" w:right="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附件9  水性淬火剂MSDS</w:t>
      </w:r>
    </w:p>
    <w:p w14:paraId="5FAA289E">
      <w:pPr>
        <w:pStyle w:val="12"/>
        <w:keepNext w:val="0"/>
        <w:keepLines w:val="0"/>
        <w:pageBreakBefore w:val="0"/>
        <w:widowControl/>
        <w:kinsoku/>
        <w:wordWrap/>
        <w:overflowPunct/>
        <w:topLinePunct w:val="0"/>
        <w:autoSpaceDE/>
        <w:autoSpaceDN/>
        <w:bidi w:val="0"/>
        <w:adjustRightInd/>
        <w:snapToGrid/>
        <w:spacing w:before="0" w:after="0" w:line="24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附件10 </w:t>
      </w:r>
      <w:r>
        <w:rPr>
          <w:rFonts w:hint="eastAsia" w:ascii="Times New Roman" w:hAnsi="Times New Roman" w:cs="Times New Roman"/>
          <w:b w:val="0"/>
          <w:bCs w:val="0"/>
          <w:color w:val="auto"/>
          <w:sz w:val="24"/>
          <w:szCs w:val="24"/>
          <w:highlight w:val="none"/>
          <w:lang w:val="en-US" w:eastAsia="zh-CN"/>
        </w:rPr>
        <w:t xml:space="preserve"> </w:t>
      </w:r>
      <w:r>
        <w:rPr>
          <w:rFonts w:hint="eastAsia" w:ascii="Times New Roman" w:hAnsi="Times New Roman" w:eastAsia="宋体" w:cs="Times New Roman"/>
          <w:b w:val="0"/>
          <w:bCs w:val="0"/>
          <w:color w:val="auto"/>
          <w:sz w:val="24"/>
          <w:szCs w:val="24"/>
          <w:highlight w:val="none"/>
          <w:lang w:val="en-US" w:eastAsia="zh-CN"/>
        </w:rPr>
        <w:t>水性</w:t>
      </w:r>
      <w:r>
        <w:rPr>
          <w:rFonts w:hint="eastAsia" w:ascii="Times New Roman" w:hAnsi="Times New Roman" w:cs="Times New Roman"/>
          <w:b w:val="0"/>
          <w:bCs w:val="0"/>
          <w:color w:val="auto"/>
          <w:sz w:val="24"/>
          <w:szCs w:val="24"/>
          <w:highlight w:val="none"/>
          <w:lang w:val="en-US" w:eastAsia="zh-CN"/>
        </w:rPr>
        <w:t>清洗剂</w:t>
      </w:r>
    </w:p>
    <w:p w14:paraId="3444A647">
      <w:pPr>
        <w:pStyle w:val="12"/>
        <w:keepNext w:val="0"/>
        <w:keepLines w:val="0"/>
        <w:pageBreakBefore w:val="0"/>
        <w:widowControl/>
        <w:kinsoku/>
        <w:wordWrap/>
        <w:overflowPunct/>
        <w:topLinePunct w:val="0"/>
        <w:autoSpaceDE/>
        <w:autoSpaceDN/>
        <w:bidi w:val="0"/>
        <w:adjustRightInd/>
        <w:snapToGrid/>
        <w:spacing w:before="0" w:after="0" w:line="240" w:lineRule="auto"/>
        <w:ind w:left="0" w:right="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附件1</w:t>
      </w:r>
      <w:r>
        <w:rPr>
          <w:rFonts w:hint="eastAsia" w:ascii="Times New Roman" w:hAnsi="Times New Roman"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 xml:space="preserve">  现状检测报告</w:t>
      </w:r>
    </w:p>
    <w:p w14:paraId="5E11ADB1">
      <w:pPr>
        <w:pStyle w:val="12"/>
        <w:keepNext w:val="0"/>
        <w:keepLines w:val="0"/>
        <w:pageBreakBefore w:val="0"/>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b w:val="0"/>
          <w:bCs w:val="0"/>
          <w:color w:val="auto"/>
          <w:sz w:val="21"/>
          <w:szCs w:val="21"/>
          <w:highlight w:val="none"/>
        </w:rPr>
      </w:pPr>
    </w:p>
    <w:p w14:paraId="7FA7D3BE">
      <w:pPr>
        <w:keepNext w:val="0"/>
        <w:keepLines w:val="0"/>
        <w:pageBreakBefore w:val="0"/>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b w:val="0"/>
          <w:bCs w:val="0"/>
          <w:color w:val="auto"/>
          <w:sz w:val="21"/>
          <w:szCs w:val="21"/>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5FC19258">
      <w:pPr>
        <w:pStyle w:val="29"/>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1" w:name="_Toc28009"/>
      <w:r>
        <w:rPr>
          <w:rFonts w:hint="default" w:ascii="Times New Roman" w:hAnsi="Times New Roman" w:eastAsia="黑体" w:cs="Times New Roman"/>
          <w:snapToGrid w:val="0"/>
          <w:color w:val="auto"/>
          <w:sz w:val="30"/>
          <w:szCs w:val="30"/>
          <w:highlight w:val="none"/>
        </w:rPr>
        <w:t>一、建设项目基本情况</w:t>
      </w:r>
      <w:bookmarkEnd w:id="1"/>
    </w:p>
    <w:tbl>
      <w:tblPr>
        <w:tblStyle w:val="33"/>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98"/>
        <w:gridCol w:w="2272"/>
        <w:gridCol w:w="1696"/>
        <w:gridCol w:w="3204"/>
      </w:tblGrid>
      <w:tr w14:paraId="1568D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698" w:type="dxa"/>
            <w:noWrap w:val="0"/>
            <w:tcMar>
              <w:top w:w="16" w:type="dxa"/>
              <w:left w:w="16" w:type="dxa"/>
              <w:right w:w="16" w:type="dxa"/>
            </w:tcMar>
            <w:vAlign w:val="center"/>
          </w:tcPr>
          <w:p w14:paraId="44FA03D9">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建设项目名称</w:t>
            </w:r>
          </w:p>
        </w:tc>
        <w:tc>
          <w:tcPr>
            <w:tcW w:w="7172" w:type="dxa"/>
            <w:gridSpan w:val="3"/>
            <w:noWrap w:val="0"/>
            <w:vAlign w:val="center"/>
          </w:tcPr>
          <w:p w14:paraId="5535CA95">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昊志高端装备智能制造项目</w:t>
            </w:r>
            <w:r>
              <w:rPr>
                <w:rFonts w:hint="eastAsia" w:cs="Times New Roman"/>
                <w:color w:val="auto"/>
                <w:sz w:val="24"/>
                <w:szCs w:val="24"/>
                <w:highlight w:val="none"/>
                <w:lang w:val="en-US" w:eastAsia="zh-CN"/>
              </w:rPr>
              <w:t>（一期）重大变动</w:t>
            </w:r>
          </w:p>
        </w:tc>
      </w:tr>
      <w:tr w14:paraId="79ECD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1698" w:type="dxa"/>
            <w:noWrap w:val="0"/>
            <w:tcMar>
              <w:top w:w="16" w:type="dxa"/>
              <w:left w:w="16" w:type="dxa"/>
              <w:right w:w="16" w:type="dxa"/>
            </w:tcMar>
            <w:vAlign w:val="center"/>
          </w:tcPr>
          <w:p w14:paraId="680D2A21">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172" w:type="dxa"/>
            <w:gridSpan w:val="3"/>
            <w:noWrap w:val="0"/>
            <w:vAlign w:val="center"/>
          </w:tcPr>
          <w:p w14:paraId="1D07CE02">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2505-430600-04-01-522661</w:t>
            </w:r>
          </w:p>
        </w:tc>
      </w:tr>
      <w:tr w14:paraId="39783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698" w:type="dxa"/>
            <w:noWrap w:val="0"/>
            <w:tcMar>
              <w:top w:w="16" w:type="dxa"/>
              <w:left w:w="16" w:type="dxa"/>
              <w:right w:w="16" w:type="dxa"/>
            </w:tcMar>
            <w:vAlign w:val="center"/>
          </w:tcPr>
          <w:p w14:paraId="2CAB5E8C">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en-US"/>
              </w:rPr>
            </w:pPr>
            <w:r>
              <w:rPr>
                <w:rFonts w:hint="default" w:ascii="Times New Roman" w:hAnsi="Times New Roman" w:eastAsia="宋体" w:cs="Times New Roman"/>
                <w:color w:val="auto"/>
                <w:sz w:val="24"/>
                <w:szCs w:val="24"/>
                <w:highlight w:val="none"/>
                <w:lang w:val="en-US" w:eastAsia="en-US"/>
              </w:rPr>
              <w:t>建设单位联系人</w:t>
            </w:r>
          </w:p>
        </w:tc>
        <w:tc>
          <w:tcPr>
            <w:tcW w:w="2272" w:type="dxa"/>
            <w:noWrap w:val="0"/>
            <w:vAlign w:val="center"/>
          </w:tcPr>
          <w:p w14:paraId="591769BB">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任</w:t>
            </w:r>
            <w:r>
              <w:rPr>
                <w:rFonts w:hint="eastAsia" w:cs="Times New Roman"/>
                <w:color w:val="auto"/>
                <w:sz w:val="24"/>
                <w:szCs w:val="24"/>
                <w:highlight w:val="none"/>
                <w:lang w:val="en-US" w:eastAsia="zh-CN"/>
              </w:rPr>
              <w:t>****</w:t>
            </w:r>
          </w:p>
        </w:tc>
        <w:tc>
          <w:tcPr>
            <w:tcW w:w="1696" w:type="dxa"/>
            <w:noWrap w:val="0"/>
            <w:vAlign w:val="center"/>
          </w:tcPr>
          <w:p w14:paraId="34FB9A38">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3204" w:type="dxa"/>
            <w:noWrap w:val="0"/>
            <w:vAlign w:val="center"/>
          </w:tcPr>
          <w:p w14:paraId="25A72D10">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13</w:t>
            </w:r>
            <w:r>
              <w:rPr>
                <w:rFonts w:hint="eastAsia" w:cs="Times New Roman"/>
                <w:color w:val="auto"/>
                <w:sz w:val="24"/>
                <w:szCs w:val="24"/>
                <w:highlight w:val="none"/>
                <w:lang w:val="en-US" w:eastAsia="zh-CN"/>
              </w:rPr>
              <w:t>********</w:t>
            </w:r>
            <w:bookmarkStart w:id="14" w:name="_GoBack"/>
            <w:bookmarkEnd w:id="14"/>
          </w:p>
        </w:tc>
      </w:tr>
      <w:tr w14:paraId="37E75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98" w:type="dxa"/>
            <w:noWrap w:val="0"/>
            <w:tcMar>
              <w:top w:w="16" w:type="dxa"/>
              <w:left w:w="16" w:type="dxa"/>
              <w:right w:w="16" w:type="dxa"/>
            </w:tcMar>
            <w:vAlign w:val="center"/>
          </w:tcPr>
          <w:p w14:paraId="6B2D54B1">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172" w:type="dxa"/>
            <w:gridSpan w:val="3"/>
            <w:noWrap w:val="0"/>
            <w:vAlign w:val="center"/>
          </w:tcPr>
          <w:p w14:paraId="09E698BC">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kern w:val="0"/>
                <w:sz w:val="24"/>
                <w:szCs w:val="24"/>
                <w:u w:val="none" w:color="auto"/>
                <w:lang w:val="en-US" w:eastAsia="zh-CN"/>
              </w:rPr>
              <w:t>湘阴县湘阴高新技术产业开发区洋沙湖片区</w:t>
            </w:r>
            <w:r>
              <w:rPr>
                <w:rFonts w:hint="eastAsia" w:ascii="Times New Roman" w:hAnsi="Times New Roman" w:eastAsia="宋体" w:cs="Times New Roman"/>
                <w:color w:val="auto"/>
                <w:sz w:val="24"/>
                <w:szCs w:val="24"/>
                <w:highlight w:val="none"/>
                <w:lang w:val="en-US" w:eastAsia="zh-CN"/>
              </w:rPr>
              <w:t>健铭大道198</w:t>
            </w:r>
            <w:r>
              <w:rPr>
                <w:rFonts w:hint="eastAsia" w:ascii="Times New Roman" w:hAnsi="Times New Roman" w:eastAsia="宋体" w:cs="Times New Roman"/>
                <w:color w:val="auto"/>
                <w:sz w:val="24"/>
                <w:szCs w:val="24"/>
                <w:highlight w:val="none"/>
                <w:lang w:val="en-US" w:eastAsia="en-US"/>
              </w:rPr>
              <w:t>号</w:t>
            </w:r>
          </w:p>
        </w:tc>
      </w:tr>
      <w:tr w14:paraId="55A70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698" w:type="dxa"/>
            <w:noWrap w:val="0"/>
            <w:tcMar>
              <w:top w:w="16" w:type="dxa"/>
              <w:left w:w="16" w:type="dxa"/>
              <w:right w:w="16" w:type="dxa"/>
            </w:tcMar>
            <w:vAlign w:val="center"/>
          </w:tcPr>
          <w:p w14:paraId="243ECA53">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172" w:type="dxa"/>
            <w:gridSpan w:val="3"/>
            <w:noWrap w:val="0"/>
            <w:vAlign w:val="center"/>
          </w:tcPr>
          <w:p w14:paraId="2C66AC8D">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东经112°54′29.318″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北纬28°38′35.079″</w:t>
            </w:r>
          </w:p>
        </w:tc>
      </w:tr>
      <w:tr w14:paraId="512B1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8" w:type="dxa"/>
            <w:noWrap w:val="0"/>
            <w:tcMar>
              <w:top w:w="16" w:type="dxa"/>
              <w:left w:w="16" w:type="dxa"/>
              <w:right w:w="16" w:type="dxa"/>
            </w:tcMar>
            <w:vAlign w:val="center"/>
          </w:tcPr>
          <w:p w14:paraId="6C83C60F">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1B6D96C5">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272" w:type="dxa"/>
            <w:noWrap w:val="0"/>
            <w:vAlign w:val="center"/>
          </w:tcPr>
          <w:p w14:paraId="43218E49">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C3489其他通用零部件制造</w:t>
            </w:r>
            <w:r>
              <w:rPr>
                <w:rFonts w:hint="eastAsia" w:ascii="Times New Roman" w:hAnsi="Times New Roman" w:eastAsia="宋体" w:cs="Times New Roman"/>
                <w:color w:val="auto"/>
                <w:sz w:val="24"/>
                <w:szCs w:val="24"/>
                <w:highlight w:val="none"/>
                <w:lang w:eastAsia="zh-CN"/>
              </w:rPr>
              <w:t>；</w:t>
            </w:r>
          </w:p>
          <w:p w14:paraId="7069C92A">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C3360金属表面处理及热处理加工</w:t>
            </w:r>
          </w:p>
        </w:tc>
        <w:tc>
          <w:tcPr>
            <w:tcW w:w="1696" w:type="dxa"/>
            <w:noWrap w:val="0"/>
            <w:vAlign w:val="center"/>
          </w:tcPr>
          <w:p w14:paraId="0F08EFFC">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bookmarkStart w:id="2" w:name="_Hlk49843745"/>
            <w:r>
              <w:rPr>
                <w:rFonts w:hint="default" w:ascii="Times New Roman" w:hAnsi="Times New Roman" w:eastAsia="宋体" w:cs="Times New Roman"/>
                <w:color w:val="auto"/>
                <w:sz w:val="24"/>
                <w:szCs w:val="24"/>
                <w:highlight w:val="none"/>
                <w:lang w:val="en-US" w:eastAsia="zh-CN"/>
              </w:rPr>
              <w:t>建设项目</w:t>
            </w:r>
          </w:p>
          <w:p w14:paraId="2AA715C2">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行业类别</w:t>
            </w:r>
            <w:bookmarkEnd w:id="2"/>
          </w:p>
        </w:tc>
        <w:tc>
          <w:tcPr>
            <w:tcW w:w="3204" w:type="dxa"/>
            <w:noWrap w:val="0"/>
            <w:vAlign w:val="center"/>
          </w:tcPr>
          <w:p w14:paraId="76266346">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三十一、通用设备制造业 34；通用零部件制造 348；其他类</w:t>
            </w:r>
          </w:p>
          <w:p w14:paraId="60763B32">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三十、金属制品业 33；金属表面处理及热处理加工；其他类</w:t>
            </w:r>
          </w:p>
        </w:tc>
      </w:tr>
      <w:tr w14:paraId="615FD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8" w:type="dxa"/>
            <w:noWrap w:val="0"/>
            <w:tcMar>
              <w:top w:w="16" w:type="dxa"/>
              <w:left w:w="16" w:type="dxa"/>
              <w:right w:w="16" w:type="dxa"/>
            </w:tcMar>
            <w:vAlign w:val="center"/>
          </w:tcPr>
          <w:p w14:paraId="56366599">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272" w:type="dxa"/>
            <w:noWrap w:val="0"/>
            <w:vAlign w:val="center"/>
          </w:tcPr>
          <w:p w14:paraId="1A19123D">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14:paraId="14193E90">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改建</w:t>
            </w:r>
          </w:p>
          <w:p w14:paraId="255E1DC0">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扩建</w:t>
            </w:r>
          </w:p>
          <w:p w14:paraId="7452BE2B">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技术改造</w:t>
            </w:r>
          </w:p>
        </w:tc>
        <w:tc>
          <w:tcPr>
            <w:tcW w:w="1696" w:type="dxa"/>
            <w:noWrap w:val="0"/>
            <w:vAlign w:val="center"/>
          </w:tcPr>
          <w:p w14:paraId="5065D4AF">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建设项目申报情形</w:t>
            </w:r>
          </w:p>
        </w:tc>
        <w:tc>
          <w:tcPr>
            <w:tcW w:w="3204" w:type="dxa"/>
            <w:noWrap w:val="0"/>
            <w:vAlign w:val="center"/>
          </w:tcPr>
          <w:p w14:paraId="0AB47D80">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首次申报项目             </w:t>
            </w:r>
          </w:p>
          <w:p w14:paraId="7B5AD1D3">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不予批准后再次申报项目</w:t>
            </w:r>
          </w:p>
          <w:p w14:paraId="1A621021">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超五年重新审核项目     </w:t>
            </w:r>
          </w:p>
          <w:p w14:paraId="439487FD">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重大变动重新报批项目</w:t>
            </w:r>
          </w:p>
        </w:tc>
      </w:tr>
      <w:tr w14:paraId="74E17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698" w:type="dxa"/>
            <w:noWrap w:val="0"/>
            <w:tcMar>
              <w:top w:w="16" w:type="dxa"/>
              <w:left w:w="16" w:type="dxa"/>
              <w:right w:w="16" w:type="dxa"/>
            </w:tcMar>
            <w:vAlign w:val="center"/>
          </w:tcPr>
          <w:p w14:paraId="0E5B8504">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项目审批（核准/备案）部门（选填）</w:t>
            </w:r>
          </w:p>
        </w:tc>
        <w:tc>
          <w:tcPr>
            <w:tcW w:w="2272" w:type="dxa"/>
            <w:noWrap w:val="0"/>
            <w:vAlign w:val="center"/>
          </w:tcPr>
          <w:p w14:paraId="7CA068EA">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lang w:val="en-US" w:eastAsia="zh-CN"/>
              </w:rPr>
              <w:t>湘阴高新技术产业开发区管理委员会</w:t>
            </w:r>
          </w:p>
        </w:tc>
        <w:tc>
          <w:tcPr>
            <w:tcW w:w="1696" w:type="dxa"/>
            <w:noWrap w:val="0"/>
            <w:vAlign w:val="center"/>
          </w:tcPr>
          <w:p w14:paraId="7FB7D78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项目审批（核准/备案）文号（选填）</w:t>
            </w:r>
          </w:p>
        </w:tc>
        <w:tc>
          <w:tcPr>
            <w:tcW w:w="3204" w:type="dxa"/>
            <w:noWrap w:val="0"/>
            <w:vAlign w:val="center"/>
          </w:tcPr>
          <w:p w14:paraId="0C64781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湘阴高新审[2025]33号</w:t>
            </w:r>
          </w:p>
        </w:tc>
      </w:tr>
      <w:tr w14:paraId="4C191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1698" w:type="dxa"/>
            <w:noWrap w:val="0"/>
            <w:tcMar>
              <w:top w:w="16" w:type="dxa"/>
              <w:left w:w="16" w:type="dxa"/>
              <w:right w:w="16" w:type="dxa"/>
            </w:tcMar>
            <w:vAlign w:val="center"/>
          </w:tcPr>
          <w:p w14:paraId="0175C7DE">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272" w:type="dxa"/>
            <w:noWrap w:val="0"/>
            <w:vAlign w:val="center"/>
          </w:tcPr>
          <w:p w14:paraId="146491C2">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23226</w:t>
            </w:r>
          </w:p>
        </w:tc>
        <w:tc>
          <w:tcPr>
            <w:tcW w:w="1696" w:type="dxa"/>
            <w:noWrap w:val="0"/>
            <w:tcMar>
              <w:top w:w="16" w:type="dxa"/>
              <w:left w:w="16" w:type="dxa"/>
              <w:right w:w="16" w:type="dxa"/>
            </w:tcMar>
            <w:vAlign w:val="center"/>
          </w:tcPr>
          <w:p w14:paraId="16347319">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p w14:paraId="4D4FC04E">
            <w:pPr>
              <w:keepNext w:val="0"/>
              <w:keepLines w:val="0"/>
              <w:suppressLineNumbers w:val="0"/>
              <w:spacing w:before="0" w:beforeAutospacing="0" w:after="0" w:afterAutospacing="0"/>
              <w:ind w:left="0" w:right="0"/>
              <w:rPr>
                <w:rFonts w:hint="default"/>
              </w:rPr>
            </w:pPr>
          </w:p>
        </w:tc>
        <w:tc>
          <w:tcPr>
            <w:tcW w:w="3204" w:type="dxa"/>
            <w:noWrap w:val="0"/>
            <w:vAlign w:val="center"/>
          </w:tcPr>
          <w:p w14:paraId="6982E91A">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110</w:t>
            </w:r>
          </w:p>
        </w:tc>
      </w:tr>
      <w:tr w14:paraId="4F372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8" w:type="dxa"/>
            <w:noWrap w:val="0"/>
            <w:tcMar>
              <w:top w:w="16" w:type="dxa"/>
              <w:left w:w="16" w:type="dxa"/>
              <w:right w:w="16" w:type="dxa"/>
            </w:tcMar>
            <w:vAlign w:val="center"/>
          </w:tcPr>
          <w:p w14:paraId="426146C7">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p w14:paraId="5A3F1360">
            <w:pPr>
              <w:keepNext w:val="0"/>
              <w:keepLines w:val="0"/>
              <w:suppressLineNumbers w:val="0"/>
              <w:spacing w:before="0" w:beforeAutospacing="0" w:after="0" w:afterAutospacing="0"/>
              <w:ind w:left="0" w:right="0"/>
              <w:rPr>
                <w:rFonts w:hint="default"/>
              </w:rPr>
            </w:pPr>
          </w:p>
        </w:tc>
        <w:tc>
          <w:tcPr>
            <w:tcW w:w="2272" w:type="dxa"/>
            <w:noWrap w:val="0"/>
            <w:vAlign w:val="center"/>
          </w:tcPr>
          <w:p w14:paraId="03640368">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0.47</w:t>
            </w:r>
          </w:p>
        </w:tc>
        <w:tc>
          <w:tcPr>
            <w:tcW w:w="1696" w:type="dxa"/>
            <w:noWrap w:val="0"/>
            <w:tcMar>
              <w:top w:w="16" w:type="dxa"/>
              <w:left w:w="16" w:type="dxa"/>
              <w:right w:w="16" w:type="dxa"/>
            </w:tcMar>
            <w:vAlign w:val="center"/>
          </w:tcPr>
          <w:p w14:paraId="4202EB17">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204" w:type="dxa"/>
            <w:noWrap w:val="0"/>
            <w:vAlign w:val="center"/>
          </w:tcPr>
          <w:p w14:paraId="3EDD3C19">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1个月</w:t>
            </w:r>
          </w:p>
        </w:tc>
      </w:tr>
      <w:tr w14:paraId="1DD94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8" w:type="dxa"/>
            <w:noWrap w:val="0"/>
            <w:tcMar>
              <w:top w:w="16" w:type="dxa"/>
              <w:left w:w="16" w:type="dxa"/>
              <w:right w:w="16" w:type="dxa"/>
            </w:tcMar>
            <w:vAlign w:val="center"/>
          </w:tcPr>
          <w:p w14:paraId="6BD11BF8">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2272" w:type="dxa"/>
            <w:noWrap w:val="0"/>
            <w:vAlign w:val="center"/>
          </w:tcPr>
          <w:p w14:paraId="2E4F45BB">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否</w:t>
            </w:r>
          </w:p>
          <w:p w14:paraId="3E1CECE9">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是</w:t>
            </w:r>
            <w:r>
              <w:rPr>
                <w:rFonts w:hint="eastAsia" w:cs="Times New Roman"/>
                <w:color w:val="auto"/>
                <w:sz w:val="24"/>
                <w:szCs w:val="24"/>
                <w:highlight w:val="none"/>
                <w:lang w:eastAsia="zh-CN"/>
              </w:rPr>
              <w:t>：</w:t>
            </w:r>
            <w:r>
              <w:rPr>
                <w:rFonts w:hint="eastAsia" w:cs="Times New Roman"/>
                <w:color w:val="auto"/>
                <w:sz w:val="24"/>
                <w:szCs w:val="24"/>
                <w:highlight w:val="none"/>
                <w:u w:val="single"/>
                <w:lang w:val="en-US" w:eastAsia="zh-CN"/>
              </w:rPr>
              <w:t>主体厂房已经建设完成</w:t>
            </w:r>
            <w:r>
              <w:rPr>
                <w:rFonts w:hint="default" w:ascii="Times New Roman" w:hAnsi="Times New Roman" w:cs="Times New Roman"/>
                <w:color w:val="auto"/>
                <w:sz w:val="24"/>
                <w:szCs w:val="24"/>
                <w:highlight w:val="none"/>
                <w:u w:val="single"/>
              </w:rPr>
              <w:t xml:space="preserve"> </w:t>
            </w:r>
          </w:p>
        </w:tc>
        <w:tc>
          <w:tcPr>
            <w:tcW w:w="1696" w:type="dxa"/>
            <w:noWrap w:val="0"/>
            <w:tcMar>
              <w:top w:w="16" w:type="dxa"/>
              <w:left w:w="16" w:type="dxa"/>
              <w:right w:w="16" w:type="dxa"/>
            </w:tcMar>
            <w:vAlign w:val="center"/>
          </w:tcPr>
          <w:p w14:paraId="6548904B">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cs="Times New Roman"/>
                <w:color w:val="000000" w:themeColor="text1"/>
                <w:spacing w:val="-6"/>
                <w:sz w:val="24"/>
                <w:szCs w:val="24"/>
                <w:highlight w:val="none"/>
                <w:lang w:val="en-US" w:eastAsia="zh-CN"/>
                <w14:textFill>
                  <w14:solidFill>
                    <w14:schemeClr w14:val="tx1"/>
                  </w14:solidFill>
                </w14:textFill>
              </w:rPr>
              <w:t>用地</w:t>
            </w:r>
            <w:r>
              <w:rPr>
                <w:rFonts w:hint="default" w:ascii="Times New Roman" w:hAnsi="Times New Roman" w:cs="Times New Roman"/>
                <w:color w:val="000000" w:themeColor="text1"/>
                <w:spacing w:val="-6"/>
                <w:sz w:val="24"/>
                <w:szCs w:val="24"/>
                <w:highlight w:val="none"/>
                <w14:textFill>
                  <w14:solidFill>
                    <w14:schemeClr w14:val="tx1"/>
                  </w14:solidFill>
                </w14:textFill>
              </w:rPr>
              <w:t>面积（m</w:t>
            </w:r>
            <w:r>
              <w:rPr>
                <w:rFonts w:hint="default" w:ascii="Times New Roman" w:hAnsi="Times New Roman" w:cs="Times New Roman"/>
                <w:color w:val="000000" w:themeColor="text1"/>
                <w:spacing w:val="-6"/>
                <w:sz w:val="24"/>
                <w:szCs w:val="24"/>
                <w:highlight w:val="none"/>
                <w:vertAlign w:val="superscript"/>
                <w14:textFill>
                  <w14:solidFill>
                    <w14:schemeClr w14:val="tx1"/>
                  </w14:solidFill>
                </w14:textFill>
              </w:rPr>
              <w:t>2</w:t>
            </w:r>
            <w:r>
              <w:rPr>
                <w:rFonts w:hint="default" w:ascii="Times New Roman" w:hAnsi="Times New Roman" w:cs="Times New Roman"/>
                <w:color w:val="000000" w:themeColor="text1"/>
                <w:spacing w:val="-6"/>
                <w:sz w:val="24"/>
                <w:szCs w:val="24"/>
                <w:highlight w:val="none"/>
                <w14:textFill>
                  <w14:solidFill>
                    <w14:schemeClr w14:val="tx1"/>
                  </w14:solidFill>
                </w14:textFill>
              </w:rPr>
              <w:t>）</w:t>
            </w:r>
          </w:p>
        </w:tc>
        <w:tc>
          <w:tcPr>
            <w:tcW w:w="3204" w:type="dxa"/>
            <w:noWrap w:val="0"/>
            <w:vAlign w:val="center"/>
          </w:tcPr>
          <w:p w14:paraId="2E8E8B7B">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auto"/>
                <w:kern w:val="2"/>
                <w:sz w:val="24"/>
                <w:szCs w:val="24"/>
                <w:highlight w:val="none"/>
                <w:vertAlign w:val="baseline"/>
                <w:lang w:val="en-US" w:eastAsia="zh-CN" w:bidi="ar-SA"/>
              </w:rPr>
              <w:t>49349.34</w:t>
            </w:r>
          </w:p>
        </w:tc>
      </w:tr>
      <w:tr w14:paraId="6FB06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698" w:type="dxa"/>
            <w:noWrap w:val="0"/>
            <w:vAlign w:val="center"/>
          </w:tcPr>
          <w:p w14:paraId="0D8CEA4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FF"/>
                <w:kern w:val="0"/>
                <w:sz w:val="24"/>
                <w:highlight w:val="none"/>
              </w:rPr>
            </w:pPr>
            <w:r>
              <w:rPr>
                <w:rFonts w:hint="default" w:ascii="Times New Roman" w:hAnsi="Times New Roman" w:eastAsia="宋体" w:cs="Times New Roman"/>
                <w:color w:val="auto"/>
                <w:kern w:val="0"/>
                <w:sz w:val="24"/>
                <w:highlight w:val="none"/>
              </w:rPr>
              <w:t>专项评价设置情况</w:t>
            </w:r>
          </w:p>
        </w:tc>
        <w:tc>
          <w:tcPr>
            <w:tcW w:w="7172" w:type="dxa"/>
            <w:gridSpan w:val="3"/>
            <w:noWrap w:val="0"/>
            <w:vAlign w:val="center"/>
          </w:tcPr>
          <w:p w14:paraId="73B02AC5">
            <w:pPr>
              <w:keepNext w:val="0"/>
              <w:keepLines w:val="0"/>
              <w:suppressLineNumbers w:val="0"/>
              <w:autoSpaceDE w:val="0"/>
              <w:autoSpaceDN w:val="0"/>
              <w:spacing w:before="0" w:beforeAutospacing="0" w:after="0" w:afterAutospacing="0"/>
              <w:ind w:left="0" w:right="0" w:firstLine="420" w:firstLineChars="200"/>
              <w:jc w:val="left"/>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根据《建设项目环境影响报告表编制技术指南（污染影响类）》专项设置评价如下：</w:t>
            </w:r>
          </w:p>
          <w:p w14:paraId="3FC55FAA">
            <w:pPr>
              <w:keepNext w:val="0"/>
              <w:keepLines w:val="0"/>
              <w:suppressLineNumbers w:val="0"/>
              <w:autoSpaceDE w:val="0"/>
              <w:autoSpaceDN w:val="0"/>
              <w:spacing w:before="0" w:beforeAutospacing="0" w:after="0" w:afterAutospacing="0"/>
              <w:ind w:left="0" w:right="0" w:firstLine="422" w:firstLineChars="200"/>
              <w:jc w:val="center"/>
              <w:rPr>
                <w:rFonts w:hint="default" w:ascii="Times New Roman" w:hAnsi="Times New Roman"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表1-1   专项设置评价情况一览表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3291"/>
              <w:gridCol w:w="2586"/>
            </w:tblGrid>
            <w:tr w14:paraId="4920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noWrap w:val="0"/>
                  <w:vAlign w:val="center"/>
                </w:tcPr>
                <w:p w14:paraId="0F453AB3">
                  <w:pPr>
                    <w:pStyle w:val="28"/>
                    <w:keepNext w:val="0"/>
                    <w:keepLines w:val="0"/>
                    <w:pageBreakBefore w:val="0"/>
                    <w:suppressLineNumbers w:val="0"/>
                    <w:tabs>
                      <w:tab w:val="right" w:leader="dot" w:pos="882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专项评价的类别</w:t>
                  </w:r>
                </w:p>
              </w:tc>
              <w:tc>
                <w:tcPr>
                  <w:tcW w:w="3345" w:type="dxa"/>
                  <w:noWrap w:val="0"/>
                  <w:vAlign w:val="center"/>
                </w:tcPr>
                <w:p w14:paraId="69FEED8B">
                  <w:pPr>
                    <w:pStyle w:val="28"/>
                    <w:keepNext w:val="0"/>
                    <w:keepLines w:val="0"/>
                    <w:pageBreakBefore w:val="0"/>
                    <w:suppressLineNumbers w:val="0"/>
                    <w:tabs>
                      <w:tab w:val="right" w:leader="dot" w:pos="8820"/>
                    </w:tabs>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设置原则</w:t>
                  </w:r>
                </w:p>
              </w:tc>
              <w:tc>
                <w:tcPr>
                  <w:tcW w:w="2628" w:type="dxa"/>
                  <w:noWrap w:val="0"/>
                  <w:vAlign w:val="center"/>
                </w:tcPr>
                <w:p w14:paraId="3E8AC309">
                  <w:pPr>
                    <w:pStyle w:val="28"/>
                    <w:keepNext w:val="0"/>
                    <w:keepLines w:val="0"/>
                    <w:pageBreakBefore w:val="0"/>
                    <w:suppressLineNumbers w:val="0"/>
                    <w:tabs>
                      <w:tab w:val="right" w:leader="dot" w:pos="8820"/>
                    </w:tabs>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本项目情况</w:t>
                  </w:r>
                </w:p>
              </w:tc>
            </w:tr>
            <w:tr w14:paraId="6835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noWrap w:val="0"/>
                  <w:vAlign w:val="center"/>
                </w:tcPr>
                <w:p w14:paraId="0339C263">
                  <w:pPr>
                    <w:pStyle w:val="28"/>
                    <w:keepNext w:val="0"/>
                    <w:keepLines w:val="0"/>
                    <w:pageBreakBefore w:val="0"/>
                    <w:suppressLineNumbers w:val="0"/>
                    <w:tabs>
                      <w:tab w:val="right" w:leader="dot" w:pos="882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大气</w:t>
                  </w:r>
                </w:p>
              </w:tc>
              <w:tc>
                <w:tcPr>
                  <w:tcW w:w="3345" w:type="dxa"/>
                  <w:noWrap w:val="0"/>
                  <w:vAlign w:val="center"/>
                </w:tcPr>
                <w:p w14:paraId="4DBEF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排放废气含有毒有害污染物、二噁英、苯并[a]芘、氰化物、氯气且厂界外500米范围内有环境空气保护目标的建设项目</w:t>
                  </w:r>
                </w:p>
              </w:tc>
              <w:tc>
                <w:tcPr>
                  <w:tcW w:w="2628" w:type="dxa"/>
                  <w:noWrap w:val="0"/>
                  <w:vAlign w:val="center"/>
                </w:tcPr>
                <w:p w14:paraId="5DF29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不涉及以上有毒有害污染物</w:t>
                  </w:r>
                </w:p>
              </w:tc>
            </w:tr>
            <w:tr w14:paraId="457D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noWrap w:val="0"/>
                  <w:vAlign w:val="center"/>
                </w:tcPr>
                <w:p w14:paraId="1CC32B5B">
                  <w:pPr>
                    <w:pStyle w:val="28"/>
                    <w:keepNext w:val="0"/>
                    <w:keepLines w:val="0"/>
                    <w:pageBreakBefore w:val="0"/>
                    <w:suppressLineNumbers w:val="0"/>
                    <w:tabs>
                      <w:tab w:val="right" w:leader="dot" w:pos="882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地表水</w:t>
                  </w:r>
                </w:p>
              </w:tc>
              <w:tc>
                <w:tcPr>
                  <w:tcW w:w="3345" w:type="dxa"/>
                  <w:noWrap w:val="0"/>
                  <w:vAlign w:val="center"/>
                </w:tcPr>
                <w:p w14:paraId="5A9CFD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新增工业废水直排建设项目（槽罐车外送污水处理厂的除外）；新增废水直排的污水集中处理厂</w:t>
                  </w:r>
                </w:p>
              </w:tc>
              <w:tc>
                <w:tcPr>
                  <w:tcW w:w="2628" w:type="dxa"/>
                  <w:noWrap w:val="0"/>
                  <w:vAlign w:val="center"/>
                </w:tcPr>
                <w:p w14:paraId="7BF2E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项目生产废水经自建污水处理站处理后排入湘阴县第二污水处理厂深度处理</w:t>
                  </w:r>
                </w:p>
              </w:tc>
            </w:tr>
            <w:tr w14:paraId="2EE4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noWrap w:val="0"/>
                  <w:vAlign w:val="center"/>
                </w:tcPr>
                <w:p w14:paraId="0C0ED1D2">
                  <w:pPr>
                    <w:pStyle w:val="28"/>
                    <w:keepNext w:val="0"/>
                    <w:keepLines w:val="0"/>
                    <w:pageBreakBefore w:val="0"/>
                    <w:suppressLineNumbers w:val="0"/>
                    <w:tabs>
                      <w:tab w:val="right" w:leader="dot" w:pos="882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环境风险</w:t>
                  </w:r>
                </w:p>
              </w:tc>
              <w:tc>
                <w:tcPr>
                  <w:tcW w:w="3345" w:type="dxa"/>
                  <w:noWrap w:val="0"/>
                  <w:vAlign w:val="center"/>
                </w:tcPr>
                <w:p w14:paraId="35BD8B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有毒有害和易燃易爆危险物质存储量超过临界量的建设项目</w:t>
                  </w:r>
                </w:p>
              </w:tc>
              <w:tc>
                <w:tcPr>
                  <w:tcW w:w="2628" w:type="dxa"/>
                  <w:noWrap w:val="0"/>
                  <w:vAlign w:val="center"/>
                </w:tcPr>
                <w:p w14:paraId="05C06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涉及环境风险物质未超临界值</w:t>
                  </w:r>
                </w:p>
              </w:tc>
            </w:tr>
            <w:tr w14:paraId="33AC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noWrap w:val="0"/>
                  <w:vAlign w:val="center"/>
                </w:tcPr>
                <w:p w14:paraId="584AEDF8">
                  <w:pPr>
                    <w:pStyle w:val="28"/>
                    <w:keepNext w:val="0"/>
                    <w:keepLines w:val="0"/>
                    <w:pageBreakBefore w:val="0"/>
                    <w:suppressLineNumbers w:val="0"/>
                    <w:tabs>
                      <w:tab w:val="right" w:leader="dot" w:pos="882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生态</w:t>
                  </w:r>
                </w:p>
              </w:tc>
              <w:tc>
                <w:tcPr>
                  <w:tcW w:w="3345" w:type="dxa"/>
                  <w:noWrap w:val="0"/>
                  <w:vAlign w:val="center"/>
                </w:tcPr>
                <w:p w14:paraId="1787F3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取水口下游500 米范围内有重要水生生物的自然产卵场、索饵场、越冬场和洄游通道的新增河道取水的污染类建设项目</w:t>
                  </w:r>
                </w:p>
              </w:tc>
              <w:tc>
                <w:tcPr>
                  <w:tcW w:w="2628" w:type="dxa"/>
                  <w:noWrap w:val="0"/>
                  <w:vAlign w:val="center"/>
                </w:tcPr>
                <w:p w14:paraId="34774C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位于</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湘阴高新技术产业开发区洋沙湖片区健铭大道198</w:t>
                  </w:r>
                  <w:r>
                    <w:rPr>
                      <w:rFonts w:hint="eastAsia" w:ascii="Times New Roman" w:hAnsi="Times New Roman" w:eastAsia="宋体" w:cs="Times New Roman"/>
                      <w:color w:val="000000" w:themeColor="text1"/>
                      <w:kern w:val="2"/>
                      <w:sz w:val="21"/>
                      <w:szCs w:val="21"/>
                      <w:lang w:val="en-US" w:eastAsia="en-US" w:bidi="ar-SA"/>
                      <w14:textFill>
                        <w14:solidFill>
                          <w14:schemeClr w14:val="tx1"/>
                        </w14:solidFill>
                      </w14:textFill>
                    </w:rPr>
                    <w:t>号</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属于洋沙湖片区范围内，不涉及生态敏感目标</w:t>
                  </w:r>
                </w:p>
              </w:tc>
            </w:tr>
            <w:tr w14:paraId="0364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noWrap w:val="0"/>
                  <w:vAlign w:val="center"/>
                </w:tcPr>
                <w:p w14:paraId="1EB8EC10">
                  <w:pPr>
                    <w:pStyle w:val="28"/>
                    <w:keepNext w:val="0"/>
                    <w:keepLines w:val="0"/>
                    <w:pageBreakBefore w:val="0"/>
                    <w:suppressLineNumbers w:val="0"/>
                    <w:tabs>
                      <w:tab w:val="right" w:leader="dot" w:pos="882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海洋</w:t>
                  </w:r>
                </w:p>
              </w:tc>
              <w:tc>
                <w:tcPr>
                  <w:tcW w:w="3345" w:type="dxa"/>
                  <w:noWrap w:val="0"/>
                  <w:vAlign w:val="center"/>
                </w:tcPr>
                <w:p w14:paraId="5B843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直接向海排放污染物的海洋工程建设项目</w:t>
                  </w:r>
                </w:p>
              </w:tc>
              <w:tc>
                <w:tcPr>
                  <w:tcW w:w="2628" w:type="dxa"/>
                  <w:noWrap w:val="0"/>
                  <w:vAlign w:val="center"/>
                </w:tcPr>
                <w:p w14:paraId="551D1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不涉及向海洋排放污染物</w:t>
                  </w:r>
                </w:p>
              </w:tc>
            </w:tr>
          </w:tbl>
          <w:p w14:paraId="54F8EFD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FF"/>
                <w:kern w:val="0"/>
                <w:sz w:val="24"/>
                <w:highlight w:val="none"/>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根据以上设置原则，本项目</w:t>
            </w:r>
            <w:r>
              <w:rPr>
                <w:rFonts w:hint="eastAsia" w:cs="Times New Roman"/>
                <w:color w:val="000000" w:themeColor="text1"/>
                <w:kern w:val="2"/>
                <w:sz w:val="21"/>
                <w:szCs w:val="21"/>
                <w:lang w:val="en-US" w:eastAsia="zh-CN" w:bidi="ar-SA"/>
                <w14:textFill>
                  <w14:solidFill>
                    <w14:schemeClr w14:val="tx1"/>
                  </w14:solidFill>
                </w14:textFill>
              </w:rPr>
              <w:t>无须设置</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专项评价</w:t>
            </w:r>
          </w:p>
        </w:tc>
      </w:tr>
      <w:tr w14:paraId="66C1F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698" w:type="dxa"/>
            <w:noWrap w:val="0"/>
            <w:vAlign w:val="center"/>
          </w:tcPr>
          <w:p w14:paraId="6CF8FC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规划情况</w:t>
            </w:r>
          </w:p>
        </w:tc>
        <w:tc>
          <w:tcPr>
            <w:tcW w:w="7172" w:type="dxa"/>
            <w:gridSpan w:val="3"/>
            <w:noWrap w:val="0"/>
            <w:vAlign w:val="center"/>
          </w:tcPr>
          <w:p w14:paraId="149C72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left"/>
              <w:textAlignment w:val="auto"/>
              <w:rPr>
                <w:rFonts w:hint="default" w:ascii="Times New Roman" w:hAnsi="Times New Roman" w:eastAsia="宋体" w:cs="Times New Roman"/>
                <w:color w:val="0000FF"/>
                <w:kern w:val="0"/>
                <w:sz w:val="24"/>
                <w:highlight w:val="none"/>
                <w:lang w:val="en-US" w:eastAsia="zh-CN"/>
              </w:rPr>
            </w:pPr>
            <w:r>
              <w:rPr>
                <w:rFonts w:hint="eastAsia" w:ascii="Times New Roman" w:hAnsi="Times New Roman" w:cs="Times New Roman"/>
                <w:color w:val="000000" w:themeColor="text1"/>
                <w:kern w:val="0"/>
                <w:sz w:val="24"/>
                <w:lang w:eastAsia="zh-CN"/>
                <w14:textFill>
                  <w14:solidFill>
                    <w14:schemeClr w14:val="tx1"/>
                  </w14:solidFill>
                </w14:textFill>
              </w:rPr>
              <w:t xml:space="preserve">规划名称：《湖南湘阴高新区近期规划（2020-2025）》，湘阴高新技术产业开发区管理委员会。 </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 xml:space="preserve"> </w:t>
            </w:r>
          </w:p>
        </w:tc>
      </w:tr>
      <w:tr w14:paraId="110CE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98" w:type="dxa"/>
            <w:noWrap w:val="0"/>
            <w:vAlign w:val="center"/>
          </w:tcPr>
          <w:p w14:paraId="3BA5C98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规划环境影响</w:t>
            </w:r>
          </w:p>
          <w:p w14:paraId="0B9E5F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评价情况</w:t>
            </w:r>
          </w:p>
        </w:tc>
        <w:tc>
          <w:tcPr>
            <w:tcW w:w="7172" w:type="dxa"/>
            <w:gridSpan w:val="3"/>
            <w:noWrap w:val="0"/>
            <w:vAlign w:val="center"/>
          </w:tcPr>
          <w:p w14:paraId="34A0A8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both"/>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规划环境影响评价文件名称：《湘阴高新技术产业开发区调区扩区规划环境影响报告书》；</w:t>
            </w:r>
          </w:p>
          <w:p w14:paraId="355C25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both"/>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审批机构：湖南省生态环境厅；</w:t>
            </w:r>
          </w:p>
          <w:p w14:paraId="631AB9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both"/>
              <w:textAlignment w:val="auto"/>
              <w:rPr>
                <w:rFonts w:hint="eastAsia" w:ascii="Times New Roman" w:hAnsi="Times New Roman" w:eastAsia="宋体" w:cs="Times New Roman"/>
                <w:color w:val="0000FF"/>
                <w:kern w:val="0"/>
                <w:sz w:val="24"/>
                <w:highlight w:val="none"/>
                <w:lang w:eastAsia="zh-CN"/>
              </w:rPr>
            </w:pPr>
            <w:r>
              <w:rPr>
                <w:rFonts w:hint="default" w:ascii="Times New Roman" w:hAnsi="Times New Roman" w:cs="Times New Roman"/>
                <w:color w:val="000000" w:themeColor="text1"/>
                <w:kern w:val="0"/>
                <w:sz w:val="24"/>
                <w14:textFill>
                  <w14:solidFill>
                    <w14:schemeClr w14:val="tx1"/>
                  </w14:solidFill>
                </w14:textFill>
              </w:rPr>
              <w:t>审查文件名称及文号：《湖南省生态环境厅关于</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湘阴高新技术产业开发区调区扩区规划环境影响报告书</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审查意见的函》（湘环评函〔2022〕65号）。</w:t>
            </w:r>
          </w:p>
        </w:tc>
      </w:tr>
      <w:tr w14:paraId="01D9A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1698" w:type="dxa"/>
            <w:noWrap w:val="0"/>
            <w:vAlign w:val="center"/>
          </w:tcPr>
          <w:p w14:paraId="63EA9C0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规划及规划环境影响评价符合性分析</w:t>
            </w:r>
          </w:p>
        </w:tc>
        <w:tc>
          <w:tcPr>
            <w:tcW w:w="7172" w:type="dxa"/>
            <w:gridSpan w:val="3"/>
            <w:noWrap w:val="0"/>
            <w:vAlign w:val="center"/>
          </w:tcPr>
          <w:p w14:paraId="064CFE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1、</w:t>
            </w:r>
            <w:r>
              <w:rPr>
                <w:rFonts w:hint="default" w:ascii="Times New Roman" w:hAnsi="Times New Roman" w:eastAsia="宋体" w:cs="Times New Roman"/>
                <w:b/>
                <w:bCs/>
                <w:color w:val="000000" w:themeColor="text1"/>
                <w:kern w:val="0"/>
                <w:sz w:val="24"/>
                <w14:textFill>
                  <w14:solidFill>
                    <w14:schemeClr w14:val="tx1"/>
                  </w14:solidFill>
                </w14:textFill>
              </w:rPr>
              <w:t>与《湖南湘阴高新区近期规划（2020-2025）》符合性分析</w:t>
            </w:r>
          </w:p>
          <w:p w14:paraId="464D2F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根据规划，</w:t>
            </w:r>
            <w:r>
              <w:rPr>
                <w:rFonts w:hint="default" w:ascii="Times New Roman" w:hAnsi="Times New Roman" w:cs="Times New Roman"/>
                <w:color w:val="000000" w:themeColor="text1"/>
                <w:kern w:val="0"/>
                <w:sz w:val="24"/>
                <w14:textFill>
                  <w14:solidFill>
                    <w14:schemeClr w14:val="tx1"/>
                  </w14:solidFill>
                </w14:textFill>
              </w:rPr>
              <w:t>湖南湘阴高新技术产业开发区为“一区三园”，即临港片区、洋沙湖片区和金龙片区，规划区范围面积共计约12.40平方公里。本项目</w:t>
            </w:r>
            <w:r>
              <w:rPr>
                <w:rFonts w:hint="eastAsia" w:ascii="Times New Roman" w:hAnsi="Times New Roman" w:cs="Times New Roman"/>
                <w:color w:val="000000" w:themeColor="text1"/>
                <w:kern w:val="0"/>
                <w:sz w:val="24"/>
                <w:lang w:val="en-US" w:eastAsia="zh-CN"/>
                <w14:textFill>
                  <w14:solidFill>
                    <w14:schemeClr w14:val="tx1"/>
                  </w14:solidFill>
                </w14:textFill>
              </w:rPr>
              <w:t>位于</w:t>
            </w:r>
            <w:r>
              <w:rPr>
                <w:rFonts w:hint="default" w:ascii="Times New Roman" w:hAnsi="Times New Roman" w:cs="Times New Roman"/>
                <w:color w:val="000000" w:themeColor="text1"/>
                <w:kern w:val="0"/>
                <w:sz w:val="24"/>
                <w14:textFill>
                  <w14:solidFill>
                    <w14:schemeClr w14:val="tx1"/>
                  </w14:solidFill>
                </w14:textFill>
              </w:rPr>
              <w:t>洋沙湖片区，根据规划相关内容，对本项目与《湖南湘阴高新区近期规划（2020-2025）》相符性分析列表如下：</w:t>
            </w:r>
          </w:p>
          <w:p w14:paraId="469EBEB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t>表1-</w:t>
            </w:r>
            <w:r>
              <w:rPr>
                <w:rFonts w:hint="eastAsia" w:cs="Times New Roman"/>
                <w:b/>
                <w:bCs/>
                <w:color w:val="000000" w:themeColor="text1"/>
                <w:kern w:val="0"/>
                <w:szCs w:val="21"/>
                <w:u w:val="none" w:color="auto"/>
                <w:lang w:val="en-US" w:eastAsia="zh-CN"/>
                <w14:textFill>
                  <w14:solidFill>
                    <w14:schemeClr w14:val="tx1"/>
                  </w14:solidFill>
                </w14:textFill>
              </w:rPr>
              <w:t>2</w:t>
            </w:r>
            <w:r>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t xml:space="preserve">  项目与《湖南湘阴高新区近期规划（2020-2025）》相符性分析</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3002"/>
              <w:gridCol w:w="2311"/>
              <w:gridCol w:w="929"/>
            </w:tblGrid>
            <w:tr w14:paraId="2E07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tcBorders>
                    <w:tl2br w:val="nil"/>
                    <w:tr2bl w:val="nil"/>
                  </w:tcBorders>
                  <w:noWrap w:val="0"/>
                  <w:vAlign w:val="center"/>
                </w:tcPr>
                <w:p w14:paraId="6A17BE22">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项目</w:t>
                  </w:r>
                </w:p>
              </w:tc>
              <w:tc>
                <w:tcPr>
                  <w:tcW w:w="2162" w:type="pct"/>
                  <w:tcBorders>
                    <w:tl2br w:val="nil"/>
                    <w:tr2bl w:val="nil"/>
                  </w:tcBorders>
                  <w:noWrap w:val="0"/>
                  <w:vAlign w:val="center"/>
                </w:tcPr>
                <w:p w14:paraId="5B00ACFB">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规划内容</w:t>
                  </w:r>
                </w:p>
              </w:tc>
              <w:tc>
                <w:tcPr>
                  <w:tcW w:w="1664" w:type="pct"/>
                  <w:tcBorders>
                    <w:tl2br w:val="nil"/>
                    <w:tr2bl w:val="nil"/>
                  </w:tcBorders>
                  <w:noWrap w:val="0"/>
                  <w:vAlign w:val="center"/>
                </w:tcPr>
                <w:p w14:paraId="7A3D24DE">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本项目情况</w:t>
                  </w:r>
                </w:p>
              </w:tc>
              <w:tc>
                <w:tcPr>
                  <w:tcW w:w="669" w:type="pct"/>
                  <w:tcBorders>
                    <w:tl2br w:val="nil"/>
                    <w:tr2bl w:val="nil"/>
                  </w:tcBorders>
                  <w:noWrap w:val="0"/>
                  <w:vAlign w:val="center"/>
                </w:tcPr>
                <w:p w14:paraId="79FDE810">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相符性</w:t>
                  </w:r>
                </w:p>
              </w:tc>
            </w:tr>
            <w:tr w14:paraId="0C59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tcBorders>
                    <w:tl2br w:val="nil"/>
                    <w:tr2bl w:val="nil"/>
                  </w:tcBorders>
                  <w:noWrap w:val="0"/>
                  <w:vAlign w:val="center"/>
                </w:tcPr>
                <w:p w14:paraId="203F3C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t>区位划分</w:t>
                  </w:r>
                </w:p>
              </w:tc>
              <w:tc>
                <w:tcPr>
                  <w:tcW w:w="2162" w:type="pct"/>
                  <w:tcBorders>
                    <w:tl2br w:val="nil"/>
                    <w:tr2bl w:val="nil"/>
                  </w:tcBorders>
                  <w:noWrap w:val="0"/>
                  <w:vAlign w:val="center"/>
                </w:tcPr>
                <w:p w14:paraId="1E6696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2"/>
                      <w:szCs w:val="22"/>
                      <w:u w:val="none" w:color="auto"/>
                      <w14:textFill>
                        <w14:solidFill>
                          <w14:schemeClr w14:val="tx1"/>
                        </w14:solidFill>
                      </w14:textFill>
                    </w:rPr>
                  </w:pPr>
                  <w:r>
                    <w:rPr>
                      <w:rFonts w:hint="eastAsia"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t>洋沙湖片区位于县城中部与南部，范围东至芙蓉北路、南至京港澳复线互通口、西至中联大道、北至白水江路，面积为</w:t>
                  </w:r>
                  <w:r>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t xml:space="preserve">695.16 </w:t>
                  </w:r>
                  <w:r>
                    <w:rPr>
                      <w:rFonts w:hint="eastAsia"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t>公顷</w:t>
                  </w:r>
                </w:p>
              </w:tc>
              <w:tc>
                <w:tcPr>
                  <w:tcW w:w="1664" w:type="pct"/>
                  <w:tcBorders>
                    <w:tl2br w:val="nil"/>
                    <w:tr2bl w:val="nil"/>
                  </w:tcBorders>
                  <w:noWrap w:val="0"/>
                  <w:vAlign w:val="center"/>
                </w:tcPr>
                <w:p w14:paraId="50EB5E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lang w:val="en-US" w:eastAsia="zh-CN"/>
                      <w14:textFill>
                        <w14:solidFill>
                          <w14:schemeClr w14:val="tx1"/>
                        </w14:solidFill>
                      </w14:textFill>
                    </w:rPr>
                    <w:t>本项目位于湖南省岳阳市</w:t>
                  </w:r>
                  <w:r>
                    <w:rPr>
                      <w:rFonts w:hint="eastAsia" w:ascii="Times New Roman" w:hAnsi="Times New Roman" w:cs="Times New Roman"/>
                      <w:bCs/>
                      <w:color w:val="000000" w:themeColor="text1"/>
                      <w:sz w:val="21"/>
                      <w:szCs w:val="21"/>
                      <w:highlight w:val="none"/>
                      <w:u w:val="none" w:color="auto"/>
                      <w:lang w:val="en-US" w:eastAsia="zh-CN"/>
                      <w14:textFill>
                        <w14:solidFill>
                          <w14:schemeClr w14:val="tx1"/>
                        </w14:solidFill>
                      </w14:textFill>
                    </w:rPr>
                    <w:t>湘阴县湘阴高新技术产业开发区洋沙湖片区健铭大道198</w:t>
                  </w:r>
                  <w:r>
                    <w:rPr>
                      <w:rFonts w:hint="eastAsia" w:ascii="Times New Roman" w:hAnsi="Times New Roman" w:cs="Times New Roman"/>
                      <w:bCs/>
                      <w:color w:val="000000" w:themeColor="text1"/>
                      <w:sz w:val="21"/>
                      <w:szCs w:val="21"/>
                      <w:highlight w:val="none"/>
                      <w:u w:val="none" w:color="auto"/>
                      <w:lang w:val="en-US" w:eastAsia="en-US"/>
                      <w14:textFill>
                        <w14:solidFill>
                          <w14:schemeClr w14:val="tx1"/>
                        </w14:solidFill>
                      </w14:textFill>
                    </w:rPr>
                    <w:t>号</w:t>
                  </w:r>
                  <w:r>
                    <w:rPr>
                      <w:rFonts w:hint="default" w:ascii="Times New Roman" w:hAnsi="Times New Roman" w:cs="Times New Roman"/>
                      <w:bCs/>
                      <w:color w:val="000000" w:themeColor="text1"/>
                      <w:sz w:val="21"/>
                      <w:szCs w:val="21"/>
                      <w:highlight w:val="none"/>
                      <w:u w:val="none" w:color="auto"/>
                      <w:lang w:val="en-US" w:eastAsia="zh-CN"/>
                      <w14:textFill>
                        <w14:solidFill>
                          <w14:schemeClr w14:val="tx1"/>
                        </w14:solidFill>
                      </w14:textFill>
                    </w:rPr>
                    <w:t>。</w:t>
                  </w:r>
                </w:p>
              </w:tc>
              <w:tc>
                <w:tcPr>
                  <w:tcW w:w="669" w:type="pct"/>
                  <w:tcBorders>
                    <w:tl2br w:val="nil"/>
                    <w:tr2bl w:val="nil"/>
                  </w:tcBorders>
                  <w:noWrap w:val="0"/>
                  <w:vAlign w:val="center"/>
                </w:tcPr>
                <w:p w14:paraId="5CDC6C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t>符合</w:t>
                  </w:r>
                </w:p>
              </w:tc>
            </w:tr>
            <w:tr w14:paraId="3B3B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tcBorders>
                    <w:tl2br w:val="nil"/>
                    <w:tr2bl w:val="nil"/>
                  </w:tcBorders>
                  <w:noWrap w:val="0"/>
                  <w:vAlign w:val="center"/>
                </w:tcPr>
                <w:p w14:paraId="1546CB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t>功能定位</w:t>
                  </w:r>
                </w:p>
              </w:tc>
              <w:tc>
                <w:tcPr>
                  <w:tcW w:w="2162" w:type="pct"/>
                  <w:tcBorders>
                    <w:tl2br w:val="nil"/>
                    <w:tr2bl w:val="nil"/>
                  </w:tcBorders>
                  <w:noWrap w:val="0"/>
                  <w:vAlign w:val="center"/>
                </w:tcPr>
                <w:p w14:paraId="10A5DA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 w:val="22"/>
                      <w:szCs w:val="22"/>
                      <w:u w:val="none" w:color="auto"/>
                      <w14:textFill>
                        <w14:solidFill>
                          <w14:schemeClr w14:val="tx1"/>
                        </w14:solidFill>
                      </w14:textFill>
                    </w:rPr>
                  </w:pPr>
                  <w:r>
                    <w:rPr>
                      <w:rFonts w:hint="default" w:ascii="Times New Roman" w:hAnsi="Times New Roman" w:eastAsia="宋体" w:cs="Times New Roman"/>
                      <w:color w:val="000000" w:themeColor="text1"/>
                      <w:sz w:val="22"/>
                      <w:szCs w:val="22"/>
                      <w:u w:val="none" w:color="auto"/>
                      <w14:textFill>
                        <w14:solidFill>
                          <w14:schemeClr w14:val="tx1"/>
                        </w14:solidFill>
                      </w14:textFill>
                    </w:rPr>
                    <w:t>发挥靠城（长沙）依江（湘江）的区位优势，立足对接长沙、省级高新技术开发区发展核心平台的有利条件，依托长株潭大经济圈及岳阳、益阳两城市的经济辐射</w:t>
                  </w:r>
                  <w:r>
                    <w:rPr>
                      <w:rFonts w:hint="eastAsia" w:cs="Times New Roman"/>
                      <w:color w:val="000000" w:themeColor="text1"/>
                      <w:sz w:val="22"/>
                      <w:szCs w:val="22"/>
                      <w:u w:val="none" w:color="auto"/>
                      <w:lang w:eastAsia="zh-CN"/>
                      <w14:textFill>
                        <w14:solidFill>
                          <w14:schemeClr w14:val="tx1"/>
                        </w14:solidFill>
                      </w14:textFill>
                    </w:rPr>
                    <w:t>，以</w:t>
                  </w:r>
                  <w:r>
                    <w:rPr>
                      <w:rFonts w:hint="default" w:ascii="Times New Roman" w:hAnsi="Times New Roman" w:eastAsia="宋体" w:cs="Times New Roman"/>
                      <w:color w:val="000000" w:themeColor="text1"/>
                      <w:sz w:val="22"/>
                      <w:szCs w:val="22"/>
                      <w:u w:val="none" w:color="auto"/>
                      <w14:textFill>
                        <w14:solidFill>
                          <w14:schemeClr w14:val="tx1"/>
                        </w14:solidFill>
                      </w14:textFill>
                    </w:rPr>
                    <w:t xml:space="preserve">“以园兴工、以工兴县”的战略，千方百计加大园区基础建设力度，想方设法引进战略投资大户，把园区建成为规模工业企业的集聚区，商贸流通的重点区，城镇化发展的示范区，对外开放的先导区，以及全国较高水平的省级生态环保型城郊综合工业园区。 </w:t>
                  </w:r>
                </w:p>
              </w:tc>
              <w:tc>
                <w:tcPr>
                  <w:tcW w:w="1664" w:type="pct"/>
                  <w:tcBorders>
                    <w:tl2br w:val="nil"/>
                    <w:tr2bl w:val="nil"/>
                  </w:tcBorders>
                  <w:noWrap w:val="0"/>
                  <w:vAlign w:val="center"/>
                </w:tcPr>
                <w:p w14:paraId="2CEEEC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Cs/>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u w:val="none" w:color="auto"/>
                      <w:lang w:val="en-US" w:eastAsia="zh-CN"/>
                      <w14:textFill>
                        <w14:solidFill>
                          <w14:schemeClr w14:val="tx1"/>
                        </w14:solidFill>
                      </w14:textFill>
                    </w:rPr>
                    <w:t>本项目</w:t>
                  </w:r>
                  <w:r>
                    <w:rPr>
                      <w:rFonts w:hint="eastAsia" w:cs="Times New Roman"/>
                      <w:bCs/>
                      <w:color w:val="000000" w:themeColor="text1"/>
                      <w:sz w:val="21"/>
                      <w:szCs w:val="21"/>
                      <w:highlight w:val="none"/>
                      <w:u w:val="none" w:color="auto"/>
                      <w:lang w:val="en-US" w:eastAsia="zh-CN"/>
                      <w14:textFill>
                        <w14:solidFill>
                          <w14:schemeClr w14:val="tx1"/>
                        </w14:solidFill>
                      </w14:textFill>
                    </w:rPr>
                    <w:t>变更后</w:t>
                  </w:r>
                  <w:r>
                    <w:rPr>
                      <w:rFonts w:hint="default" w:ascii="Times New Roman" w:hAnsi="Times New Roman" w:cs="Times New Roman"/>
                      <w:bCs/>
                      <w:color w:val="000000" w:themeColor="text1"/>
                      <w:sz w:val="21"/>
                      <w:szCs w:val="21"/>
                      <w:highlight w:val="none"/>
                      <w:u w:val="none" w:color="auto"/>
                      <w:lang w:val="en-US" w:eastAsia="zh-CN"/>
                      <w14:textFill>
                        <w14:solidFill>
                          <w14:schemeClr w14:val="tx1"/>
                        </w14:solidFill>
                      </w14:textFill>
                    </w:rPr>
                    <w:t>投资金额</w:t>
                  </w:r>
                  <w:r>
                    <w:rPr>
                      <w:rFonts w:hint="eastAsia" w:cs="Times New Roman"/>
                      <w:bCs/>
                      <w:color w:val="000000" w:themeColor="text1"/>
                      <w:sz w:val="21"/>
                      <w:szCs w:val="21"/>
                      <w:highlight w:val="none"/>
                      <w:u w:val="none" w:color="auto"/>
                      <w:lang w:val="en-US" w:eastAsia="zh-CN"/>
                      <w14:textFill>
                        <w14:solidFill>
                          <w14:schemeClr w14:val="tx1"/>
                        </w14:solidFill>
                      </w14:textFill>
                    </w:rPr>
                    <w:t>23226</w:t>
                  </w:r>
                  <w:r>
                    <w:rPr>
                      <w:rFonts w:hint="default" w:ascii="Times New Roman" w:hAnsi="Times New Roman" w:cs="Times New Roman"/>
                      <w:bCs/>
                      <w:color w:val="000000" w:themeColor="text1"/>
                      <w:sz w:val="21"/>
                      <w:szCs w:val="21"/>
                      <w:highlight w:val="none"/>
                      <w:u w:val="none" w:color="auto"/>
                      <w:lang w:val="en-US" w:eastAsia="zh-CN"/>
                      <w14:textFill>
                        <w14:solidFill>
                          <w14:schemeClr w14:val="tx1"/>
                        </w14:solidFill>
                      </w14:textFill>
                    </w:rPr>
                    <w:t>万元，项目投产后经济效益显著，将给当地经济和就业带来一定的机会。因此，本项目符合园区功能定位。</w:t>
                  </w:r>
                </w:p>
              </w:tc>
              <w:tc>
                <w:tcPr>
                  <w:tcW w:w="669" w:type="pct"/>
                  <w:tcBorders>
                    <w:tl2br w:val="nil"/>
                    <w:tr2bl w:val="nil"/>
                  </w:tcBorders>
                  <w:noWrap w:val="0"/>
                  <w:vAlign w:val="center"/>
                </w:tcPr>
                <w:p w14:paraId="037DC0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t>符合</w:t>
                  </w:r>
                </w:p>
              </w:tc>
            </w:tr>
            <w:tr w14:paraId="044B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tcBorders>
                    <w:tl2br w:val="nil"/>
                    <w:tr2bl w:val="nil"/>
                  </w:tcBorders>
                  <w:noWrap w:val="0"/>
                  <w:vAlign w:val="center"/>
                </w:tcPr>
                <w:p w14:paraId="225C93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t>产业定位</w:t>
                  </w:r>
                </w:p>
              </w:tc>
              <w:tc>
                <w:tcPr>
                  <w:tcW w:w="2162" w:type="pct"/>
                  <w:tcBorders>
                    <w:tl2br w:val="nil"/>
                    <w:tr2bl w:val="nil"/>
                  </w:tcBorders>
                  <w:noWrap w:val="0"/>
                  <w:vAlign w:val="center"/>
                </w:tcPr>
                <w:p w14:paraId="4DA653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t xml:space="preserve">主导产业：绿色装备制造、绿色建筑建材、绿色食品加工； </w:t>
                  </w:r>
                </w:p>
                <w:p w14:paraId="2EDD60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t>配套产业：电子信息、新材料。</w:t>
                  </w:r>
                </w:p>
              </w:tc>
              <w:tc>
                <w:tcPr>
                  <w:tcW w:w="1664" w:type="pct"/>
                  <w:tcBorders>
                    <w:tl2br w:val="nil"/>
                    <w:tr2bl w:val="nil"/>
                  </w:tcBorders>
                  <w:noWrap w:val="0"/>
                  <w:vAlign w:val="center"/>
                </w:tcPr>
                <w:p w14:paraId="250A56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t>本项目</w:t>
                  </w:r>
                  <w:r>
                    <w:rPr>
                      <w:rFonts w:hint="eastAsia" w:cs="Times New Roman"/>
                      <w:color w:val="000000" w:themeColor="text1"/>
                      <w:kern w:val="0"/>
                      <w:szCs w:val="21"/>
                      <w:u w:val="none" w:color="auto"/>
                      <w:vertAlign w:val="baseline"/>
                      <w:lang w:val="en-US" w:eastAsia="zh-CN"/>
                      <w14:textFill>
                        <w14:solidFill>
                          <w14:schemeClr w14:val="tx1"/>
                        </w14:solidFill>
                      </w14:textFill>
                    </w:rPr>
                    <w:t>为通用零部件制造，符合园区产业定位</w:t>
                  </w:r>
                  <w:r>
                    <w:rPr>
                      <w:rFonts w:hint="eastAsia" w:ascii="Times New Roman" w:hAnsi="Times New Roman" w:cs="Times New Roman"/>
                      <w:color w:val="000000" w:themeColor="text1"/>
                      <w:kern w:val="0"/>
                      <w:szCs w:val="21"/>
                      <w:u w:val="none" w:color="auto"/>
                      <w:vertAlign w:val="baseline"/>
                      <w:lang w:val="en-US" w:eastAsia="zh-CN"/>
                      <w14:textFill>
                        <w14:solidFill>
                          <w14:schemeClr w14:val="tx1"/>
                        </w14:solidFill>
                      </w14:textFill>
                    </w:rPr>
                    <w:t>。</w:t>
                  </w:r>
                </w:p>
              </w:tc>
              <w:tc>
                <w:tcPr>
                  <w:tcW w:w="669" w:type="pct"/>
                  <w:tcBorders>
                    <w:tl2br w:val="nil"/>
                    <w:tr2bl w:val="nil"/>
                  </w:tcBorders>
                  <w:noWrap w:val="0"/>
                  <w:vAlign w:val="center"/>
                </w:tcPr>
                <w:p w14:paraId="29B28A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t>不冲突</w:t>
                  </w:r>
                </w:p>
              </w:tc>
            </w:tr>
            <w:tr w14:paraId="2AF9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tcBorders>
                    <w:tl2br w:val="nil"/>
                    <w:tr2bl w:val="nil"/>
                  </w:tcBorders>
                  <w:noWrap w:val="0"/>
                  <w:vAlign w:val="center"/>
                </w:tcPr>
                <w:p w14:paraId="14A0BC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t>分区定位</w:t>
                  </w:r>
                </w:p>
              </w:tc>
              <w:tc>
                <w:tcPr>
                  <w:tcW w:w="2162" w:type="pct"/>
                  <w:tcBorders>
                    <w:tl2br w:val="nil"/>
                    <w:tr2bl w:val="nil"/>
                  </w:tcBorders>
                  <w:noWrap w:val="0"/>
                  <w:vAlign w:val="center"/>
                </w:tcPr>
                <w:p w14:paraId="18918C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t>洋沙湖片区规划重点发展装备制造、食品加工、新材料产业（主要包含电子专用材料制造、电池制造（不含铅酸蓄电池））、废弃资源综合利用（包括利用金属废料和碎屑加工处理和废油回收）、电子信息和建筑建材</w:t>
                  </w:r>
                </w:p>
              </w:tc>
              <w:tc>
                <w:tcPr>
                  <w:tcW w:w="1664" w:type="pct"/>
                  <w:tcBorders>
                    <w:tl2br w:val="nil"/>
                    <w:tr2bl w:val="nil"/>
                  </w:tcBorders>
                  <w:noWrap w:val="0"/>
                  <w:vAlign w:val="center"/>
                </w:tcPr>
                <w:p w14:paraId="0303951A">
                  <w:pPr>
                    <w:keepNext w:val="0"/>
                    <w:keepLines w:val="0"/>
                    <w:pageBreakBefore w:val="0"/>
                    <w:widowControl w:val="0"/>
                    <w:suppressLineNumbers w:val="0"/>
                    <w:kinsoku/>
                    <w:wordWrap/>
                    <w:overflowPunct/>
                    <w:topLinePunct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2"/>
                      <w:szCs w:val="22"/>
                      <w:u w:val="none" w:color="auto"/>
                      <w:vertAlign w:val="baseline"/>
                      <w:lang w:val="en-US" w:eastAsia="zh-CN"/>
                      <w14:textFill>
                        <w14:solidFill>
                          <w14:schemeClr w14:val="tx1"/>
                        </w14:solidFill>
                      </w14:textFill>
                    </w:rPr>
                    <w:t>项目位于</w:t>
                  </w:r>
                  <w:r>
                    <w:rPr>
                      <w:rFonts w:hint="eastAsia" w:ascii="Times New Roman" w:hAnsi="Times New Roman" w:eastAsia="宋体" w:cs="Times New Roman"/>
                      <w:color w:val="000000" w:themeColor="text1"/>
                      <w:kern w:val="0"/>
                      <w:sz w:val="22"/>
                      <w:szCs w:val="22"/>
                      <w:u w:val="none" w:color="auto"/>
                      <w:vertAlign w:val="baseline"/>
                      <w:lang w:val="en-US" w:eastAsia="zh-CN"/>
                      <w14:textFill>
                        <w14:solidFill>
                          <w14:schemeClr w14:val="tx1"/>
                        </w14:solidFill>
                      </w14:textFill>
                    </w:rPr>
                    <w:t>洋沙湖片区</w:t>
                  </w:r>
                  <w:r>
                    <w:rPr>
                      <w:rFonts w:hint="default" w:ascii="Times New Roman" w:hAnsi="Times New Roman" w:eastAsia="宋体" w:cs="Times New Roman"/>
                      <w:color w:val="000000" w:themeColor="text1"/>
                      <w:kern w:val="0"/>
                      <w:sz w:val="22"/>
                      <w:szCs w:val="22"/>
                      <w:u w:val="none" w:color="auto"/>
                      <w:vertAlign w:val="baseline"/>
                      <w:lang w:val="en-US" w:eastAsia="zh-CN"/>
                      <w14:textFill>
                        <w14:solidFill>
                          <w14:schemeClr w14:val="tx1"/>
                        </w14:solidFill>
                      </w14:textFill>
                    </w:rPr>
                    <w:t>，属于《</w:t>
                  </w:r>
                  <w:r>
                    <w:rPr>
                      <w:rFonts w:hint="default"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t>国民经济行业分类》(GB/T4754-2017</w:t>
                  </w:r>
                  <w:r>
                    <w:rPr>
                      <w:rFonts w:hint="eastAsia"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t>）</w:t>
                  </w:r>
                  <w:r>
                    <w:rPr>
                      <w:rFonts w:hint="default"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t>中的</w:t>
                  </w:r>
                  <w:r>
                    <w:rPr>
                      <w:rFonts w:hint="eastAsia" w:ascii="Times New Roman" w:hAnsi="Times New Roman" w:cs="Times New Roman"/>
                      <w:color w:val="000000" w:themeColor="text1"/>
                      <w:kern w:val="0"/>
                      <w:sz w:val="22"/>
                      <w:szCs w:val="22"/>
                      <w:u w:val="none" w:color="auto"/>
                      <w:vertAlign w:val="baseline"/>
                      <w:lang w:val="en-US" w:eastAsia="zh-CN"/>
                      <w14:textFill>
                        <w14:solidFill>
                          <w14:schemeClr w14:val="tx1"/>
                        </w14:solidFill>
                      </w14:textFill>
                    </w:rPr>
                    <w:t>C3489其他通用零部件制造，涉及C3360金属表面处理及热处理加工</w:t>
                  </w:r>
                  <w:r>
                    <w:rPr>
                      <w:rFonts w:hint="eastAsia" w:cs="Times New Roman"/>
                      <w:color w:val="000000" w:themeColor="text1"/>
                      <w:kern w:val="0"/>
                      <w:sz w:val="22"/>
                      <w:szCs w:val="22"/>
                      <w:u w:val="none" w:color="auto"/>
                      <w:vertAlign w:val="baseline"/>
                      <w:lang w:val="en-US" w:eastAsia="zh-CN"/>
                      <w14:textFill>
                        <w14:solidFill>
                          <w14:schemeClr w14:val="tx1"/>
                        </w14:solidFill>
                      </w14:textFill>
                    </w:rPr>
                    <w:t>，符合重点发展的装备制造业</w:t>
                  </w:r>
                </w:p>
              </w:tc>
              <w:tc>
                <w:tcPr>
                  <w:tcW w:w="669" w:type="pct"/>
                  <w:tcBorders>
                    <w:tl2br w:val="nil"/>
                    <w:tr2bl w:val="nil"/>
                  </w:tcBorders>
                  <w:noWrap w:val="0"/>
                  <w:vAlign w:val="center"/>
                </w:tcPr>
                <w:p w14:paraId="5480FD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u w:val="none" w:color="auto"/>
                      <w:vertAlign w:val="baseline"/>
                      <w:lang w:val="en-US" w:eastAsia="zh-CN"/>
                      <w14:textFill>
                        <w14:solidFill>
                          <w14:schemeClr w14:val="tx1"/>
                        </w14:solidFill>
                      </w14:textFill>
                    </w:rPr>
                    <w:t>符合</w:t>
                  </w:r>
                </w:p>
              </w:tc>
            </w:tr>
          </w:tbl>
          <w:p w14:paraId="2B08FE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t>本项目位于湘阴高新技术产业开发区洋沙湖片区内，用地为工业用地，项目主要行业为其他通用零部件制造，属于重点发展的装备制造业，不属于环境准入清单负面行业，与园区产业定位不冲突。因此，本项目与</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《湖南湘阴高新区近期规划（2020-2025）</w:t>
            </w:r>
            <w:r>
              <w:rPr>
                <w:rFonts w:hint="eastAsia"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t>》基本相符。</w:t>
            </w:r>
          </w:p>
          <w:p w14:paraId="4B92AB1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Times New Roman" w:hAnsi="Times New Roman" w:cs="Times New Roman"/>
                <w:color w:val="auto"/>
                <w:kern w:val="0"/>
                <w:sz w:val="24"/>
                <w:lang w:eastAsia="zh-CN"/>
              </w:rPr>
            </w:pP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bCs/>
                <w:color w:val="auto"/>
                <w:kern w:val="0"/>
                <w:sz w:val="24"/>
              </w:rPr>
              <w:t>与规划环评相符性分析</w:t>
            </w:r>
          </w:p>
          <w:p w14:paraId="4E2FF7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本项目位于湖南省岳阳市湘阴县湘阴高新技术产业开发区洋沙湖片区范围内，项目与《湘阴高新技术产业开发区调区扩区规划环境影响报告书</w:t>
            </w:r>
            <w:r>
              <w:rPr>
                <w:rFonts w:hint="eastAsia" w:cs="Times New Roman"/>
                <w:color w:val="auto"/>
                <w:kern w:val="0"/>
                <w:sz w:val="24"/>
                <w:szCs w:val="24"/>
                <w:u w:val="none" w:color="auto"/>
                <w:lang w:val="en-US" w:eastAsia="zh-CN"/>
              </w:rPr>
              <w:t>审查意见的函</w:t>
            </w:r>
            <w:r>
              <w:rPr>
                <w:rFonts w:hint="eastAsia" w:ascii="Times New Roman" w:hAnsi="Times New Roman" w:eastAsia="宋体" w:cs="Times New Roman"/>
                <w:color w:val="auto"/>
                <w:kern w:val="0"/>
                <w:sz w:val="24"/>
                <w:szCs w:val="24"/>
                <w:u w:val="none" w:color="auto"/>
                <w:lang w:val="en-US" w:eastAsia="zh-CN"/>
              </w:rPr>
              <w:t>》（湘环评函</w:t>
            </w:r>
            <w:r>
              <w:rPr>
                <w:rFonts w:hint="eastAsia" w:ascii="Times New Roman" w:hAnsi="Times New Roman" w:cs="Times New Roman"/>
                <w:color w:val="auto"/>
                <w:kern w:val="0"/>
                <w:sz w:val="24"/>
                <w:szCs w:val="24"/>
                <w:u w:val="none" w:color="auto"/>
                <w:lang w:val="en-US" w:eastAsia="zh-CN"/>
              </w:rPr>
              <w:t>〔2022〕65号</w:t>
            </w:r>
            <w:r>
              <w:rPr>
                <w:rFonts w:hint="eastAsia" w:ascii="Times New Roman" w:hAnsi="Times New Roman" w:eastAsia="宋体" w:cs="Times New Roman"/>
                <w:color w:val="auto"/>
                <w:kern w:val="0"/>
                <w:sz w:val="24"/>
                <w:szCs w:val="24"/>
                <w:u w:val="none" w:color="auto"/>
                <w:lang w:val="en-US" w:eastAsia="zh-CN"/>
              </w:rPr>
              <w:t>）相符性分析见如下：</w:t>
            </w:r>
          </w:p>
          <w:p w14:paraId="3AFFD09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Cs w:val="21"/>
                <w:u w:val="none" w:color="auto"/>
                <w:lang w:val="en-US" w:eastAsia="zh-CN"/>
              </w:rPr>
            </w:pPr>
            <w:r>
              <w:rPr>
                <w:rFonts w:hint="eastAsia" w:ascii="Times New Roman" w:hAnsi="Times New Roman" w:eastAsia="宋体" w:cs="Times New Roman"/>
                <w:b/>
                <w:bCs/>
                <w:color w:val="auto"/>
                <w:kern w:val="0"/>
                <w:szCs w:val="21"/>
                <w:u w:val="none" w:color="auto"/>
                <w:lang w:val="en-US" w:eastAsia="zh-CN"/>
              </w:rPr>
              <w:t>表1-</w:t>
            </w:r>
            <w:r>
              <w:rPr>
                <w:rFonts w:hint="eastAsia" w:cs="Times New Roman"/>
                <w:b/>
                <w:bCs/>
                <w:color w:val="auto"/>
                <w:kern w:val="0"/>
                <w:szCs w:val="21"/>
                <w:u w:val="none" w:color="auto"/>
                <w:lang w:val="en-US" w:eastAsia="zh-CN"/>
              </w:rPr>
              <w:t>3</w:t>
            </w:r>
            <w:r>
              <w:rPr>
                <w:rFonts w:hint="eastAsia" w:ascii="Times New Roman" w:hAnsi="Times New Roman" w:eastAsia="宋体" w:cs="Times New Roman"/>
                <w:b/>
                <w:bCs/>
                <w:color w:val="auto"/>
                <w:kern w:val="0"/>
                <w:szCs w:val="21"/>
                <w:u w:val="none" w:color="auto"/>
                <w:lang w:val="en-US" w:eastAsia="zh-CN"/>
              </w:rPr>
              <w:t xml:space="preserve">  与（湘环评函〔2022〕65号）符合性分析</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685"/>
              <w:gridCol w:w="2327"/>
              <w:gridCol w:w="853"/>
            </w:tblGrid>
            <w:tr w14:paraId="41FE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295CE38E">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项目</w:t>
                  </w:r>
                </w:p>
              </w:tc>
              <w:tc>
                <w:tcPr>
                  <w:tcW w:w="1933" w:type="pct"/>
                  <w:tcBorders>
                    <w:tl2br w:val="nil"/>
                    <w:tr2bl w:val="nil"/>
                  </w:tcBorders>
                  <w:noWrap w:val="0"/>
                  <w:vAlign w:val="center"/>
                </w:tcPr>
                <w:p w14:paraId="76D23182">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批复情况</w:t>
                  </w:r>
                </w:p>
              </w:tc>
              <w:tc>
                <w:tcPr>
                  <w:tcW w:w="1676" w:type="pct"/>
                  <w:tcBorders>
                    <w:tl2br w:val="nil"/>
                    <w:tr2bl w:val="nil"/>
                  </w:tcBorders>
                  <w:noWrap w:val="0"/>
                  <w:vAlign w:val="center"/>
                </w:tcPr>
                <w:p w14:paraId="344B0CAF">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本项目情况</w:t>
                  </w:r>
                </w:p>
              </w:tc>
              <w:tc>
                <w:tcPr>
                  <w:tcW w:w="614" w:type="pct"/>
                  <w:tcBorders>
                    <w:tl2br w:val="nil"/>
                    <w:tr2bl w:val="nil"/>
                  </w:tcBorders>
                  <w:noWrap w:val="0"/>
                  <w:vAlign w:val="center"/>
                </w:tcPr>
                <w:p w14:paraId="58FF4CB3">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符合性分析</w:t>
                  </w:r>
                </w:p>
              </w:tc>
            </w:tr>
            <w:tr w14:paraId="7C49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pct"/>
                  <w:tcBorders>
                    <w:tl2br w:val="nil"/>
                    <w:tr2bl w:val="nil"/>
                  </w:tcBorders>
                  <w:noWrap w:val="0"/>
                  <w:vAlign w:val="center"/>
                </w:tcPr>
                <w:p w14:paraId="639D0D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严格依规开发，优化空间功能布局</w:t>
                  </w:r>
                </w:p>
              </w:tc>
              <w:tc>
                <w:tcPr>
                  <w:tcW w:w="1933" w:type="pct"/>
                  <w:tcBorders>
                    <w:tl2br w:val="nil"/>
                    <w:tr2bl w:val="nil"/>
                  </w:tcBorders>
                  <w:noWrap w:val="0"/>
                  <w:vAlign w:val="center"/>
                </w:tcPr>
                <w:p w14:paraId="25DA44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园区在进行国土空间规划和开发建设过程中应充分吸收规划环评对不同功能用地和不同工业用地类别的设置意见，从规划层面提升环境相容性，并严格按照经核准的园区规划范围开发建设，园区规划用地不得涉及各类法定保护地。湘阴县政府应确保落实湘阴政函</w:t>
                  </w:r>
                  <w:r>
                    <w:rPr>
                      <w:rFonts w:hint="eastAsia" w:cs="Times New Roman"/>
                      <w:color w:val="auto"/>
                      <w:kern w:val="0"/>
                      <w:sz w:val="21"/>
                      <w:szCs w:val="21"/>
                      <w:u w:val="none" w:color="auto"/>
                      <w:vertAlign w:val="baseline"/>
                      <w:lang w:val="en-US" w:eastAsia="zh-CN"/>
                    </w:rPr>
                    <w:t>〔2022〕108号</w:t>
                  </w:r>
                  <w:r>
                    <w:rPr>
                      <w:rFonts w:hint="default" w:ascii="Times New Roman" w:hAnsi="Times New Roman" w:eastAsia="宋体" w:cs="Times New Roman"/>
                      <w:color w:val="auto"/>
                      <w:kern w:val="0"/>
                      <w:sz w:val="21"/>
                      <w:szCs w:val="21"/>
                      <w:u w:val="none" w:color="auto"/>
                      <w:vertAlign w:val="baseline"/>
                      <w:lang w:val="en-US" w:eastAsia="zh-CN"/>
                    </w:rPr>
                    <w:t>承诺对湘阴县老工业区17家企业的搬迁和退出方案，切实推进企业入园发展，不得违反相关规定要求在园区外新增工业项目，新引进项目及园外企业搬迁入园过程中应着重从降低环境影响的角度出发合理选址布局，不得在一类工</w:t>
                  </w:r>
                  <w:r>
                    <w:rPr>
                      <w:rFonts w:hint="eastAsia" w:cs="Times New Roman"/>
                      <w:color w:val="auto"/>
                      <w:kern w:val="0"/>
                      <w:sz w:val="21"/>
                      <w:szCs w:val="21"/>
                      <w:u w:val="none" w:color="auto"/>
                      <w:vertAlign w:val="baseline"/>
                      <w:lang w:val="en-US" w:eastAsia="zh-CN"/>
                    </w:rPr>
                    <w:t>业用</w:t>
                  </w:r>
                  <w:r>
                    <w:rPr>
                      <w:rFonts w:hint="default" w:ascii="Times New Roman" w:hAnsi="Times New Roman" w:eastAsia="宋体" w:cs="Times New Roman"/>
                      <w:color w:val="auto"/>
                      <w:kern w:val="0"/>
                      <w:sz w:val="21"/>
                      <w:szCs w:val="21"/>
                      <w:u w:val="none" w:color="auto"/>
                      <w:vertAlign w:val="baseline"/>
                      <w:lang w:val="en-US" w:eastAsia="zh-CN"/>
                    </w:rPr>
                    <w:t>地上布局与之功能定位不相符的工业项目。园区调扩区发展方向涉及状元塔、左太傅祠省级文物保护范围及建设控制地带的地块，以及涉及湖南湘阴洋沙湖</w:t>
                  </w:r>
                  <w:r>
                    <w:rPr>
                      <w:rFonts w:hint="eastAsia" w:cs="Times New Roman"/>
                      <w:color w:val="auto"/>
                      <w:kern w:val="0"/>
                      <w:sz w:val="21"/>
                      <w:szCs w:val="21"/>
                      <w:u w:val="none" w:color="auto"/>
                      <w:vertAlign w:val="baseline"/>
                      <w:lang w:val="en-US" w:eastAsia="zh-CN"/>
                    </w:rPr>
                    <w:t>－</w:t>
                  </w:r>
                  <w:r>
                    <w:rPr>
                      <w:rFonts w:hint="default" w:ascii="Times New Roman" w:hAnsi="Times New Roman" w:eastAsia="宋体" w:cs="Times New Roman"/>
                      <w:color w:val="auto"/>
                      <w:kern w:val="0"/>
                      <w:sz w:val="21"/>
                      <w:szCs w:val="21"/>
                      <w:u w:val="none" w:color="auto"/>
                      <w:vertAlign w:val="baseline"/>
                      <w:lang w:val="en-US" w:eastAsia="zh-CN"/>
                    </w:rPr>
                    <w:t>东湖国家湿地公园的地块，建议不纳入园区的扩区规划范围。</w:t>
                  </w:r>
                </w:p>
              </w:tc>
              <w:tc>
                <w:tcPr>
                  <w:tcW w:w="1676" w:type="pct"/>
                  <w:tcBorders>
                    <w:tl2br w:val="nil"/>
                    <w:tr2bl w:val="nil"/>
                  </w:tcBorders>
                  <w:noWrap w:val="0"/>
                  <w:vAlign w:val="center"/>
                </w:tcPr>
                <w:p w14:paraId="5E48B8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本项目位于湘阴高新技术产业开发区</w:t>
                  </w:r>
                  <w:r>
                    <w:rPr>
                      <w:rFonts w:hint="eastAsia" w:ascii="Times New Roman" w:hAnsi="Times New Roman" w:eastAsia="宋体" w:cs="Times New Roman"/>
                      <w:color w:val="auto"/>
                      <w:kern w:val="0"/>
                      <w:sz w:val="21"/>
                      <w:szCs w:val="21"/>
                      <w:u w:val="none" w:color="auto"/>
                      <w:vertAlign w:val="baseline"/>
                      <w:lang w:val="en-US" w:eastAsia="zh-CN"/>
                    </w:rPr>
                    <w:t>洋沙湖片</w:t>
                  </w:r>
                  <w:r>
                    <w:rPr>
                      <w:rFonts w:hint="default" w:ascii="Times New Roman" w:hAnsi="Times New Roman" w:eastAsia="宋体" w:cs="Times New Roman"/>
                      <w:color w:val="auto"/>
                      <w:kern w:val="0"/>
                      <w:sz w:val="21"/>
                      <w:szCs w:val="21"/>
                      <w:u w:val="none" w:color="auto"/>
                      <w:vertAlign w:val="baseline"/>
                      <w:lang w:val="en-US" w:eastAsia="zh-CN"/>
                    </w:rPr>
                    <w:t>，用地类型为工业用地，且不属于第一类工业用地</w:t>
                  </w:r>
                  <w:r>
                    <w:rPr>
                      <w:rFonts w:hint="eastAsia" w:ascii="Times New Roman" w:hAnsi="Times New Roman" w:eastAsia="宋体" w:cs="Times New Roman"/>
                      <w:color w:val="auto"/>
                      <w:kern w:val="0"/>
                      <w:sz w:val="21"/>
                      <w:szCs w:val="21"/>
                      <w:u w:val="none" w:color="auto"/>
                      <w:vertAlign w:val="baseline"/>
                      <w:lang w:val="en-US" w:eastAsia="zh-CN"/>
                    </w:rPr>
                    <w:t>。</w:t>
                  </w:r>
                  <w:r>
                    <w:rPr>
                      <w:rFonts w:hint="default" w:ascii="Times New Roman" w:hAnsi="Times New Roman" w:eastAsia="宋体" w:cs="Times New Roman"/>
                      <w:color w:val="auto"/>
                      <w:kern w:val="0"/>
                      <w:sz w:val="21"/>
                      <w:szCs w:val="21"/>
                      <w:u w:val="none" w:color="auto"/>
                      <w:vertAlign w:val="baseline"/>
                      <w:lang w:val="en-US" w:eastAsia="zh-CN"/>
                    </w:rPr>
                    <w:t>项目评价范围不涉及状元塔、左太傅祠省级文物保护范围及建设控制地带的地块，不涉及湖南湘阴洋沙湖</w:t>
                  </w:r>
                  <w:r>
                    <w:rPr>
                      <w:rFonts w:hint="eastAsia" w:cs="Times New Roman"/>
                      <w:color w:val="auto"/>
                      <w:kern w:val="0"/>
                      <w:sz w:val="21"/>
                      <w:szCs w:val="21"/>
                      <w:u w:val="none" w:color="auto"/>
                      <w:vertAlign w:val="baseline"/>
                      <w:lang w:val="en-US" w:eastAsia="zh-CN"/>
                    </w:rPr>
                    <w:t>－</w:t>
                  </w:r>
                  <w:r>
                    <w:rPr>
                      <w:rFonts w:hint="default" w:ascii="Times New Roman" w:hAnsi="Times New Roman" w:eastAsia="宋体" w:cs="Times New Roman"/>
                      <w:color w:val="auto"/>
                      <w:kern w:val="0"/>
                      <w:sz w:val="21"/>
                      <w:szCs w:val="21"/>
                      <w:u w:val="none" w:color="auto"/>
                      <w:vertAlign w:val="baseline"/>
                      <w:lang w:val="en-US" w:eastAsia="zh-CN"/>
                    </w:rPr>
                    <w:t>东湖国家湿地公园的地块，符合规划环评要求。</w:t>
                  </w:r>
                </w:p>
              </w:tc>
              <w:tc>
                <w:tcPr>
                  <w:tcW w:w="614" w:type="pct"/>
                  <w:tcBorders>
                    <w:tl2br w:val="nil"/>
                    <w:tr2bl w:val="nil"/>
                  </w:tcBorders>
                  <w:noWrap w:val="0"/>
                  <w:vAlign w:val="center"/>
                </w:tcPr>
                <w:p w14:paraId="1D6033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符合</w:t>
                  </w:r>
                </w:p>
              </w:tc>
            </w:tr>
            <w:tr w14:paraId="6A31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1B7A6F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严格环境准入，优化园区产业结构</w:t>
                  </w:r>
                </w:p>
              </w:tc>
              <w:tc>
                <w:tcPr>
                  <w:tcW w:w="1933" w:type="pct"/>
                  <w:tcBorders>
                    <w:tl2br w:val="nil"/>
                    <w:tr2bl w:val="nil"/>
                  </w:tcBorders>
                  <w:noWrap w:val="0"/>
                  <w:vAlign w:val="center"/>
                </w:tcPr>
                <w:p w14:paraId="0FD003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园区产业引进应严格遵循《</w:t>
                  </w:r>
                  <w:r>
                    <w:rPr>
                      <w:rFonts w:hint="eastAsia" w:cs="Times New Roman"/>
                      <w:color w:val="auto"/>
                      <w:kern w:val="0"/>
                      <w:sz w:val="21"/>
                      <w:szCs w:val="21"/>
                      <w:u w:val="none" w:color="auto"/>
                      <w:vertAlign w:val="baseline"/>
                      <w:lang w:val="en-US" w:eastAsia="zh-CN"/>
                    </w:rPr>
                    <w:t>中华人民共和国长江保护法》《</w:t>
                  </w:r>
                  <w:r>
                    <w:rPr>
                      <w:rFonts w:hint="default" w:ascii="Times New Roman" w:hAnsi="Times New Roman" w:eastAsia="宋体" w:cs="Times New Roman"/>
                      <w:color w:val="auto"/>
                      <w:kern w:val="0"/>
                      <w:sz w:val="21"/>
                      <w:szCs w:val="21"/>
                      <w:u w:val="none" w:color="auto"/>
                      <w:vertAlign w:val="baseline"/>
                      <w:lang w:val="en-US" w:eastAsia="zh-CN"/>
                    </w:rPr>
                    <w:t>长江经济带发展负面清单</w:t>
                  </w:r>
                  <w:r>
                    <w:rPr>
                      <w:rFonts w:hint="eastAsia" w:cs="Times New Roman"/>
                      <w:color w:val="auto"/>
                      <w:kern w:val="0"/>
                      <w:sz w:val="21"/>
                      <w:szCs w:val="21"/>
                      <w:u w:val="none" w:color="auto"/>
                      <w:vertAlign w:val="baseline"/>
                      <w:lang w:val="en-US" w:eastAsia="zh-CN"/>
                    </w:rPr>
                    <w:t>》《</w:t>
                  </w:r>
                  <w:r>
                    <w:rPr>
                      <w:rFonts w:hint="default" w:ascii="Times New Roman" w:hAnsi="Times New Roman" w:eastAsia="宋体" w:cs="Times New Roman"/>
                      <w:color w:val="auto"/>
                      <w:kern w:val="0"/>
                      <w:sz w:val="21"/>
                      <w:szCs w:val="21"/>
                      <w:u w:val="none" w:color="auto"/>
                      <w:vertAlign w:val="baseline"/>
                      <w:lang w:val="en-US" w:eastAsia="zh-CN"/>
                    </w:rPr>
                    <w:t>湘江保护条例</w:t>
                  </w:r>
                  <w:r>
                    <w:rPr>
                      <w:rFonts w:hint="eastAsia" w:cs="Times New Roman"/>
                      <w:color w:val="auto"/>
                      <w:kern w:val="0"/>
                      <w:sz w:val="21"/>
                      <w:szCs w:val="21"/>
                      <w:u w:val="none" w:color="auto"/>
                      <w:vertAlign w:val="baseline"/>
                      <w:lang w:val="en-US" w:eastAsia="zh-CN"/>
                    </w:rPr>
                    <w:t>》《</w:t>
                  </w:r>
                  <w:r>
                    <w:rPr>
                      <w:rFonts w:hint="default" w:ascii="Times New Roman" w:hAnsi="Times New Roman" w:eastAsia="宋体" w:cs="Times New Roman"/>
                      <w:color w:val="auto"/>
                      <w:kern w:val="0"/>
                      <w:sz w:val="21"/>
                      <w:szCs w:val="21"/>
                      <w:u w:val="none" w:color="auto"/>
                      <w:vertAlign w:val="baseline"/>
                      <w:lang w:val="en-US" w:eastAsia="zh-CN"/>
                    </w:rPr>
                    <w:t>洞庭湖保护条例》等法律法规及相关政策的要求，落实园区“三线一单”环境准入要求，严格执行《报告书》提出的产业定位和生态环境准入清单。对于园区外已有企业或项目的搬迁入园应确保实现其清洁生产水平的提升与污染物排放总量的降低。临港片区严控以气型污染为主的企业入驻；金龙片区限制水型污染为主的企业入驻。</w:t>
                  </w:r>
                </w:p>
              </w:tc>
              <w:tc>
                <w:tcPr>
                  <w:tcW w:w="1676" w:type="pct"/>
                  <w:tcBorders>
                    <w:tl2br w:val="nil"/>
                    <w:tr2bl w:val="nil"/>
                  </w:tcBorders>
                  <w:noWrap w:val="0"/>
                  <w:vAlign w:val="center"/>
                </w:tcPr>
                <w:p w14:paraId="686FF5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本项目位于</w:t>
                  </w:r>
                  <w:r>
                    <w:rPr>
                      <w:rFonts w:hint="eastAsia" w:ascii="Times New Roman" w:hAnsi="Times New Roman" w:eastAsia="宋体" w:cs="Times New Roman"/>
                      <w:color w:val="auto"/>
                      <w:kern w:val="0"/>
                      <w:sz w:val="21"/>
                      <w:szCs w:val="21"/>
                      <w:u w:val="none" w:color="auto"/>
                      <w:vertAlign w:val="baseline"/>
                      <w:lang w:val="en-US" w:eastAsia="zh-CN"/>
                    </w:rPr>
                    <w:t>湘阴县湘阴高新技术产业开发区洋沙湖片区</w:t>
                  </w:r>
                  <w:r>
                    <w:rPr>
                      <w:rFonts w:hint="default" w:ascii="Times New Roman" w:hAnsi="Times New Roman" w:eastAsia="宋体" w:cs="Times New Roman"/>
                      <w:color w:val="auto"/>
                      <w:kern w:val="0"/>
                      <w:sz w:val="21"/>
                      <w:szCs w:val="21"/>
                      <w:u w:val="none" w:color="auto"/>
                      <w:vertAlign w:val="baseline"/>
                      <w:lang w:val="en-US" w:eastAsia="zh-CN"/>
                    </w:rPr>
                    <w:t>，</w:t>
                  </w:r>
                  <w:r>
                    <w:rPr>
                      <w:rFonts w:hint="eastAsia" w:ascii="Times New Roman" w:hAnsi="Times New Roman" w:eastAsia="宋体" w:cs="Times New Roman"/>
                      <w:color w:val="auto"/>
                      <w:kern w:val="0"/>
                      <w:sz w:val="21"/>
                      <w:szCs w:val="21"/>
                      <w:u w:val="none" w:color="auto"/>
                      <w:vertAlign w:val="baseline"/>
                      <w:lang w:val="en-US" w:eastAsia="zh-CN"/>
                    </w:rPr>
                    <w:t>本</w:t>
                  </w:r>
                  <w:r>
                    <w:rPr>
                      <w:rFonts w:hint="default" w:ascii="Times New Roman" w:hAnsi="Times New Roman" w:eastAsia="宋体" w:cs="Times New Roman"/>
                      <w:color w:val="auto"/>
                      <w:kern w:val="0"/>
                      <w:sz w:val="21"/>
                      <w:szCs w:val="21"/>
                      <w:u w:val="none" w:color="auto"/>
                      <w:vertAlign w:val="baseline"/>
                      <w:lang w:val="en-US" w:eastAsia="zh-CN"/>
                    </w:rPr>
                    <w:t>项目</w:t>
                  </w:r>
                  <w:r>
                    <w:rPr>
                      <w:rFonts w:hint="eastAsia" w:ascii="Times New Roman" w:hAnsi="Times New Roman" w:eastAsia="宋体" w:cs="Times New Roman"/>
                      <w:color w:val="auto"/>
                      <w:kern w:val="0"/>
                      <w:sz w:val="21"/>
                      <w:szCs w:val="21"/>
                      <w:u w:val="none" w:color="auto"/>
                      <w:vertAlign w:val="baseline"/>
                      <w:lang w:val="en-US" w:eastAsia="zh-CN"/>
                    </w:rPr>
                    <w:t>主行业属于</w:t>
                  </w:r>
                  <w:r>
                    <w:rPr>
                      <w:rFonts w:hint="default" w:ascii="Times New Roman" w:hAnsi="Times New Roman" w:eastAsia="宋体" w:cs="Times New Roman"/>
                      <w:color w:val="auto"/>
                      <w:kern w:val="0"/>
                      <w:sz w:val="21"/>
                      <w:szCs w:val="21"/>
                      <w:u w:val="none" w:color="auto"/>
                      <w:vertAlign w:val="baseline"/>
                      <w:lang w:val="en-US" w:eastAsia="zh-CN"/>
                    </w:rPr>
                    <w:t>《国民经济行业分类》(GB/T4754-2017</w:t>
                  </w:r>
                  <w:r>
                    <w:rPr>
                      <w:rFonts w:hint="eastAsia" w:ascii="Times New Roman" w:hAnsi="Times New Roman" w:eastAsia="宋体" w:cs="Times New Roman"/>
                      <w:color w:val="auto"/>
                      <w:kern w:val="0"/>
                      <w:sz w:val="21"/>
                      <w:szCs w:val="21"/>
                      <w:u w:val="none" w:color="auto"/>
                      <w:vertAlign w:val="baseline"/>
                      <w:lang w:val="en-US" w:eastAsia="zh-CN"/>
                    </w:rPr>
                    <w:t>）的C3489其他通用零部件制造</w:t>
                  </w:r>
                  <w:r>
                    <w:rPr>
                      <w:rFonts w:hint="default" w:ascii="Times New Roman" w:hAnsi="Times New Roman" w:eastAsia="宋体" w:cs="Times New Roman"/>
                      <w:color w:val="auto"/>
                      <w:kern w:val="0"/>
                      <w:sz w:val="21"/>
                      <w:szCs w:val="21"/>
                      <w:u w:val="none" w:color="auto"/>
                      <w:vertAlign w:val="baseline"/>
                      <w:lang w:val="en-US" w:eastAsia="zh-CN"/>
                    </w:rPr>
                    <w:t>，与园区产业定位不冲突。本项目</w:t>
                  </w:r>
                  <w:r>
                    <w:rPr>
                      <w:rFonts w:hint="eastAsia" w:ascii="Times New Roman" w:hAnsi="Times New Roman" w:eastAsia="宋体" w:cs="Times New Roman"/>
                      <w:color w:val="auto"/>
                      <w:kern w:val="0"/>
                      <w:sz w:val="21"/>
                      <w:szCs w:val="21"/>
                      <w:u w:val="none" w:color="auto"/>
                      <w:vertAlign w:val="baseline"/>
                      <w:lang w:val="en-US" w:eastAsia="zh-CN"/>
                    </w:rPr>
                    <w:t>已取得湘阴县联审意见：湘阴项目</w:t>
                  </w:r>
                  <w:r>
                    <w:rPr>
                      <w:rFonts w:hint="eastAsia" w:cs="Times New Roman"/>
                      <w:color w:val="auto"/>
                      <w:kern w:val="0"/>
                      <w:sz w:val="21"/>
                      <w:szCs w:val="21"/>
                      <w:u w:val="none" w:color="auto"/>
                      <w:vertAlign w:val="baseline"/>
                      <w:lang w:val="en-US" w:eastAsia="zh-CN"/>
                    </w:rPr>
                    <w:t>联审[2020]31号</w:t>
                  </w:r>
                  <w:r>
                    <w:rPr>
                      <w:rFonts w:hint="eastAsia" w:ascii="Times New Roman" w:hAnsi="Times New Roman" w:cs="Times New Roman"/>
                      <w:color w:val="auto"/>
                      <w:kern w:val="0"/>
                      <w:szCs w:val="21"/>
                      <w:u w:val="none" w:color="auto"/>
                      <w:vertAlign w:val="baseline"/>
                      <w:lang w:val="en-US" w:eastAsia="zh-CN"/>
                    </w:rPr>
                    <w:t>；</w:t>
                  </w:r>
                </w:p>
                <w:p w14:paraId="009F0B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项目符合《</w:t>
                  </w:r>
                  <w:r>
                    <w:rPr>
                      <w:rFonts w:hint="eastAsia" w:cs="Times New Roman"/>
                      <w:color w:val="auto"/>
                      <w:kern w:val="0"/>
                      <w:sz w:val="21"/>
                      <w:szCs w:val="21"/>
                      <w:u w:val="none" w:color="auto"/>
                      <w:vertAlign w:val="baseline"/>
                      <w:lang w:val="en-US" w:eastAsia="zh-CN"/>
                    </w:rPr>
                    <w:t>中华人民共和国长江保护法</w:t>
                  </w:r>
                  <w:r>
                    <w:rPr>
                      <w:rFonts w:hint="default" w:ascii="Times New Roman" w:hAnsi="Times New Roman" w:eastAsia="宋体" w:cs="Times New Roman"/>
                      <w:color w:val="auto"/>
                      <w:kern w:val="0"/>
                      <w:sz w:val="21"/>
                      <w:szCs w:val="21"/>
                      <w:u w:val="none" w:color="auto"/>
                      <w:vertAlign w:val="baseline"/>
                      <w:lang w:val="en-US" w:eastAsia="zh-CN"/>
                    </w:rPr>
                    <w:t>》《长江经济带发展负面清单》《湘江保护条例》</w:t>
                  </w:r>
                  <w:r>
                    <w:rPr>
                      <w:rFonts w:hint="eastAsia" w:cs="Times New Roman"/>
                      <w:color w:val="auto"/>
                      <w:kern w:val="0"/>
                      <w:sz w:val="21"/>
                      <w:szCs w:val="21"/>
                      <w:u w:val="none" w:color="auto"/>
                      <w:vertAlign w:val="baseline"/>
                      <w:lang w:val="en-US" w:eastAsia="zh-CN"/>
                    </w:rPr>
                    <w:t>《</w:t>
                  </w:r>
                  <w:r>
                    <w:rPr>
                      <w:rFonts w:hint="default" w:ascii="Times New Roman" w:hAnsi="Times New Roman" w:eastAsia="宋体" w:cs="Times New Roman"/>
                      <w:color w:val="auto"/>
                      <w:kern w:val="0"/>
                      <w:sz w:val="21"/>
                      <w:szCs w:val="21"/>
                      <w:u w:val="none" w:color="auto"/>
                      <w:vertAlign w:val="baseline"/>
                      <w:lang w:val="en-US" w:eastAsia="zh-CN"/>
                    </w:rPr>
                    <w:t>洞庭湖保护条例》等法律法规及相关政策的要求。项目不属于园区规划环评中负面清单产业。</w:t>
                  </w:r>
                </w:p>
              </w:tc>
              <w:tc>
                <w:tcPr>
                  <w:tcW w:w="614" w:type="pct"/>
                  <w:tcBorders>
                    <w:tl2br w:val="nil"/>
                    <w:tr2bl w:val="nil"/>
                  </w:tcBorders>
                  <w:noWrap w:val="0"/>
                  <w:vAlign w:val="center"/>
                </w:tcPr>
                <w:p w14:paraId="061D1A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符合</w:t>
                  </w:r>
                </w:p>
              </w:tc>
            </w:tr>
            <w:tr w14:paraId="0A14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15A37C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落实管控措施，加强园区排污管理</w:t>
                  </w:r>
                </w:p>
              </w:tc>
              <w:tc>
                <w:tcPr>
                  <w:tcW w:w="1933" w:type="pct"/>
                  <w:tcBorders>
                    <w:tl2br w:val="nil"/>
                    <w:tr2bl w:val="nil"/>
                  </w:tcBorders>
                  <w:noWrap w:val="0"/>
                  <w:vAlign w:val="center"/>
                </w:tcPr>
                <w:p w14:paraId="5C0FEF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完善污水管网建设，做好雨污分流，确保园区各片区生产</w:t>
                  </w:r>
                  <w:r>
                    <w:rPr>
                      <w:rFonts w:hint="eastAsia" w:cs="Times New Roman"/>
                      <w:color w:val="auto"/>
                      <w:kern w:val="0"/>
                      <w:sz w:val="21"/>
                      <w:szCs w:val="21"/>
                      <w:u w:val="none" w:color="auto"/>
                      <w:vertAlign w:val="baseline"/>
                      <w:lang w:val="en-US" w:eastAsia="zh-CN"/>
                    </w:rPr>
                    <w:t>生活污水</w:t>
                  </w:r>
                  <w:r>
                    <w:rPr>
                      <w:rFonts w:hint="default" w:ascii="Times New Roman" w:hAnsi="Times New Roman" w:eastAsia="宋体" w:cs="Times New Roman"/>
                      <w:color w:val="auto"/>
                      <w:kern w:val="0"/>
                      <w:sz w:val="21"/>
                      <w:szCs w:val="21"/>
                      <w:u w:val="none" w:color="auto"/>
                      <w:vertAlign w:val="baseline"/>
                      <w:lang w:val="en-US" w:eastAsia="zh-CN"/>
                    </w:rPr>
                    <w:t>应收尽收，集中排入污水处理厂，园区不得超过污水处理厂的处理能力和入河排污口设置审批所规定的废水排放量引进项目。</w:t>
                  </w:r>
                  <w:r>
                    <w:rPr>
                      <w:rFonts w:hint="eastAsia" w:cs="Times New Roman"/>
                      <w:color w:val="auto"/>
                      <w:kern w:val="0"/>
                      <w:sz w:val="21"/>
                      <w:szCs w:val="21"/>
                      <w:u w:val="none" w:color="auto"/>
                      <w:vertAlign w:val="baseline"/>
                      <w:lang w:val="en-US" w:eastAsia="zh-CN"/>
                    </w:rPr>
                    <w:t>洋沙湖</w:t>
                  </w:r>
                  <w:r>
                    <w:rPr>
                      <w:rFonts w:hint="default" w:ascii="Times New Roman" w:hAnsi="Times New Roman" w:eastAsia="宋体" w:cs="Times New Roman"/>
                      <w:color w:val="auto"/>
                      <w:kern w:val="0"/>
                      <w:sz w:val="21"/>
                      <w:szCs w:val="21"/>
                      <w:u w:val="none" w:color="auto"/>
                      <w:vertAlign w:val="baseline"/>
                      <w:lang w:val="en-US" w:eastAsia="zh-CN"/>
                    </w:rPr>
                    <w:t>片区应按承诺时限要求完成</w:t>
                  </w:r>
                  <w:r>
                    <w:rPr>
                      <w:rFonts w:hint="eastAsia" w:cs="Times New Roman"/>
                      <w:color w:val="auto"/>
                      <w:kern w:val="0"/>
                      <w:sz w:val="21"/>
                      <w:szCs w:val="21"/>
                      <w:u w:val="none" w:color="auto"/>
                      <w:vertAlign w:val="baseline"/>
                      <w:lang w:val="en-US" w:eastAsia="zh-CN"/>
                    </w:rPr>
                    <w:t>湘阴县第二污水处理厂</w:t>
                  </w:r>
                  <w:r>
                    <w:rPr>
                      <w:rFonts w:hint="default" w:ascii="Times New Roman" w:hAnsi="Times New Roman" w:eastAsia="宋体" w:cs="Times New Roman"/>
                      <w:color w:val="auto"/>
                      <w:kern w:val="0"/>
                      <w:sz w:val="21"/>
                      <w:szCs w:val="21"/>
                      <w:u w:val="none" w:color="auto"/>
                      <w:vertAlign w:val="baseline"/>
                      <w:lang w:val="en-US" w:eastAsia="zh-CN"/>
                    </w:rPr>
                    <w:t>提标升级改造工作，其排放标准应按《湖南省城镇污水处理厂主要水污染物排放标准》（DB43/T 1546-2018）一级标准予以执行。园区应推广使用清洁能源，加强园区大气污染防治，采取有效措施减少污染物排放总量，严格控制无组织排放 ，加强对园区企业VOCs排放的治理。建立园区固废规范化管理体系，做好工业固体废物和生活垃圾的分类收集、转运、综合利用和无害化处理。对危险废物应严格按照国家有关规定综合利用或妥善处置，对危险废物产生企业和经营单位，应强化日常环境监管。园区企业须严格落实排污许可制度和污染物排放总量控制，推动入园企业开展清洁生产审核。</w:t>
                  </w:r>
                </w:p>
              </w:tc>
              <w:tc>
                <w:tcPr>
                  <w:tcW w:w="1676" w:type="pct"/>
                  <w:tcBorders>
                    <w:tl2br w:val="nil"/>
                    <w:tr2bl w:val="nil"/>
                  </w:tcBorders>
                  <w:noWrap w:val="0"/>
                  <w:vAlign w:val="center"/>
                </w:tcPr>
                <w:p w14:paraId="1BDE9B28">
                  <w:pPr>
                    <w:pStyle w:val="44"/>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kern w:val="0"/>
                      <w:sz w:val="21"/>
                      <w:szCs w:val="21"/>
                      <w:u w:val="none" w:color="auto"/>
                      <w:vertAlign w:val="baseline"/>
                      <w:lang w:val="en-US" w:eastAsia="zh-CN"/>
                    </w:rPr>
                  </w:pPr>
                  <w:r>
                    <w:rPr>
                      <w:rFonts w:hint="eastAsia" w:eastAsia="宋体" w:cs="Times New Roman"/>
                      <w:color w:val="auto"/>
                      <w:kern w:val="0"/>
                      <w:sz w:val="21"/>
                      <w:szCs w:val="21"/>
                      <w:u w:val="none" w:color="auto"/>
                      <w:vertAlign w:val="baseline"/>
                      <w:lang w:val="en-US" w:eastAsia="zh-CN"/>
                    </w:rPr>
                    <w:t>本项目主要为生活污水，经化粪池处理后</w:t>
                  </w:r>
                  <w:r>
                    <w:rPr>
                      <w:rFonts w:hint="default" w:ascii="Times New Roman" w:hAnsi="Times New Roman" w:eastAsia="宋体" w:cs="Times New Roman"/>
                      <w:color w:val="auto"/>
                      <w:kern w:val="0"/>
                      <w:sz w:val="21"/>
                      <w:szCs w:val="21"/>
                      <w:u w:val="none" w:color="auto"/>
                      <w:vertAlign w:val="baseline"/>
                      <w:lang w:val="en-US" w:eastAsia="zh-CN"/>
                    </w:rPr>
                    <w:t>进入</w:t>
                  </w:r>
                  <w:r>
                    <w:rPr>
                      <w:rFonts w:hint="eastAsia" w:eastAsia="宋体" w:cs="Times New Roman"/>
                      <w:color w:val="auto"/>
                      <w:kern w:val="0"/>
                      <w:sz w:val="21"/>
                      <w:szCs w:val="21"/>
                      <w:u w:val="none" w:color="auto"/>
                      <w:vertAlign w:val="baseline"/>
                      <w:lang w:val="en-US" w:eastAsia="zh-CN"/>
                    </w:rPr>
                    <w:t>湘阴县第二污水处理厂</w:t>
                  </w:r>
                  <w:r>
                    <w:rPr>
                      <w:rFonts w:hint="default" w:ascii="Times New Roman" w:hAnsi="Times New Roman" w:eastAsia="宋体" w:cs="Times New Roman"/>
                      <w:color w:val="auto"/>
                      <w:kern w:val="0"/>
                      <w:sz w:val="21"/>
                      <w:szCs w:val="21"/>
                      <w:u w:val="none" w:color="auto"/>
                      <w:vertAlign w:val="baseline"/>
                      <w:lang w:val="en-US" w:eastAsia="zh-CN"/>
                    </w:rPr>
                    <w:t>处理</w:t>
                  </w:r>
                  <w:r>
                    <w:rPr>
                      <w:rFonts w:hint="eastAsia" w:eastAsia="宋体" w:cs="Times New Roman"/>
                      <w:color w:val="auto"/>
                      <w:kern w:val="0"/>
                      <w:sz w:val="21"/>
                      <w:szCs w:val="21"/>
                      <w:u w:val="none" w:color="auto"/>
                      <w:vertAlign w:val="baseline"/>
                      <w:lang w:val="en-US" w:eastAsia="zh-CN"/>
                    </w:rPr>
                    <w:t>深度处理；生产废水主要为清洗废水，不外排，做危废处理</w:t>
                  </w:r>
                  <w:r>
                    <w:rPr>
                      <w:rFonts w:hint="default" w:ascii="Times New Roman" w:hAnsi="Times New Roman" w:eastAsia="宋体" w:cs="Times New Roman"/>
                      <w:color w:val="auto"/>
                      <w:kern w:val="0"/>
                      <w:sz w:val="21"/>
                      <w:szCs w:val="21"/>
                      <w:u w:val="none" w:color="auto"/>
                      <w:vertAlign w:val="baseline"/>
                      <w:lang w:val="en-US" w:eastAsia="zh-CN"/>
                    </w:rPr>
                    <w:t>；</w:t>
                  </w:r>
                  <w:r>
                    <w:rPr>
                      <w:rFonts w:hint="default" w:ascii="Times New Roman" w:hAnsi="Times New Roman" w:eastAsia="宋体" w:cs="Times New Roman"/>
                      <w:b w:val="0"/>
                      <w:bCs/>
                      <w:color w:val="auto"/>
                      <w:kern w:val="0"/>
                      <w:sz w:val="21"/>
                      <w:szCs w:val="21"/>
                      <w:u w:val="none" w:color="auto"/>
                      <w:vertAlign w:val="baseline"/>
                      <w:lang w:val="en-US" w:eastAsia="zh-CN"/>
                    </w:rPr>
                    <w:t xml:space="preserve">  </w:t>
                  </w:r>
                </w:p>
                <w:p w14:paraId="5AA722A0">
                  <w:pPr>
                    <w:pStyle w:val="44"/>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kern w:val="0"/>
                      <w:sz w:val="21"/>
                      <w:szCs w:val="21"/>
                      <w:u w:val="none" w:color="auto"/>
                      <w:vertAlign w:val="baseline"/>
                      <w:lang w:val="en-US" w:eastAsia="zh-CN"/>
                    </w:rPr>
                  </w:pPr>
                  <w:r>
                    <w:rPr>
                      <w:rFonts w:hint="default" w:ascii="Times New Roman" w:hAnsi="Times New Roman" w:eastAsia="宋体" w:cs="Times New Roman"/>
                      <w:b w:val="0"/>
                      <w:bCs/>
                      <w:color w:val="auto"/>
                      <w:kern w:val="0"/>
                      <w:sz w:val="21"/>
                      <w:szCs w:val="21"/>
                      <w:u w:val="none" w:color="auto"/>
                      <w:vertAlign w:val="baseline"/>
                      <w:lang w:val="en-US" w:eastAsia="zh-CN"/>
                    </w:rPr>
                    <w:t>本项目一般固废暂存一般固废间后交物资回收单位处理</w:t>
                  </w:r>
                  <w:r>
                    <w:rPr>
                      <w:rFonts w:hint="eastAsia" w:eastAsia="宋体" w:cs="Times New Roman"/>
                      <w:b w:val="0"/>
                      <w:bCs/>
                      <w:color w:val="auto"/>
                      <w:kern w:val="0"/>
                      <w:sz w:val="21"/>
                      <w:szCs w:val="21"/>
                      <w:u w:val="none" w:color="auto"/>
                      <w:vertAlign w:val="baseline"/>
                      <w:lang w:val="en-US" w:eastAsia="zh-CN"/>
                    </w:rPr>
                    <w:t>；危险废物暂存于危废间，定期委托有资质单位回收。</w:t>
                  </w:r>
                  <w:r>
                    <w:rPr>
                      <w:rFonts w:hint="default" w:ascii="Times New Roman" w:hAnsi="Times New Roman" w:eastAsia="宋体" w:cs="Times New Roman"/>
                      <w:b w:val="0"/>
                      <w:bCs/>
                      <w:color w:val="auto"/>
                      <w:kern w:val="0"/>
                      <w:sz w:val="21"/>
                      <w:szCs w:val="21"/>
                      <w:u w:val="none" w:color="auto"/>
                      <w:vertAlign w:val="baseline"/>
                      <w:lang w:val="en-US" w:eastAsia="zh-CN"/>
                    </w:rPr>
                    <w:t xml:space="preserve"> </w:t>
                  </w:r>
                </w:p>
                <w:p w14:paraId="2D1AE227">
                  <w:pPr>
                    <w:pStyle w:val="44"/>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default" w:ascii="Times New Roman" w:hAnsi="Times New Roman" w:eastAsia="宋体" w:cs="Times New Roman"/>
                      <w:b w:val="0"/>
                      <w:bCs/>
                      <w:color w:val="auto"/>
                      <w:kern w:val="0"/>
                      <w:sz w:val="21"/>
                      <w:szCs w:val="21"/>
                      <w:u w:val="none" w:color="auto"/>
                      <w:vertAlign w:val="baseline"/>
                      <w:lang w:val="en-US" w:eastAsia="zh-CN"/>
                    </w:rPr>
                    <w:t>本项目所用能源主要为电能</w:t>
                  </w:r>
                  <w:r>
                    <w:rPr>
                      <w:rFonts w:hint="default" w:ascii="Times New Roman" w:hAnsi="Times New Roman" w:eastAsia="宋体" w:cs="Times New Roman"/>
                      <w:color w:val="auto"/>
                      <w:kern w:val="0"/>
                      <w:sz w:val="21"/>
                      <w:szCs w:val="21"/>
                      <w:u w:val="none" w:color="auto"/>
                      <w:vertAlign w:val="baseline"/>
                      <w:lang w:val="en-US" w:eastAsia="zh-CN" w:bidi="ar-SA"/>
                    </w:rPr>
                    <w:t>。</w:t>
                  </w:r>
                </w:p>
                <w:p w14:paraId="43B241FC">
                  <w:pPr>
                    <w:pStyle w:val="44"/>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420" w:firstLineChars="20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b w:val="0"/>
                      <w:bCs/>
                      <w:color w:val="auto"/>
                      <w:kern w:val="0"/>
                      <w:sz w:val="21"/>
                      <w:szCs w:val="21"/>
                      <w:u w:val="none" w:color="auto"/>
                      <w:vertAlign w:val="baseline"/>
                      <w:lang w:val="en-US" w:eastAsia="zh-CN"/>
                    </w:rPr>
                    <w:t>本项目建成后会严格落实排污许可制度和污染物排放总量控制。</w:t>
                  </w:r>
                </w:p>
              </w:tc>
              <w:tc>
                <w:tcPr>
                  <w:tcW w:w="614" w:type="pct"/>
                  <w:tcBorders>
                    <w:tl2br w:val="nil"/>
                    <w:tr2bl w:val="nil"/>
                  </w:tcBorders>
                  <w:noWrap w:val="0"/>
                  <w:vAlign w:val="center"/>
                </w:tcPr>
                <w:p w14:paraId="22F569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符合</w:t>
                  </w:r>
                </w:p>
              </w:tc>
            </w:tr>
            <w:tr w14:paraId="1689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1D75AA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完善监测体系，监控环境质量变化状况</w:t>
                  </w:r>
                </w:p>
              </w:tc>
              <w:tc>
                <w:tcPr>
                  <w:tcW w:w="1933" w:type="pct"/>
                  <w:tcBorders>
                    <w:tl2br w:val="nil"/>
                    <w:tr2bl w:val="nil"/>
                  </w:tcBorders>
                  <w:noWrap w:val="0"/>
                  <w:vAlign w:val="center"/>
                </w:tcPr>
                <w:p w14:paraId="5BE3B3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结合园区规划的功能分区、产业布局、重点企业分布、特征污染物的排放种类和状况、环境敏感目标分布等，建立健全环境空气、地表水、地下水、土壤等环境要素的监控体系。合理布局大气小微站，并涵盖相关特征污染物监测。</w:t>
                  </w:r>
                </w:p>
              </w:tc>
              <w:tc>
                <w:tcPr>
                  <w:tcW w:w="1676" w:type="pct"/>
                  <w:tcBorders>
                    <w:tl2br w:val="nil"/>
                    <w:tr2bl w:val="nil"/>
                  </w:tcBorders>
                  <w:noWrap w:val="0"/>
                  <w:vAlign w:val="center"/>
                </w:tcPr>
                <w:p w14:paraId="36CC95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本项目会按相关规定</w:t>
                  </w:r>
                  <w:r>
                    <w:rPr>
                      <w:rFonts w:hint="eastAsia" w:cs="Times New Roman"/>
                      <w:color w:val="auto"/>
                      <w:kern w:val="0"/>
                      <w:sz w:val="21"/>
                      <w:szCs w:val="21"/>
                      <w:u w:val="none" w:color="auto"/>
                      <w:vertAlign w:val="baseline"/>
                      <w:lang w:val="en-US" w:eastAsia="zh-CN"/>
                    </w:rPr>
                    <w:t>制定监测计划，并按时监测</w:t>
                  </w:r>
                  <w:r>
                    <w:rPr>
                      <w:rFonts w:hint="default" w:ascii="Times New Roman" w:hAnsi="Times New Roman" w:eastAsia="宋体" w:cs="Times New Roman"/>
                      <w:color w:val="auto"/>
                      <w:kern w:val="0"/>
                      <w:sz w:val="21"/>
                      <w:szCs w:val="21"/>
                      <w:u w:val="none" w:color="auto"/>
                      <w:vertAlign w:val="baseline"/>
                      <w:lang w:val="en-US" w:eastAsia="zh-CN"/>
                    </w:rPr>
                    <w:t>。</w:t>
                  </w:r>
                </w:p>
              </w:tc>
              <w:tc>
                <w:tcPr>
                  <w:tcW w:w="614" w:type="pct"/>
                  <w:tcBorders>
                    <w:tl2br w:val="nil"/>
                    <w:tr2bl w:val="nil"/>
                  </w:tcBorders>
                  <w:noWrap w:val="0"/>
                  <w:vAlign w:val="center"/>
                </w:tcPr>
                <w:p w14:paraId="794143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符合</w:t>
                  </w:r>
                </w:p>
              </w:tc>
            </w:tr>
            <w:tr w14:paraId="1DB0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0A4915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强化风险管控，严防园区环境事故</w:t>
                  </w:r>
                </w:p>
              </w:tc>
              <w:tc>
                <w:tcPr>
                  <w:tcW w:w="1933" w:type="pct"/>
                  <w:tcBorders>
                    <w:tl2br w:val="nil"/>
                    <w:tr2bl w:val="nil"/>
                  </w:tcBorders>
                  <w:noWrap w:val="0"/>
                  <w:vAlign w:val="center"/>
                </w:tcPr>
                <w:p w14:paraId="37EC63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建立健全园区环境风险管理长效机制，开发区管理机构应建立环境监督管理机构；落实环境风险防控措施，及时完成园区环境应急预案的修订和备案工作及推动重点污染企业环境应急预案编制和备案工作，加强应急救援队伍、装备和设施建设，储备必要的应急物资，有计划地组织应急培训和演练，全面提升园区风险防控和事故应急处置能力。</w:t>
                  </w:r>
                </w:p>
              </w:tc>
              <w:tc>
                <w:tcPr>
                  <w:tcW w:w="1676" w:type="pct"/>
                  <w:tcBorders>
                    <w:tl2br w:val="nil"/>
                    <w:tr2bl w:val="nil"/>
                  </w:tcBorders>
                  <w:noWrap w:val="0"/>
                  <w:vAlign w:val="center"/>
                </w:tcPr>
                <w:p w14:paraId="214CB4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本次</w:t>
                  </w:r>
                  <w:r>
                    <w:rPr>
                      <w:rFonts w:hint="eastAsia" w:cs="Times New Roman"/>
                      <w:color w:val="auto"/>
                      <w:kern w:val="0"/>
                      <w:sz w:val="21"/>
                      <w:szCs w:val="21"/>
                      <w:u w:val="none" w:color="auto"/>
                      <w:vertAlign w:val="baseline"/>
                      <w:lang w:val="en-US" w:eastAsia="zh-CN"/>
                    </w:rPr>
                    <w:t>评价</w:t>
                  </w:r>
                  <w:r>
                    <w:rPr>
                      <w:rFonts w:hint="default" w:ascii="Times New Roman" w:hAnsi="Times New Roman" w:eastAsia="宋体" w:cs="Times New Roman"/>
                      <w:color w:val="auto"/>
                      <w:kern w:val="0"/>
                      <w:sz w:val="21"/>
                      <w:szCs w:val="21"/>
                      <w:u w:val="none" w:color="auto"/>
                      <w:vertAlign w:val="baseline"/>
                      <w:lang w:val="en-US" w:eastAsia="zh-CN"/>
                    </w:rPr>
                    <w:t>建议建设单位按照相关要求编制突发环境事件应急预案并在主管部门完成备案。</w:t>
                  </w:r>
                </w:p>
              </w:tc>
              <w:tc>
                <w:tcPr>
                  <w:tcW w:w="614" w:type="pct"/>
                  <w:tcBorders>
                    <w:tl2br w:val="nil"/>
                    <w:tr2bl w:val="nil"/>
                  </w:tcBorders>
                  <w:noWrap w:val="0"/>
                  <w:vAlign w:val="center"/>
                </w:tcPr>
                <w:p w14:paraId="6DB589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符合</w:t>
                  </w:r>
                </w:p>
              </w:tc>
            </w:tr>
            <w:tr w14:paraId="57DB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4395DE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做好周边控规，落实拆迁安置计划</w:t>
                  </w:r>
                </w:p>
              </w:tc>
              <w:tc>
                <w:tcPr>
                  <w:tcW w:w="1933" w:type="pct"/>
                  <w:tcBorders>
                    <w:tl2br w:val="nil"/>
                    <w:tr2bl w:val="nil"/>
                  </w:tcBorders>
                  <w:noWrap w:val="0"/>
                  <w:vAlign w:val="center"/>
                </w:tcPr>
                <w:p w14:paraId="67338E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严格做好控规，杜绝在规划的工业用地上新增环境敏感目标，确保园区开发过程中的居民拆迁安置到位，防止发生居民再次安置和次生环境问题。对于具体项目环评设置防护距离和拆迁要求的，要确保予以落实。</w:t>
                  </w:r>
                </w:p>
              </w:tc>
              <w:tc>
                <w:tcPr>
                  <w:tcW w:w="1676" w:type="pct"/>
                  <w:tcBorders>
                    <w:tl2br w:val="nil"/>
                    <w:tr2bl w:val="nil"/>
                  </w:tcBorders>
                  <w:noWrap w:val="0"/>
                  <w:vAlign w:val="center"/>
                </w:tcPr>
                <w:p w14:paraId="69B98D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本</w:t>
                  </w:r>
                  <w:r>
                    <w:rPr>
                      <w:rFonts w:hint="eastAsia" w:cs="Times New Roman"/>
                      <w:color w:val="auto"/>
                      <w:kern w:val="0"/>
                      <w:sz w:val="21"/>
                      <w:szCs w:val="21"/>
                      <w:u w:val="none" w:color="auto"/>
                      <w:vertAlign w:val="baseline"/>
                      <w:lang w:val="en-US" w:eastAsia="zh-CN"/>
                    </w:rPr>
                    <w:t>项目</w:t>
                  </w:r>
                  <w:r>
                    <w:rPr>
                      <w:rFonts w:hint="default" w:ascii="Times New Roman" w:hAnsi="Times New Roman" w:eastAsia="宋体" w:cs="Times New Roman"/>
                      <w:color w:val="auto"/>
                      <w:kern w:val="0"/>
                      <w:sz w:val="21"/>
                      <w:szCs w:val="21"/>
                      <w:u w:val="none" w:color="auto"/>
                      <w:vertAlign w:val="baseline"/>
                      <w:lang w:val="en-US" w:eastAsia="zh-CN"/>
                    </w:rPr>
                    <w:t>不涉及居民拆迁，符合要求。</w:t>
                  </w:r>
                </w:p>
              </w:tc>
              <w:tc>
                <w:tcPr>
                  <w:tcW w:w="614" w:type="pct"/>
                  <w:tcBorders>
                    <w:tl2br w:val="nil"/>
                    <w:tr2bl w:val="nil"/>
                  </w:tcBorders>
                  <w:noWrap w:val="0"/>
                  <w:vAlign w:val="center"/>
                </w:tcPr>
                <w:p w14:paraId="648F61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符合</w:t>
                  </w:r>
                </w:p>
              </w:tc>
            </w:tr>
            <w:tr w14:paraId="4A3A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513062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做好园区建设期生态保护和水土保持工作</w:t>
                  </w:r>
                </w:p>
              </w:tc>
              <w:tc>
                <w:tcPr>
                  <w:tcW w:w="1933" w:type="pct"/>
                  <w:tcBorders>
                    <w:tl2br w:val="nil"/>
                    <w:tr2bl w:val="nil"/>
                  </w:tcBorders>
                  <w:noWrap w:val="0"/>
                  <w:vAlign w:val="center"/>
                </w:tcPr>
                <w:p w14:paraId="7570AC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施工期对土石方开挖、堆存及回填要实施围挡、护坡等措施，裸露地及时恢复植被，防治水土流失，杜绝后续施工建设对地表水体的污染。</w:t>
                  </w:r>
                </w:p>
              </w:tc>
              <w:tc>
                <w:tcPr>
                  <w:tcW w:w="1676" w:type="pct"/>
                  <w:tcBorders>
                    <w:tl2br w:val="nil"/>
                    <w:tr2bl w:val="nil"/>
                  </w:tcBorders>
                  <w:noWrap w:val="0"/>
                  <w:vAlign w:val="center"/>
                </w:tcPr>
                <w:p w14:paraId="0BEC91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cs="Times New Roman"/>
                      <w:color w:val="auto"/>
                      <w:sz w:val="21"/>
                      <w:szCs w:val="21"/>
                      <w:highlight w:val="none"/>
                      <w:u w:val="none" w:color="auto"/>
                      <w:lang w:val="en-US" w:eastAsia="zh-CN"/>
                    </w:rPr>
                    <w:t>本</w:t>
                  </w:r>
                  <w:r>
                    <w:rPr>
                      <w:rFonts w:hint="eastAsia" w:cs="Times New Roman"/>
                      <w:color w:val="auto"/>
                      <w:sz w:val="21"/>
                      <w:szCs w:val="21"/>
                      <w:highlight w:val="none"/>
                      <w:u w:val="none" w:color="auto"/>
                      <w:lang w:val="en-US" w:eastAsia="zh-CN"/>
                    </w:rPr>
                    <w:t>项目所在地已实现三通一平，土石方开挖、堆存、回填等实施围挡、护坡等措施</w:t>
                  </w:r>
                  <w:r>
                    <w:rPr>
                      <w:rFonts w:hint="eastAsia"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厂区及时做好绿化，防止水土流失</w:t>
                  </w:r>
                  <w:r>
                    <w:rPr>
                      <w:rFonts w:hint="eastAsia" w:ascii="Times New Roman" w:hAnsi="Times New Roman" w:cs="Times New Roman"/>
                      <w:color w:val="auto"/>
                      <w:sz w:val="21"/>
                      <w:szCs w:val="21"/>
                      <w:highlight w:val="none"/>
                      <w:u w:val="none" w:color="auto"/>
                      <w:lang w:val="en-US" w:eastAsia="zh-CN"/>
                    </w:rPr>
                    <w:t>。</w:t>
                  </w:r>
                </w:p>
              </w:tc>
              <w:tc>
                <w:tcPr>
                  <w:tcW w:w="614" w:type="pct"/>
                  <w:tcBorders>
                    <w:tl2br w:val="nil"/>
                    <w:tr2bl w:val="nil"/>
                  </w:tcBorders>
                  <w:noWrap w:val="0"/>
                  <w:vAlign w:val="center"/>
                </w:tcPr>
                <w:p w14:paraId="418670A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符合</w:t>
                  </w:r>
                </w:p>
              </w:tc>
            </w:tr>
          </w:tbl>
          <w:p w14:paraId="67707D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FF"/>
                <w:kern w:val="0"/>
                <w:sz w:val="24"/>
                <w:szCs w:val="24"/>
                <w:lang w:val="en-US" w:eastAsia="zh-CN" w:bidi="ar-SA"/>
              </w:rPr>
            </w:pPr>
            <w:r>
              <w:rPr>
                <w:rFonts w:hint="eastAsia" w:ascii="Times New Roman" w:hAnsi="Times New Roman" w:eastAsia="宋体" w:cs="Times New Roman"/>
                <w:color w:val="auto"/>
                <w:kern w:val="0"/>
                <w:sz w:val="24"/>
                <w:u w:val="none" w:color="auto"/>
                <w:lang w:val="en-US" w:eastAsia="zh-CN"/>
              </w:rPr>
              <w:t>综上，本项目与《湘阴高新技术产业开发区调区扩区规划环境影响报告书</w:t>
            </w:r>
            <w:r>
              <w:rPr>
                <w:rFonts w:hint="eastAsia" w:cs="Times New Roman"/>
                <w:color w:val="auto"/>
                <w:kern w:val="0"/>
                <w:sz w:val="24"/>
                <w:u w:val="none" w:color="auto"/>
                <w:lang w:val="en-US" w:eastAsia="zh-CN"/>
              </w:rPr>
              <w:t>审查意见的函</w:t>
            </w:r>
            <w:r>
              <w:rPr>
                <w:rFonts w:hint="eastAsia" w:ascii="Times New Roman" w:hAnsi="Times New Roman" w:eastAsia="宋体" w:cs="Times New Roman"/>
                <w:color w:val="auto"/>
                <w:kern w:val="0"/>
                <w:sz w:val="24"/>
                <w:u w:val="none" w:color="auto"/>
                <w:lang w:val="en-US" w:eastAsia="zh-CN"/>
              </w:rPr>
              <w:t>》相符。</w:t>
            </w:r>
          </w:p>
        </w:tc>
      </w:tr>
      <w:tr w14:paraId="7EF41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8" w:type="dxa"/>
            <w:noWrap w:val="0"/>
            <w:vAlign w:val="center"/>
          </w:tcPr>
          <w:p w14:paraId="6C3FF15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FF"/>
                <w:kern w:val="0"/>
                <w:sz w:val="24"/>
                <w:szCs w:val="24"/>
                <w:highlight w:val="none"/>
              </w:rPr>
            </w:pPr>
            <w:r>
              <w:rPr>
                <w:rFonts w:hint="default" w:ascii="Times New Roman" w:hAnsi="Times New Roman" w:cs="Times New Roman"/>
                <w:color w:val="auto"/>
                <w:kern w:val="0"/>
                <w:sz w:val="24"/>
                <w:szCs w:val="24"/>
                <w:highlight w:val="none"/>
              </w:rPr>
              <w:t>其他符合性分析</w:t>
            </w:r>
          </w:p>
        </w:tc>
        <w:tc>
          <w:tcPr>
            <w:tcW w:w="7172" w:type="dxa"/>
            <w:gridSpan w:val="3"/>
            <w:noWrap w:val="0"/>
            <w:vAlign w:val="center"/>
          </w:tcPr>
          <w:p w14:paraId="2E8F97CC">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1、产业政策相符性分析</w:t>
            </w:r>
          </w:p>
          <w:p w14:paraId="04CDB959">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kern w:val="0"/>
                <w:sz w:val="24"/>
                <w:szCs w:val="24"/>
                <w:u w:val="none" w:color="auto"/>
                <w:lang w:val="en-US" w:eastAsia="zh-CN"/>
              </w:rPr>
            </w:pPr>
            <w:r>
              <w:rPr>
                <w:rFonts w:hint="default" w:ascii="Times New Roman" w:hAnsi="Times New Roman" w:eastAsia="宋体" w:cs="Times New Roman"/>
                <w:b w:val="0"/>
                <w:bCs w:val="0"/>
                <w:color w:val="auto"/>
                <w:kern w:val="0"/>
                <w:sz w:val="24"/>
                <w:szCs w:val="24"/>
                <w:u w:val="none" w:color="auto"/>
                <w:lang w:val="en-US" w:eastAsia="zh-CN"/>
              </w:rPr>
              <w:t>本</w:t>
            </w:r>
            <w:r>
              <w:rPr>
                <w:rFonts w:hint="eastAsia" w:cs="Times New Roman"/>
                <w:b w:val="0"/>
                <w:bCs w:val="0"/>
                <w:color w:val="auto"/>
                <w:kern w:val="0"/>
                <w:sz w:val="24"/>
                <w:szCs w:val="24"/>
                <w:u w:val="none" w:color="auto"/>
                <w:lang w:val="en-US" w:eastAsia="zh-CN"/>
              </w:rPr>
              <w:t>项目</w:t>
            </w:r>
            <w:r>
              <w:rPr>
                <w:rFonts w:hint="default" w:ascii="Times New Roman" w:hAnsi="Times New Roman" w:eastAsia="宋体" w:cs="Times New Roman"/>
                <w:b w:val="0"/>
                <w:bCs w:val="0"/>
                <w:color w:val="auto"/>
                <w:kern w:val="0"/>
                <w:sz w:val="24"/>
                <w:szCs w:val="24"/>
                <w:u w:val="none" w:color="auto"/>
                <w:lang w:val="en-US" w:eastAsia="zh-CN"/>
              </w:rPr>
              <w:t>属于</w:t>
            </w:r>
            <w:r>
              <w:rPr>
                <w:rFonts w:hint="eastAsia" w:ascii="Times New Roman" w:hAnsi="Times New Roman" w:eastAsia="宋体" w:cs="Times New Roman"/>
                <w:b w:val="0"/>
                <w:bCs w:val="0"/>
                <w:color w:val="auto"/>
                <w:kern w:val="0"/>
                <w:sz w:val="24"/>
                <w:szCs w:val="24"/>
                <w:u w:val="none" w:color="auto"/>
                <w:lang w:val="en-US" w:eastAsia="zh-CN"/>
              </w:rPr>
              <w:t>《国民经济行业分类》(GB/T4754-2017)中的“C3489其他通用零部件制造</w:t>
            </w:r>
            <w:r>
              <w:rPr>
                <w:rFonts w:hint="eastAsia" w:cs="Times New Roman"/>
                <w:b w:val="0"/>
                <w:bCs w:val="0"/>
                <w:color w:val="auto"/>
                <w:kern w:val="0"/>
                <w:sz w:val="24"/>
                <w:szCs w:val="24"/>
                <w:u w:val="none" w:color="auto"/>
                <w:lang w:val="en-US" w:eastAsia="zh-CN"/>
              </w:rPr>
              <w:t>，工艺涉及</w:t>
            </w:r>
            <w:r>
              <w:rPr>
                <w:rFonts w:hint="eastAsia" w:ascii="Times New Roman" w:hAnsi="Times New Roman" w:eastAsia="宋体" w:cs="Times New Roman"/>
                <w:b w:val="0"/>
                <w:bCs w:val="0"/>
                <w:color w:val="auto"/>
                <w:kern w:val="0"/>
                <w:sz w:val="24"/>
                <w:szCs w:val="24"/>
                <w:u w:val="none" w:color="auto"/>
                <w:lang w:val="en-US" w:eastAsia="zh-CN"/>
              </w:rPr>
              <w:t>C3360金属表面处理及热处理加</w:t>
            </w:r>
            <w:r>
              <w:rPr>
                <w:rFonts w:hint="eastAsia" w:cs="Times New Roman"/>
                <w:b w:val="0"/>
                <w:bCs w:val="0"/>
                <w:color w:val="auto"/>
                <w:kern w:val="0"/>
                <w:sz w:val="24"/>
                <w:szCs w:val="24"/>
                <w:u w:val="none" w:color="auto"/>
                <w:lang w:val="en-US" w:eastAsia="zh-CN"/>
              </w:rPr>
              <w:t>工</w:t>
            </w:r>
            <w:r>
              <w:rPr>
                <w:rFonts w:hint="eastAsia" w:ascii="Times New Roman" w:hAnsi="Times New Roman" w:eastAsia="宋体" w:cs="Times New Roman"/>
                <w:b w:val="0"/>
                <w:bCs w:val="0"/>
                <w:color w:val="auto"/>
                <w:kern w:val="0"/>
                <w:sz w:val="24"/>
                <w:szCs w:val="24"/>
                <w:u w:val="none" w:color="auto"/>
                <w:lang w:val="en-US" w:eastAsia="zh-CN"/>
              </w:rPr>
              <w:t>”</w:t>
            </w:r>
            <w:r>
              <w:rPr>
                <w:rFonts w:hint="default" w:ascii="Times New Roman" w:hAnsi="Times New Roman" w:eastAsia="宋体" w:cs="Times New Roman"/>
                <w:b w:val="0"/>
                <w:bCs w:val="0"/>
                <w:color w:val="auto"/>
                <w:kern w:val="0"/>
                <w:sz w:val="24"/>
                <w:szCs w:val="24"/>
                <w:u w:val="none" w:color="auto"/>
                <w:lang w:val="en-US" w:eastAsia="zh-CN"/>
              </w:rPr>
              <w:t>，根据《产业结构调整指导目录（20</w:t>
            </w:r>
            <w:r>
              <w:rPr>
                <w:rFonts w:hint="eastAsia" w:ascii="Times New Roman" w:hAnsi="Times New Roman" w:eastAsia="宋体" w:cs="Times New Roman"/>
                <w:b w:val="0"/>
                <w:bCs w:val="0"/>
                <w:color w:val="auto"/>
                <w:kern w:val="0"/>
                <w:sz w:val="24"/>
                <w:szCs w:val="24"/>
                <w:u w:val="none" w:color="auto"/>
                <w:lang w:val="en-US" w:eastAsia="zh-CN"/>
              </w:rPr>
              <w:t>24</w:t>
            </w:r>
            <w:r>
              <w:rPr>
                <w:rFonts w:hint="default" w:ascii="Times New Roman" w:hAnsi="Times New Roman" w:eastAsia="宋体" w:cs="Times New Roman"/>
                <w:b w:val="0"/>
                <w:bCs w:val="0"/>
                <w:color w:val="auto"/>
                <w:kern w:val="0"/>
                <w:sz w:val="24"/>
                <w:szCs w:val="24"/>
                <w:u w:val="none" w:color="auto"/>
                <w:lang w:val="en-US" w:eastAsia="zh-CN"/>
              </w:rPr>
              <w:t>年本）》，不属于限制类和淘汰类，为允许类建设项目，</w:t>
            </w:r>
            <w:r>
              <w:rPr>
                <w:rFonts w:hint="eastAsia" w:ascii="Times New Roman" w:hAnsi="Times New Roman" w:eastAsia="宋体" w:cs="Times New Roman"/>
                <w:b w:val="0"/>
                <w:bCs w:val="0"/>
                <w:color w:val="auto"/>
                <w:kern w:val="0"/>
                <w:sz w:val="24"/>
                <w:szCs w:val="24"/>
                <w:u w:val="none" w:color="auto"/>
                <w:lang w:val="en-US" w:eastAsia="zh-CN"/>
              </w:rPr>
              <w:t>因此，本</w:t>
            </w:r>
            <w:r>
              <w:rPr>
                <w:rFonts w:hint="default" w:ascii="Times New Roman" w:hAnsi="Times New Roman" w:eastAsia="宋体" w:cs="Times New Roman"/>
                <w:b w:val="0"/>
                <w:bCs w:val="0"/>
                <w:color w:val="auto"/>
                <w:kern w:val="0"/>
                <w:sz w:val="24"/>
                <w:szCs w:val="24"/>
                <w:u w:val="none" w:color="auto"/>
                <w:lang w:val="en-US" w:eastAsia="zh-CN"/>
              </w:rPr>
              <w:t>项目符合国家产业政策要求</w:t>
            </w:r>
            <w:r>
              <w:rPr>
                <w:rFonts w:hint="eastAsia" w:ascii="Times New Roman" w:hAnsi="Times New Roman" w:eastAsia="宋体" w:cs="Times New Roman"/>
                <w:b w:val="0"/>
                <w:bCs w:val="0"/>
                <w:color w:val="auto"/>
                <w:kern w:val="0"/>
                <w:sz w:val="24"/>
                <w:szCs w:val="24"/>
                <w:u w:val="none" w:color="auto"/>
                <w:lang w:val="en-US" w:eastAsia="zh-CN"/>
              </w:rPr>
              <w:t>。</w:t>
            </w:r>
          </w:p>
          <w:p w14:paraId="60FF3B59">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sz w:val="24"/>
                <w:szCs w:val="24"/>
                <w:highlight w:val="none"/>
                <w:lang w:eastAsia="zh-CN"/>
              </w:rPr>
            </w:pPr>
            <w:r>
              <w:rPr>
                <w:rFonts w:hint="eastAsia" w:ascii="Times New Roman" w:hAnsi="Times New Roman" w:eastAsia="宋体" w:cs="Times New Roman"/>
                <w:b w:val="0"/>
                <w:bCs w:val="0"/>
                <w:color w:val="auto"/>
                <w:kern w:val="0"/>
                <w:sz w:val="24"/>
                <w:szCs w:val="24"/>
                <w:u w:val="none" w:color="auto"/>
                <w:lang w:val="en-US" w:eastAsia="zh-CN"/>
              </w:rPr>
              <w:t>不属于《市场准入负面清单（202</w:t>
            </w:r>
            <w:r>
              <w:rPr>
                <w:rFonts w:hint="eastAsia"/>
                <w:lang w:val="en-US" w:eastAsia="zh-CN"/>
              </w:rPr>
              <w:t>5</w:t>
            </w:r>
            <w:r>
              <w:rPr>
                <w:rFonts w:hint="eastAsia" w:ascii="Times New Roman" w:hAnsi="Times New Roman" w:eastAsia="宋体" w:cs="Times New Roman"/>
                <w:b w:val="0"/>
                <w:bCs w:val="0"/>
                <w:color w:val="auto"/>
                <w:kern w:val="0"/>
                <w:sz w:val="24"/>
                <w:szCs w:val="24"/>
                <w:u w:val="none" w:color="auto"/>
                <w:lang w:val="en-US" w:eastAsia="zh-CN"/>
              </w:rPr>
              <w:t>年版）》（发改体改规〔2022〕397号）所列的禁止准入及需许可准入事项，符合国家有关</w:t>
            </w:r>
            <w:r>
              <w:rPr>
                <w:rFonts w:hint="eastAsia" w:cs="Times New Roman"/>
                <w:b w:val="0"/>
                <w:bCs w:val="0"/>
                <w:color w:val="auto"/>
                <w:kern w:val="0"/>
                <w:sz w:val="24"/>
                <w:szCs w:val="24"/>
                <w:u w:val="none" w:color="auto"/>
                <w:lang w:val="en-US" w:eastAsia="zh-CN"/>
              </w:rPr>
              <w:t>法律法规</w:t>
            </w:r>
            <w:r>
              <w:rPr>
                <w:rFonts w:hint="eastAsia" w:ascii="Times New Roman" w:hAnsi="Times New Roman" w:eastAsia="宋体" w:cs="Times New Roman"/>
                <w:b w:val="0"/>
                <w:bCs w:val="0"/>
                <w:color w:val="auto"/>
                <w:kern w:val="0"/>
                <w:sz w:val="24"/>
                <w:szCs w:val="24"/>
                <w:u w:val="none" w:color="auto"/>
                <w:lang w:val="en-US" w:eastAsia="zh-CN"/>
              </w:rPr>
              <w:t>和政策规定。</w:t>
            </w:r>
          </w:p>
          <w:p w14:paraId="0E4A23A3">
            <w:pPr>
              <w:keepNext w:val="0"/>
              <w:keepLines w:val="0"/>
              <w:suppressLineNumbers w:val="0"/>
              <w:autoSpaceDE w:val="0"/>
              <w:autoSpaceDN w:val="0"/>
              <w:spacing w:before="0" w:beforeAutospacing="0" w:after="0" w:afterAutospacing="0" w:line="360" w:lineRule="auto"/>
              <w:ind w:left="0" w:right="0"/>
              <w:jc w:val="left"/>
              <w:rPr>
                <w:rFonts w:hint="eastAsia" w:ascii="Times New Roman" w:hAnsi="Times New Roman" w:cs="Times New Roman"/>
                <w:b/>
                <w:bCs/>
                <w:color w:val="auto"/>
                <w:sz w:val="24"/>
                <w:szCs w:val="24"/>
                <w:highlight w:val="none"/>
                <w:u w:val="none"/>
                <w:lang w:eastAsia="zh-CN"/>
              </w:rPr>
            </w:pPr>
            <w:r>
              <w:rPr>
                <w:rFonts w:hint="eastAsia" w:ascii="Times New Roman" w:hAnsi="Times New Roman" w:cs="Times New Roman"/>
                <w:b/>
                <w:bCs/>
                <w:color w:val="auto"/>
                <w:sz w:val="24"/>
                <w:szCs w:val="24"/>
                <w:highlight w:val="none"/>
                <w:u w:val="none"/>
                <w:lang w:val="en-US" w:eastAsia="zh-CN"/>
              </w:rPr>
              <w:t>2</w:t>
            </w:r>
            <w:r>
              <w:rPr>
                <w:rFonts w:hint="eastAsia" w:ascii="Times New Roman" w:hAnsi="Times New Roman" w:cs="Times New Roman"/>
                <w:b/>
                <w:bCs/>
                <w:color w:val="auto"/>
                <w:sz w:val="24"/>
                <w:szCs w:val="24"/>
                <w:highlight w:val="none"/>
                <w:u w:val="none"/>
                <w:lang w:eastAsia="zh-CN"/>
              </w:rPr>
              <w:t>、选址合理性分析</w:t>
            </w:r>
          </w:p>
          <w:p w14:paraId="45EBABA8">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eastAsia="zh-CN"/>
              </w:rPr>
              <w:t>本</w:t>
            </w:r>
            <w:r>
              <w:rPr>
                <w:rFonts w:hint="eastAsia" w:cs="Times New Roman"/>
                <w:color w:val="auto"/>
                <w:sz w:val="24"/>
                <w:szCs w:val="24"/>
                <w:highlight w:val="none"/>
                <w:u w:val="none"/>
                <w:lang w:val="en-US" w:eastAsia="zh-CN"/>
              </w:rPr>
              <w:t>项目</w:t>
            </w:r>
            <w:r>
              <w:rPr>
                <w:rFonts w:hint="eastAsia" w:ascii="Times New Roman" w:hAnsi="Times New Roman" w:eastAsia="宋体" w:cs="Times New Roman"/>
                <w:color w:val="auto"/>
                <w:sz w:val="24"/>
                <w:szCs w:val="24"/>
                <w:highlight w:val="none"/>
                <w:u w:val="none"/>
                <w:lang w:eastAsia="zh-CN"/>
              </w:rPr>
              <w:t>位于</w:t>
            </w:r>
            <w:r>
              <w:rPr>
                <w:rFonts w:hint="eastAsia" w:ascii="Times New Roman" w:hAnsi="Times New Roman" w:eastAsia="宋体" w:cs="Times New Roman"/>
                <w:color w:val="auto"/>
                <w:kern w:val="0"/>
                <w:sz w:val="24"/>
                <w:szCs w:val="24"/>
                <w:u w:val="none" w:color="auto"/>
                <w:lang w:val="en-US" w:eastAsia="zh-CN"/>
              </w:rPr>
              <w:t>湘阴高新技术产业开发区洋沙湖片</w:t>
            </w:r>
            <w:r>
              <w:rPr>
                <w:rFonts w:hint="eastAsia" w:cs="Times New Roman"/>
                <w:color w:val="auto"/>
                <w:kern w:val="0"/>
                <w:sz w:val="24"/>
                <w:szCs w:val="24"/>
                <w:u w:val="none" w:color="auto"/>
                <w:lang w:val="en-US" w:eastAsia="zh-CN"/>
              </w:rPr>
              <w:t>区</w:t>
            </w:r>
            <w:r>
              <w:rPr>
                <w:rFonts w:hint="eastAsia" w:ascii="Times New Roman" w:hAnsi="Times New Roman" w:eastAsia="宋体" w:cs="Times New Roman"/>
                <w:color w:val="auto"/>
                <w:sz w:val="24"/>
                <w:szCs w:val="24"/>
                <w:highlight w:val="none"/>
                <w:lang w:val="en-US" w:eastAsia="zh-CN"/>
              </w:rPr>
              <w:t>健铭大道198</w:t>
            </w:r>
            <w:r>
              <w:rPr>
                <w:rFonts w:hint="eastAsia" w:ascii="Times New Roman" w:hAnsi="Times New Roman" w:eastAsia="宋体" w:cs="Times New Roman"/>
                <w:color w:val="auto"/>
                <w:sz w:val="24"/>
                <w:szCs w:val="24"/>
                <w:highlight w:val="none"/>
                <w:lang w:val="en-US" w:eastAsia="en-US"/>
              </w:rPr>
              <w:t>号</w:t>
            </w:r>
            <w:r>
              <w:rPr>
                <w:rFonts w:hint="eastAsia" w:ascii="Times New Roman" w:hAnsi="Times New Roman" w:eastAsia="宋体" w:cs="Times New Roman"/>
                <w:color w:val="auto"/>
                <w:sz w:val="24"/>
                <w:szCs w:val="24"/>
                <w:highlight w:val="none"/>
                <w:u w:val="none"/>
                <w:lang w:eastAsia="zh-CN"/>
              </w:rPr>
              <w:t>。根据规划，项目用地为二类工业用地。同时根据</w:t>
            </w:r>
            <w:r>
              <w:rPr>
                <w:rFonts w:hint="eastAsia" w:ascii="Times New Roman" w:hAnsi="Times New Roman" w:eastAsia="宋体" w:cs="Times New Roman"/>
                <w:color w:val="auto"/>
                <w:kern w:val="0"/>
                <w:sz w:val="24"/>
                <w:szCs w:val="24"/>
                <w:u w:val="none" w:color="auto"/>
                <w:lang w:val="en-US" w:eastAsia="zh-CN"/>
              </w:rPr>
              <w:t>洋沙湖片</w:t>
            </w:r>
            <w:r>
              <w:rPr>
                <w:rFonts w:hint="eastAsia" w:cs="Times New Roman"/>
                <w:color w:val="auto"/>
                <w:kern w:val="0"/>
                <w:sz w:val="24"/>
                <w:szCs w:val="24"/>
                <w:u w:val="none" w:color="auto"/>
                <w:lang w:val="en-US" w:eastAsia="zh-CN"/>
              </w:rPr>
              <w:t>区</w:t>
            </w:r>
            <w:r>
              <w:rPr>
                <w:rFonts w:hint="eastAsia" w:ascii="Times New Roman" w:hAnsi="Times New Roman" w:eastAsia="宋体" w:cs="Times New Roman"/>
                <w:color w:val="auto"/>
                <w:sz w:val="24"/>
                <w:szCs w:val="24"/>
                <w:highlight w:val="none"/>
                <w:u w:val="none"/>
                <w:lang w:eastAsia="zh-CN"/>
              </w:rPr>
              <w:t>的产业定位：本项目主</w:t>
            </w:r>
            <w:r>
              <w:rPr>
                <w:rFonts w:hint="eastAsia" w:cs="Times New Roman"/>
                <w:color w:val="auto"/>
                <w:sz w:val="24"/>
                <w:szCs w:val="24"/>
                <w:highlight w:val="none"/>
                <w:u w:val="none"/>
                <w:lang w:val="en-US" w:eastAsia="zh-CN"/>
              </w:rPr>
              <w:t>行业为</w:t>
            </w:r>
            <w:r>
              <w:rPr>
                <w:rFonts w:hint="eastAsia" w:ascii="Times New Roman" w:hAnsi="Times New Roman" w:eastAsia="宋体" w:cs="Times New Roman"/>
                <w:b w:val="0"/>
                <w:bCs w:val="0"/>
                <w:color w:val="auto"/>
                <w:kern w:val="0"/>
                <w:sz w:val="24"/>
                <w:szCs w:val="24"/>
                <w:u w:val="none" w:color="auto"/>
                <w:lang w:val="en-US" w:eastAsia="zh-CN"/>
              </w:rPr>
              <w:t>C3489其他通用零部件制造</w:t>
            </w:r>
            <w:r>
              <w:rPr>
                <w:rFonts w:hint="eastAsia" w:ascii="Times New Roman" w:hAnsi="Times New Roman" w:eastAsia="宋体" w:cs="Times New Roman"/>
                <w:color w:val="auto"/>
                <w:sz w:val="24"/>
                <w:szCs w:val="24"/>
                <w:highlight w:val="none"/>
                <w:u w:val="none"/>
                <w:lang w:eastAsia="zh-CN"/>
              </w:rPr>
              <w:t>，不属于环境准入清单负面行业，与</w:t>
            </w:r>
            <w:r>
              <w:rPr>
                <w:rFonts w:hint="eastAsia" w:ascii="Times New Roman" w:hAnsi="Times New Roman" w:eastAsia="宋体" w:cs="Times New Roman"/>
                <w:color w:val="auto"/>
                <w:kern w:val="0"/>
                <w:sz w:val="24"/>
                <w:szCs w:val="24"/>
                <w:u w:val="none" w:color="auto"/>
                <w:lang w:val="en-US" w:eastAsia="zh-CN"/>
              </w:rPr>
              <w:t>洋沙湖片</w:t>
            </w:r>
            <w:r>
              <w:rPr>
                <w:rFonts w:hint="eastAsia" w:cs="Times New Roman"/>
                <w:color w:val="auto"/>
                <w:kern w:val="0"/>
                <w:sz w:val="24"/>
                <w:szCs w:val="24"/>
                <w:u w:val="none" w:color="auto"/>
                <w:lang w:val="en-US" w:eastAsia="zh-CN"/>
              </w:rPr>
              <w:t>区</w:t>
            </w:r>
            <w:r>
              <w:rPr>
                <w:rFonts w:hint="eastAsia" w:ascii="Times New Roman" w:hAnsi="Times New Roman" w:eastAsia="宋体" w:cs="Times New Roman"/>
                <w:color w:val="auto"/>
                <w:sz w:val="24"/>
                <w:szCs w:val="24"/>
                <w:highlight w:val="none"/>
                <w:u w:val="none"/>
                <w:lang w:eastAsia="zh-CN"/>
              </w:rPr>
              <w:t>分区定位不冲突。本项目</w:t>
            </w:r>
            <w:r>
              <w:rPr>
                <w:rFonts w:hint="eastAsia" w:ascii="Times New Roman" w:hAnsi="Times New Roman" w:eastAsia="宋体" w:cs="Times New Roman"/>
                <w:color w:val="auto"/>
                <w:sz w:val="24"/>
                <w:szCs w:val="24"/>
                <w:highlight w:val="none"/>
                <w:u w:val="none"/>
                <w:lang w:val="en-US" w:eastAsia="zh-CN"/>
              </w:rPr>
              <w:t>所在地</w:t>
            </w:r>
            <w:r>
              <w:rPr>
                <w:rFonts w:hint="eastAsia" w:ascii="Times New Roman" w:hAnsi="Times New Roman" w:eastAsia="宋体" w:cs="Times New Roman"/>
                <w:color w:val="auto"/>
                <w:sz w:val="24"/>
                <w:szCs w:val="24"/>
                <w:highlight w:val="none"/>
                <w:u w:val="none"/>
                <w:lang w:eastAsia="zh-CN"/>
              </w:rPr>
              <w:t>不属于自然保护区、风景名胜区、森林公园、饮用水水源保护区、重要湖泊周边、文物古迹所在地、地质遗迹保护区、基本农田保护区等区域。</w:t>
            </w:r>
          </w:p>
          <w:p w14:paraId="10170157">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依据现场调查，本项目周边均为工业</w:t>
            </w:r>
            <w:r>
              <w:rPr>
                <w:rFonts w:hint="eastAsia" w:cs="Times New Roman"/>
                <w:color w:val="auto"/>
                <w:sz w:val="24"/>
                <w:szCs w:val="24"/>
                <w:highlight w:val="none"/>
                <w:u w:val="none"/>
                <w:lang w:val="en-US" w:eastAsia="zh-CN"/>
              </w:rPr>
              <w:t>用地</w:t>
            </w:r>
            <w:r>
              <w:rPr>
                <w:rFonts w:hint="eastAsia" w:ascii="Times New Roman" w:hAnsi="Times New Roman" w:eastAsia="宋体" w:cs="Times New Roman"/>
                <w:color w:val="auto"/>
                <w:sz w:val="24"/>
                <w:szCs w:val="24"/>
                <w:highlight w:val="none"/>
                <w:u w:val="none"/>
                <w:lang w:val="en-US" w:eastAsia="zh-CN"/>
              </w:rPr>
              <w:t>。从周边企业情况来看，周边企业污染物产生量较小，废气处理后达标排放，废水均纳管排入</w:t>
            </w:r>
            <w:r>
              <w:rPr>
                <w:rFonts w:hint="eastAsia" w:cs="Times New Roman"/>
                <w:color w:val="auto"/>
                <w:sz w:val="24"/>
                <w:szCs w:val="24"/>
                <w:highlight w:val="none"/>
                <w:u w:val="none"/>
                <w:lang w:val="en-US" w:eastAsia="zh-CN"/>
              </w:rPr>
              <w:t>湘阴县第二污水处理厂</w:t>
            </w:r>
            <w:r>
              <w:rPr>
                <w:rFonts w:hint="eastAsia" w:ascii="Times New Roman" w:hAnsi="Times New Roman" w:eastAsia="宋体" w:cs="Times New Roman"/>
                <w:color w:val="auto"/>
                <w:sz w:val="24"/>
                <w:szCs w:val="24"/>
                <w:highlight w:val="none"/>
                <w:u w:val="none"/>
                <w:lang w:val="en-US" w:eastAsia="zh-CN"/>
              </w:rPr>
              <w:t>，固废妥善处置，噪声满足《工业企业厂界环境噪声排放标准》（GB12348-2008）3类标准要求。本项目污染物采取相应措施后能达标排放，基本不会对周边敏感目标产生影响。从周边环境情况来看周边环境对本项目建设无限制因素。</w:t>
            </w:r>
          </w:p>
          <w:p w14:paraId="739CBBE7">
            <w:pPr>
              <w:keepNext w:val="0"/>
              <w:keepLines w:val="0"/>
              <w:numPr>
                <w:ilvl w:val="0"/>
                <w:numId w:val="0"/>
              </w:numPr>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因此，该</w:t>
            </w:r>
            <w:r>
              <w:rPr>
                <w:rFonts w:hint="eastAsia" w:cs="Times New Roman"/>
                <w:color w:val="auto"/>
                <w:sz w:val="24"/>
                <w:szCs w:val="24"/>
                <w:u w:val="none"/>
                <w:lang w:val="en-US" w:eastAsia="zh-CN"/>
              </w:rPr>
              <w:t>项目</w:t>
            </w:r>
            <w:r>
              <w:rPr>
                <w:rFonts w:hint="default" w:ascii="Times New Roman" w:hAnsi="Times New Roman" w:cs="Times New Roman"/>
                <w:color w:val="auto"/>
                <w:sz w:val="24"/>
                <w:szCs w:val="24"/>
                <w:u w:val="none"/>
                <w:lang w:val="en-US" w:eastAsia="zh-CN"/>
              </w:rPr>
              <w:t>从选址角度而言是</w:t>
            </w:r>
            <w:r>
              <w:rPr>
                <w:rFonts w:hint="eastAsia" w:cs="Times New Roman"/>
                <w:color w:val="auto"/>
                <w:sz w:val="24"/>
                <w:szCs w:val="24"/>
                <w:u w:val="none"/>
                <w:lang w:val="en-US" w:eastAsia="zh-CN"/>
              </w:rPr>
              <w:t>可行</w:t>
            </w:r>
            <w:r>
              <w:rPr>
                <w:rFonts w:hint="default" w:ascii="Times New Roman" w:hAnsi="Times New Roman" w:cs="Times New Roman"/>
                <w:color w:val="auto"/>
                <w:sz w:val="24"/>
                <w:szCs w:val="24"/>
                <w:u w:val="none"/>
                <w:lang w:val="en-US" w:eastAsia="zh-CN"/>
              </w:rPr>
              <w:t>的。</w:t>
            </w:r>
          </w:p>
          <w:p w14:paraId="35950A30">
            <w:pPr>
              <w:keepNext w:val="0"/>
              <w:keepLines w:val="0"/>
              <w:suppressLineNumbers w:val="0"/>
              <w:autoSpaceDE w:val="0"/>
              <w:autoSpaceDN w:val="0"/>
              <w:spacing w:before="0" w:beforeAutospacing="0" w:after="0" w:afterAutospacing="0" w:line="360" w:lineRule="auto"/>
              <w:ind w:left="0" w:right="0"/>
              <w:jc w:val="left"/>
              <w:rPr>
                <w:rFonts w:hint="eastAsia" w:ascii="Times New Roman" w:hAnsi="Times New Roman"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3</w:t>
            </w:r>
            <w:r>
              <w:rPr>
                <w:rFonts w:hint="eastAsia" w:ascii="Times New Roman" w:hAnsi="Times New Roman" w:cs="Times New Roman"/>
                <w:b/>
                <w:bCs/>
                <w:color w:val="auto"/>
                <w:sz w:val="24"/>
                <w:szCs w:val="24"/>
                <w:highlight w:val="none"/>
                <w:lang w:eastAsia="zh-CN"/>
              </w:rPr>
              <w:t>、平面布置合理性分析</w:t>
            </w:r>
          </w:p>
          <w:p w14:paraId="571C5080">
            <w:pPr>
              <w:keepNext w:val="0"/>
              <w:keepLines w:val="0"/>
              <w:numPr>
                <w:ilvl w:val="0"/>
                <w:numId w:val="0"/>
              </w:numPr>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本</w:t>
            </w:r>
            <w:r>
              <w:rPr>
                <w:rFonts w:hint="eastAsia" w:cs="Times New Roman"/>
                <w:color w:val="auto"/>
                <w:sz w:val="24"/>
                <w:szCs w:val="24"/>
                <w:u w:val="none"/>
                <w:lang w:val="en-US" w:eastAsia="zh-CN"/>
              </w:rPr>
              <w:t>项目</w:t>
            </w:r>
            <w:r>
              <w:rPr>
                <w:rFonts w:hint="default" w:ascii="Times New Roman" w:hAnsi="Times New Roman" w:cs="Times New Roman"/>
                <w:color w:val="auto"/>
                <w:sz w:val="24"/>
                <w:szCs w:val="24"/>
                <w:u w:val="none"/>
                <w:lang w:val="en-US" w:eastAsia="zh-CN"/>
              </w:rPr>
              <w:t>位于</w:t>
            </w:r>
            <w:r>
              <w:rPr>
                <w:rFonts w:hint="eastAsia" w:ascii="Times New Roman" w:hAnsi="Times New Roman" w:cs="Times New Roman"/>
                <w:color w:val="auto"/>
                <w:sz w:val="24"/>
                <w:szCs w:val="24"/>
                <w:u w:val="none"/>
                <w:lang w:val="en-US" w:eastAsia="zh-CN"/>
              </w:rPr>
              <w:t>湘阴高新技术产业开发区洋沙湖片区健铭大道198</w:t>
            </w:r>
            <w:r>
              <w:rPr>
                <w:rFonts w:hint="eastAsia" w:ascii="Times New Roman" w:hAnsi="Times New Roman" w:cs="Times New Roman"/>
                <w:color w:val="auto"/>
                <w:sz w:val="24"/>
                <w:szCs w:val="24"/>
                <w:u w:val="none"/>
                <w:lang w:val="en-US" w:eastAsia="en-US"/>
              </w:rPr>
              <w:t>号</w:t>
            </w:r>
            <w:r>
              <w:rPr>
                <w:rFonts w:hint="default" w:ascii="Times New Roman" w:hAnsi="Times New Roman" w:cs="Times New Roman"/>
                <w:color w:val="auto"/>
                <w:sz w:val="24"/>
                <w:szCs w:val="24"/>
                <w:u w:val="none"/>
                <w:lang w:val="en-US" w:eastAsia="zh-CN"/>
              </w:rPr>
              <w:t>，</w:t>
            </w:r>
            <w:r>
              <w:rPr>
                <w:rFonts w:hint="eastAsia" w:ascii="Times New Roman" w:hAnsi="Times New Roman" w:cs="Times New Roman"/>
                <w:color w:val="auto"/>
                <w:sz w:val="24"/>
                <w:szCs w:val="24"/>
                <w:u w:val="none"/>
                <w:lang w:val="en-US" w:eastAsia="zh-CN"/>
              </w:rPr>
              <w:t>项目大门位于健铭大道，左侧为预留二期项目用地，右侧为本项目建设用地，建设标准化厂房一座，</w:t>
            </w:r>
            <w:r>
              <w:rPr>
                <w:rFonts w:hint="eastAsia" w:cs="Times New Roman"/>
                <w:color w:val="auto"/>
                <w:sz w:val="24"/>
                <w:szCs w:val="24"/>
                <w:u w:val="none"/>
                <w:lang w:val="en-US" w:eastAsia="zh-CN"/>
              </w:rPr>
              <w:t xml:space="preserve"> 办公楼、宿舍楼等，</w:t>
            </w:r>
            <w:r>
              <w:rPr>
                <w:rFonts w:hint="eastAsia" w:ascii="Times New Roman" w:hAnsi="Times New Roman" w:cs="Times New Roman"/>
                <w:color w:val="auto"/>
                <w:sz w:val="24"/>
                <w:szCs w:val="24"/>
                <w:u w:val="none"/>
                <w:lang w:val="en-US" w:eastAsia="zh-CN"/>
              </w:rPr>
              <w:t>入门口为办公区域和产品展览区，厂区中央布置有机械加工钻铣区，北侧布置高频淬火机，以及紧邻布置的热处理后时效放置区，西侧主要布置平面磨、东侧布置滑块钻铣加工区，，</w:t>
            </w:r>
            <w:r>
              <w:rPr>
                <w:rFonts w:hint="default" w:ascii="Times New Roman" w:hAnsi="Times New Roman" w:cs="Times New Roman"/>
                <w:color w:val="auto"/>
                <w:sz w:val="24"/>
                <w:szCs w:val="24"/>
                <w:u w:val="none"/>
                <w:lang w:val="en-US" w:eastAsia="zh-CN"/>
              </w:rPr>
              <w:t>各功能分区明确，间距合理，同时最大限度地节省占地。总体来说，项目在各功能及设备的布局合理可行。</w:t>
            </w:r>
          </w:p>
          <w:p w14:paraId="6A729053">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default" w:ascii="Times New Roman" w:hAnsi="Times New Roman" w:cs="Times New Roman"/>
                <w:color w:val="auto"/>
                <w:kern w:val="0"/>
                <w:sz w:val="24"/>
              </w:rPr>
            </w:pP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val="en-US" w:eastAsia="zh-CN"/>
              </w:rPr>
              <w:t>、与</w:t>
            </w:r>
            <w:r>
              <w:rPr>
                <w:rFonts w:hint="default" w:ascii="Times New Roman" w:hAnsi="Times New Roman" w:cs="Times New Roman"/>
                <w:b/>
                <w:bCs/>
                <w:color w:val="auto"/>
                <w:kern w:val="0"/>
                <w:sz w:val="24"/>
              </w:rPr>
              <w:t>《湖南省“三线一单”生态环境总体管控要求暨省级以上产业园区生态环境准入清单》的相符性分析</w:t>
            </w:r>
          </w:p>
          <w:p w14:paraId="1B38084A">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u w:val="none" w:color="auto"/>
              </w:rPr>
            </w:pPr>
            <w:r>
              <w:rPr>
                <w:rFonts w:hint="eastAsia" w:ascii="Times New Roman" w:hAnsi="Times New Roman" w:cs="Times New Roman"/>
                <w:color w:val="auto"/>
                <w:kern w:val="0"/>
                <w:sz w:val="24"/>
                <w:u w:val="none" w:color="auto"/>
                <w:lang w:val="en-US" w:eastAsia="zh-CN"/>
              </w:rPr>
              <w:t>省级以上工业园区环境管控单元生态环境准入清单依照《湖南省生态环境厅关于发布</w:t>
            </w:r>
            <w:r>
              <w:rPr>
                <w:rFonts w:hint="eastAsia" w:cs="Times New Roman"/>
                <w:color w:val="auto"/>
                <w:kern w:val="0"/>
                <w:sz w:val="24"/>
                <w:u w:val="none" w:color="auto"/>
                <w:lang w:val="en-US" w:eastAsia="zh-CN"/>
              </w:rPr>
              <w:t>《</w:t>
            </w:r>
            <w:r>
              <w:rPr>
                <w:rFonts w:hint="eastAsia" w:ascii="Times New Roman" w:hAnsi="Times New Roman" w:cs="Times New Roman"/>
                <w:color w:val="auto"/>
                <w:kern w:val="0"/>
                <w:sz w:val="24"/>
                <w:u w:val="none" w:color="auto"/>
                <w:lang w:val="en-US" w:eastAsia="zh-CN"/>
              </w:rPr>
              <w:t>湖南省生态环境分区管控总体管控要求暨省级以上产业园区生态环境准入清单》（</w:t>
            </w:r>
            <w:r>
              <w:rPr>
                <w:rFonts w:hint="eastAsia" w:cs="Times New Roman"/>
                <w:color w:val="auto"/>
                <w:kern w:val="0"/>
                <w:sz w:val="24"/>
                <w:u w:val="none" w:color="auto"/>
                <w:lang w:val="en-US" w:eastAsia="zh-CN"/>
              </w:rPr>
              <w:t>2023版</w:t>
            </w:r>
            <w:r>
              <w:rPr>
                <w:rFonts w:hint="eastAsia" w:ascii="Times New Roman" w:hAnsi="Times New Roman" w:cs="Times New Roman"/>
                <w:color w:val="auto"/>
                <w:kern w:val="0"/>
                <w:sz w:val="24"/>
                <w:u w:val="none" w:color="auto"/>
                <w:lang w:val="en-US" w:eastAsia="zh-CN"/>
              </w:rPr>
              <w:t>）</w:t>
            </w:r>
            <w:r>
              <w:rPr>
                <w:rFonts w:hint="default" w:ascii="Times New Roman" w:hAnsi="Times New Roman" w:cs="Times New Roman"/>
                <w:color w:val="auto"/>
                <w:kern w:val="0"/>
                <w:sz w:val="24"/>
                <w:u w:val="none" w:color="auto"/>
              </w:rPr>
              <w:t>，本项目</w:t>
            </w:r>
            <w:r>
              <w:rPr>
                <w:rFonts w:hint="eastAsia" w:ascii="Times New Roman" w:hAnsi="Times New Roman" w:cs="Times New Roman"/>
                <w:color w:val="auto"/>
                <w:kern w:val="0"/>
                <w:sz w:val="24"/>
                <w:u w:val="none" w:color="auto"/>
                <w:lang w:eastAsia="zh-CN"/>
              </w:rPr>
              <w:t>属于</w:t>
            </w:r>
            <w:r>
              <w:rPr>
                <w:rFonts w:hint="default" w:ascii="Times New Roman" w:hAnsi="Times New Roman" w:cs="Times New Roman"/>
                <w:color w:val="auto"/>
                <w:kern w:val="0"/>
                <w:sz w:val="24"/>
                <w:u w:val="none" w:color="auto"/>
              </w:rPr>
              <w:t>湘阴高新技术产业区范围，属于重点管控单元，环境管控单元编码为ZH43062420002，其管控要求具体如下：</w:t>
            </w:r>
          </w:p>
          <w:p w14:paraId="22E5925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表1-</w:t>
            </w:r>
            <w:r>
              <w:rPr>
                <w:rFonts w:hint="eastAsia" w:cs="Times New Roman"/>
                <w:b/>
                <w:bCs/>
                <w:color w:val="auto"/>
                <w:sz w:val="21"/>
                <w:szCs w:val="21"/>
                <w:highlight w:val="none"/>
                <w:u w:val="none" w:color="auto"/>
                <w:lang w:val="en-US" w:eastAsia="zh-CN"/>
              </w:rPr>
              <w:t>4</w:t>
            </w:r>
            <w:r>
              <w:rPr>
                <w:rFonts w:hint="default" w:ascii="Times New Roman" w:hAnsi="Times New Roman" w:eastAsia="宋体" w:cs="Times New Roman"/>
                <w:b/>
                <w:bCs/>
                <w:color w:val="auto"/>
                <w:sz w:val="21"/>
                <w:szCs w:val="21"/>
                <w:highlight w:val="none"/>
                <w:u w:val="none" w:color="auto"/>
              </w:rPr>
              <w:t xml:space="preserve"> </w:t>
            </w:r>
            <w:r>
              <w:rPr>
                <w:rFonts w:hint="default" w:ascii="Times New Roman" w:hAnsi="Times New Roman" w:eastAsia="宋体" w:cs="Times New Roman"/>
                <w:b/>
                <w:bCs/>
                <w:color w:val="auto"/>
                <w:sz w:val="21"/>
                <w:szCs w:val="21"/>
                <w:highlight w:val="none"/>
                <w:u w:val="none" w:color="auto"/>
                <w:lang w:val="en-US" w:eastAsia="zh-CN"/>
              </w:rPr>
              <w:t xml:space="preserve"> 与</w:t>
            </w:r>
            <w:r>
              <w:rPr>
                <w:rFonts w:hint="default" w:ascii="Times New Roman" w:hAnsi="Times New Roman" w:eastAsia="宋体" w:cs="Times New Roman"/>
                <w:b/>
                <w:bCs/>
                <w:color w:val="auto"/>
                <w:sz w:val="21"/>
                <w:szCs w:val="21"/>
                <w:highlight w:val="none"/>
                <w:u w:val="none" w:color="auto"/>
              </w:rPr>
              <w:t>《湖南省“三线一单”生态环境总体管控要求暨省级以上产业园区生态环境准入清单》相符性分析</w:t>
            </w:r>
          </w:p>
          <w:tbl>
            <w:tblPr>
              <w:tblStyle w:val="33"/>
              <w:tblW w:w="4995"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521"/>
              <w:gridCol w:w="3164"/>
              <w:gridCol w:w="2750"/>
              <w:gridCol w:w="505"/>
            </w:tblGrid>
            <w:tr w14:paraId="3F9CD03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tcBorders>
                    <w:tl2br w:val="nil"/>
                    <w:tr2bl w:val="nil"/>
                  </w:tcBorders>
                  <w:noWrap w:val="0"/>
                  <w:vAlign w:val="center"/>
                </w:tcPr>
                <w:p w14:paraId="7D432BD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val="en-US" w:eastAsia="zh-CN"/>
                    </w:rPr>
                    <w:t>管控维度</w:t>
                  </w:r>
                </w:p>
              </w:tc>
              <w:tc>
                <w:tcPr>
                  <w:tcW w:w="2279" w:type="pct"/>
                  <w:tcBorders>
                    <w:tl2br w:val="nil"/>
                    <w:tr2bl w:val="nil"/>
                  </w:tcBorders>
                  <w:noWrap w:val="0"/>
                  <w:vAlign w:val="center"/>
                </w:tcPr>
                <w:p w14:paraId="7B18439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管控要求</w:t>
                  </w:r>
                </w:p>
              </w:tc>
              <w:tc>
                <w:tcPr>
                  <w:tcW w:w="1981" w:type="pct"/>
                  <w:tcBorders>
                    <w:tl2br w:val="nil"/>
                    <w:tr2bl w:val="nil"/>
                  </w:tcBorders>
                  <w:noWrap w:val="0"/>
                  <w:vAlign w:val="center"/>
                </w:tcPr>
                <w:p w14:paraId="0EC828D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本项目</w:t>
                  </w:r>
                </w:p>
              </w:tc>
              <w:tc>
                <w:tcPr>
                  <w:tcW w:w="363" w:type="pct"/>
                  <w:tcBorders>
                    <w:tl2br w:val="nil"/>
                    <w:tr2bl w:val="nil"/>
                  </w:tcBorders>
                  <w:noWrap w:val="0"/>
                  <w:vAlign w:val="center"/>
                </w:tcPr>
                <w:p w14:paraId="79BAA78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符合性</w:t>
                  </w:r>
                </w:p>
              </w:tc>
            </w:tr>
            <w:tr w14:paraId="180AD3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restart"/>
                  <w:tcBorders>
                    <w:tl2br w:val="nil"/>
                    <w:tr2bl w:val="nil"/>
                  </w:tcBorders>
                  <w:noWrap w:val="0"/>
                  <w:vAlign w:val="center"/>
                </w:tcPr>
                <w:p w14:paraId="70587CD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空间布局约束</w:t>
                  </w:r>
                </w:p>
              </w:tc>
              <w:tc>
                <w:tcPr>
                  <w:tcW w:w="2279" w:type="pct"/>
                  <w:tcBorders>
                    <w:tl2br w:val="nil"/>
                    <w:tr2bl w:val="nil"/>
                  </w:tcBorders>
                  <w:noWrap w:val="0"/>
                  <w:vAlign w:val="center"/>
                </w:tcPr>
                <w:p w14:paraId="55B4355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新引进项目及高新区外企业搬迁入园过程中应着重从降低环境影响的角度出发合理选址布局。对于高新区外已有企业或项目的搬迁入园应确保实现其清洁生产水平的提升与污染物排放总量的降低。</w:t>
                  </w:r>
                </w:p>
              </w:tc>
              <w:tc>
                <w:tcPr>
                  <w:tcW w:w="1981" w:type="pct"/>
                  <w:tcBorders>
                    <w:tl2br w:val="nil"/>
                    <w:tr2bl w:val="nil"/>
                  </w:tcBorders>
                  <w:noWrap w:val="0"/>
                  <w:vAlign w:val="center"/>
                </w:tcPr>
                <w:p w14:paraId="6CA3F20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在严格落实本项目提出的各项措施下，根据后文源强核算，本项目废气、废水、噪声均能实现达标排放，固体废物也均能妥善处理。</w:t>
                  </w:r>
                </w:p>
              </w:tc>
              <w:tc>
                <w:tcPr>
                  <w:tcW w:w="363" w:type="pct"/>
                  <w:tcBorders>
                    <w:tl2br w:val="nil"/>
                    <w:tr2bl w:val="nil"/>
                  </w:tcBorders>
                  <w:noWrap w:val="0"/>
                  <w:vAlign w:val="center"/>
                </w:tcPr>
                <w:p w14:paraId="2E051CE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67D25A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99" w:hRule="atLeast"/>
                <w:jc w:val="center"/>
              </w:trPr>
              <w:tc>
                <w:tcPr>
                  <w:tcW w:w="375" w:type="pct"/>
                  <w:vMerge w:val="continue"/>
                  <w:tcBorders>
                    <w:tl2br w:val="nil"/>
                    <w:tr2bl w:val="nil"/>
                  </w:tcBorders>
                  <w:noWrap w:val="0"/>
                  <w:vAlign w:val="center"/>
                </w:tcPr>
                <w:p w14:paraId="7C4AFE6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u w:val="none" w:color="auto"/>
                      <w:lang w:val="en-US" w:eastAsia="zh-CN"/>
                    </w:rPr>
                  </w:pPr>
                </w:p>
              </w:tc>
              <w:tc>
                <w:tcPr>
                  <w:tcW w:w="2279" w:type="pct"/>
                  <w:tcBorders>
                    <w:tl2br w:val="nil"/>
                    <w:tr2bl w:val="nil"/>
                  </w:tcBorders>
                  <w:noWrap w:val="0"/>
                  <w:vAlign w:val="center"/>
                </w:tcPr>
                <w:p w14:paraId="525F14A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区块一、区块二（洋沙湖片区）将涉及气型污染物无组织排放的企业、车间尽量远离湿地公园布置；禁止引进对洋沙湖-东湖国家湿地公园产生不利影响的企业。</w:t>
                  </w:r>
                </w:p>
                <w:p w14:paraId="0E8577A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区块三、区块四、区块五（临港片区）严控以气型污染为主的企业入驻</w:t>
                  </w:r>
                  <w:r>
                    <w:rPr>
                      <w:rFonts w:hint="eastAsia" w:ascii="Times New Roman" w:hAnsi="Times New Roman" w:eastAsia="宋体" w:cs="Times New Roman"/>
                      <w:color w:val="auto"/>
                      <w:kern w:val="0"/>
                      <w:sz w:val="21"/>
                      <w:szCs w:val="21"/>
                      <w:u w:val="none" w:color="auto"/>
                      <w:lang w:val="en-US" w:eastAsia="zh-CN"/>
                    </w:rPr>
                    <w:t>。</w:t>
                  </w:r>
                </w:p>
                <w:p w14:paraId="7B4949B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区块六（金龙片区）适当限制以水型污染为主的企业入驻。</w:t>
                  </w:r>
                </w:p>
              </w:tc>
              <w:tc>
                <w:tcPr>
                  <w:tcW w:w="1981" w:type="pct"/>
                  <w:tcBorders>
                    <w:tl2br w:val="nil"/>
                    <w:tr2bl w:val="nil"/>
                  </w:tcBorders>
                  <w:noWrap w:val="0"/>
                  <w:vAlign w:val="center"/>
                </w:tcPr>
                <w:p w14:paraId="61CDB2C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本项目位于</w:t>
                  </w:r>
                  <w:r>
                    <w:rPr>
                      <w:rFonts w:hint="default" w:ascii="Times New Roman" w:hAnsi="Times New Roman" w:eastAsia="宋体" w:cs="Times New Roman"/>
                      <w:color w:val="auto"/>
                      <w:kern w:val="0"/>
                      <w:sz w:val="21"/>
                      <w:szCs w:val="21"/>
                      <w:u w:val="none" w:color="auto"/>
                      <w:lang w:val="en-US" w:eastAsia="zh-CN"/>
                    </w:rPr>
                    <w:t>洋沙湖片区</w:t>
                  </w:r>
                  <w:r>
                    <w:rPr>
                      <w:rFonts w:hint="eastAsia" w:ascii="Times New Roman" w:hAnsi="Times New Roman" w:eastAsia="宋体" w:cs="Times New Roman"/>
                      <w:color w:val="auto"/>
                      <w:kern w:val="0"/>
                      <w:sz w:val="21"/>
                      <w:szCs w:val="21"/>
                      <w:u w:val="none" w:color="auto"/>
                      <w:lang w:val="en-US" w:eastAsia="zh-CN"/>
                    </w:rPr>
                    <w:t>，</w:t>
                  </w:r>
                  <w:r>
                    <w:rPr>
                      <w:rFonts w:hint="eastAsia" w:cs="Times New Roman"/>
                      <w:color w:val="auto"/>
                      <w:kern w:val="0"/>
                      <w:sz w:val="21"/>
                      <w:szCs w:val="21"/>
                      <w:u w:val="none" w:color="auto"/>
                      <w:lang w:val="en-US" w:eastAsia="zh-CN"/>
                    </w:rPr>
                    <w:t>无组织排放源布置远离湿地公园一侧</w:t>
                  </w:r>
                  <w:r>
                    <w:rPr>
                      <w:rFonts w:hint="eastAsia" w:ascii="Times New Roman" w:hAnsi="Times New Roman" w:eastAsia="宋体" w:cs="Times New Roman"/>
                      <w:color w:val="auto"/>
                      <w:kern w:val="0"/>
                      <w:sz w:val="21"/>
                      <w:szCs w:val="21"/>
                      <w:u w:val="none" w:color="auto"/>
                      <w:lang w:val="en-US" w:eastAsia="zh-CN"/>
                    </w:rPr>
                    <w:t>，</w:t>
                  </w:r>
                  <w:r>
                    <w:rPr>
                      <w:rFonts w:hint="eastAsia" w:cs="Times New Roman"/>
                      <w:color w:val="auto"/>
                      <w:kern w:val="0"/>
                      <w:sz w:val="21"/>
                      <w:szCs w:val="21"/>
                      <w:u w:val="none" w:color="auto"/>
                      <w:lang w:val="en-US" w:eastAsia="zh-CN"/>
                    </w:rPr>
                    <w:t>废水主要为员工生活污水，经化粪池</w:t>
                  </w:r>
                  <w:r>
                    <w:rPr>
                      <w:rFonts w:hint="eastAsia" w:ascii="Times New Roman" w:hAnsi="Times New Roman" w:eastAsia="宋体" w:cs="Times New Roman"/>
                      <w:color w:val="auto"/>
                      <w:kern w:val="0"/>
                      <w:sz w:val="21"/>
                      <w:szCs w:val="21"/>
                      <w:u w:val="none" w:color="auto"/>
                      <w:lang w:val="en-US" w:eastAsia="zh-CN"/>
                    </w:rPr>
                    <w:t>处理后排入园区的市政管网，进入</w:t>
                  </w:r>
                  <w:r>
                    <w:rPr>
                      <w:rFonts w:hint="eastAsia" w:cs="Times New Roman"/>
                      <w:color w:val="auto"/>
                      <w:kern w:val="0"/>
                      <w:sz w:val="21"/>
                      <w:szCs w:val="21"/>
                      <w:u w:val="none" w:color="auto"/>
                      <w:lang w:val="en-US" w:eastAsia="zh-CN"/>
                    </w:rPr>
                    <w:t>湘阴县第二污水处理厂</w:t>
                  </w:r>
                  <w:r>
                    <w:rPr>
                      <w:rFonts w:hint="eastAsia" w:ascii="Times New Roman" w:hAnsi="Times New Roman" w:eastAsia="宋体" w:cs="Times New Roman"/>
                      <w:color w:val="auto"/>
                      <w:kern w:val="0"/>
                      <w:sz w:val="21"/>
                      <w:szCs w:val="21"/>
                      <w:u w:val="none" w:color="auto"/>
                      <w:lang w:val="en-US" w:eastAsia="zh-CN"/>
                    </w:rPr>
                    <w:t>深度处理</w:t>
                  </w:r>
                  <w:r>
                    <w:rPr>
                      <w:rFonts w:hint="eastAsia" w:cs="Times New Roman"/>
                      <w:color w:val="auto"/>
                      <w:kern w:val="0"/>
                      <w:sz w:val="21"/>
                      <w:szCs w:val="21"/>
                      <w:u w:val="none" w:color="auto"/>
                      <w:lang w:val="en-US" w:eastAsia="zh-CN"/>
                    </w:rPr>
                    <w:t>；生产废水主要为清洗废水，不外排，做危废处理</w:t>
                  </w:r>
                  <w:r>
                    <w:rPr>
                      <w:rFonts w:hint="eastAsia" w:ascii="Times New Roman" w:hAnsi="Times New Roman" w:eastAsia="宋体" w:cs="Times New Roman"/>
                      <w:color w:val="auto"/>
                      <w:kern w:val="0"/>
                      <w:sz w:val="21"/>
                      <w:szCs w:val="21"/>
                      <w:u w:val="none" w:color="auto"/>
                      <w:lang w:val="en-US" w:eastAsia="zh-CN"/>
                    </w:rPr>
                    <w:t>。</w:t>
                  </w:r>
                </w:p>
                <w:p w14:paraId="04387DD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p>
              </w:tc>
              <w:tc>
                <w:tcPr>
                  <w:tcW w:w="363" w:type="pct"/>
                  <w:tcBorders>
                    <w:tl2br w:val="nil"/>
                    <w:tr2bl w:val="nil"/>
                  </w:tcBorders>
                  <w:noWrap w:val="0"/>
                  <w:vAlign w:val="center"/>
                </w:tcPr>
                <w:p w14:paraId="3C175C6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30B96E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restart"/>
                  <w:tcBorders>
                    <w:tl2br w:val="nil"/>
                    <w:tr2bl w:val="nil"/>
                  </w:tcBorders>
                  <w:noWrap w:val="0"/>
                  <w:vAlign w:val="center"/>
                </w:tcPr>
                <w:p w14:paraId="030D952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污染物排放管控</w:t>
                  </w:r>
                </w:p>
              </w:tc>
              <w:tc>
                <w:tcPr>
                  <w:tcW w:w="2279" w:type="pct"/>
                  <w:tcBorders>
                    <w:tl2br w:val="nil"/>
                    <w:tr2bl w:val="nil"/>
                  </w:tcBorders>
                  <w:noWrap w:val="0"/>
                  <w:vAlign w:val="center"/>
                </w:tcPr>
                <w:p w14:paraId="0A0DA0A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废水：（1）高新区各区块排水实施雨污分流，雨水经雨水管网排入洋沙湖。（2）区块一、区块二（洋沙湖片区）废水进入湘阴县第二污水处理厂处理达标后排入洋沙湖闸外流入湘江；区块三、区块四、区块五（临港片区）废水依托湘阴县第一污水处理厂处理达标后排入湘江；区块六（金龙片区）废水依托</w:t>
                  </w:r>
                  <w:r>
                    <w:rPr>
                      <w:rFonts w:hint="eastAsia" w:cs="Times New Roman"/>
                      <w:color w:val="auto"/>
                      <w:kern w:val="0"/>
                      <w:sz w:val="21"/>
                      <w:szCs w:val="21"/>
                      <w:u w:val="none" w:color="auto"/>
                      <w:lang w:val="en-US" w:eastAsia="zh-CN"/>
                    </w:rPr>
                    <w:t>湘阴县第二污水处理厂</w:t>
                  </w:r>
                  <w:r>
                    <w:rPr>
                      <w:rFonts w:hint="eastAsia" w:ascii="Times New Roman" w:hAnsi="Times New Roman" w:eastAsia="宋体" w:cs="Times New Roman"/>
                      <w:color w:val="auto"/>
                      <w:kern w:val="0"/>
                      <w:sz w:val="21"/>
                      <w:szCs w:val="21"/>
                      <w:u w:val="none" w:color="auto"/>
                      <w:lang w:val="en-US" w:eastAsia="zh-CN"/>
                    </w:rPr>
                    <w:t>处理达标后由洋沙河排入洋沙湖。</w:t>
                  </w:r>
                </w:p>
              </w:tc>
              <w:tc>
                <w:tcPr>
                  <w:tcW w:w="1981" w:type="pct"/>
                  <w:tcBorders>
                    <w:tl2br w:val="nil"/>
                    <w:tr2bl w:val="nil"/>
                  </w:tcBorders>
                  <w:noWrap w:val="0"/>
                  <w:vAlign w:val="center"/>
                </w:tcPr>
                <w:p w14:paraId="482A5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本项目排水采用“雨污分流”制，项目所在区域雨水管网及污水管网均已建成，雨水通过园区雨水管网排入</w:t>
                  </w:r>
                  <w:r>
                    <w:rPr>
                      <w:rFonts w:hint="eastAsia" w:cs="Times New Roman"/>
                      <w:color w:val="auto"/>
                      <w:kern w:val="0"/>
                      <w:sz w:val="21"/>
                      <w:szCs w:val="21"/>
                      <w:u w:val="none" w:color="auto"/>
                      <w:lang w:val="en-US" w:eastAsia="zh-CN"/>
                    </w:rPr>
                    <w:t>洋沙湖</w:t>
                  </w:r>
                  <w:r>
                    <w:rPr>
                      <w:rFonts w:hint="eastAsia" w:ascii="Times New Roman" w:hAnsi="Times New Roman" w:eastAsia="宋体" w:cs="Times New Roman"/>
                      <w:color w:val="auto"/>
                      <w:kern w:val="0"/>
                      <w:sz w:val="21"/>
                      <w:szCs w:val="21"/>
                      <w:u w:val="none" w:color="auto"/>
                      <w:lang w:val="en-US" w:eastAsia="zh-CN"/>
                    </w:rPr>
                    <w:t>，生活污水经预处理后，通过园区的市政管网进入</w:t>
                  </w:r>
                  <w:r>
                    <w:rPr>
                      <w:rFonts w:hint="eastAsia" w:cs="Times New Roman"/>
                      <w:color w:val="auto"/>
                      <w:kern w:val="0"/>
                      <w:sz w:val="21"/>
                      <w:szCs w:val="21"/>
                      <w:u w:val="none" w:color="auto"/>
                      <w:lang w:val="en-US" w:eastAsia="zh-CN"/>
                    </w:rPr>
                    <w:t>湘阴县第二污水处理厂</w:t>
                  </w:r>
                  <w:r>
                    <w:rPr>
                      <w:rFonts w:hint="eastAsia" w:ascii="Times New Roman" w:hAnsi="Times New Roman" w:eastAsia="宋体" w:cs="Times New Roman"/>
                      <w:color w:val="auto"/>
                      <w:kern w:val="0"/>
                      <w:sz w:val="21"/>
                      <w:szCs w:val="21"/>
                      <w:u w:val="none" w:color="auto"/>
                      <w:lang w:val="en-US" w:eastAsia="zh-CN"/>
                    </w:rPr>
                    <w:t>处理。</w:t>
                  </w:r>
                </w:p>
              </w:tc>
              <w:tc>
                <w:tcPr>
                  <w:tcW w:w="363" w:type="pct"/>
                  <w:tcBorders>
                    <w:tl2br w:val="nil"/>
                    <w:tr2bl w:val="nil"/>
                  </w:tcBorders>
                  <w:noWrap w:val="0"/>
                  <w:vAlign w:val="center"/>
                </w:tcPr>
                <w:p w14:paraId="37FE488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0CC3F78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noWrap w:val="0"/>
                  <w:vAlign w:val="center"/>
                </w:tcPr>
                <w:p w14:paraId="200EBF4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2279" w:type="pct"/>
                  <w:tcBorders>
                    <w:tl2br w:val="nil"/>
                    <w:tr2bl w:val="nil"/>
                  </w:tcBorders>
                  <w:noWrap w:val="0"/>
                  <w:vAlign w:val="center"/>
                </w:tcPr>
                <w:p w14:paraId="7A8C7FA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废气：（1）持续深化工业炉窑大气污染专项治理，进一步加强传统产业环保升级，采用节能低碳环保技术改造提升传统产业，努力构建绿色制造体系，不断优化工业产品结构。（2）加强高新区大气污染防治，采取有效措施减少污染物排放总量，严格控制无组织排放，加强对高新区企业VOCs排放的治理。</w:t>
                  </w:r>
                </w:p>
              </w:tc>
              <w:tc>
                <w:tcPr>
                  <w:tcW w:w="1981" w:type="pct"/>
                  <w:tcBorders>
                    <w:tl2br w:val="nil"/>
                    <w:tr2bl w:val="nil"/>
                  </w:tcBorders>
                  <w:noWrap w:val="0"/>
                  <w:vAlign w:val="center"/>
                </w:tcPr>
                <w:p w14:paraId="4C7A718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本项目不涉及工业窑炉的使用，</w:t>
                  </w:r>
                  <w:r>
                    <w:rPr>
                      <w:rFonts w:hint="eastAsia" w:ascii="Times New Roman" w:hAnsi="Times New Roman" w:cs="Times New Roman"/>
                      <w:color w:val="auto"/>
                      <w:szCs w:val="21"/>
                      <w:highlight w:val="none"/>
                      <w:u w:val="none" w:color="auto"/>
                      <w:lang w:val="en-US" w:eastAsia="zh-CN"/>
                    </w:rPr>
                    <w:t>本项目废气及处理方式为：</w:t>
                  </w:r>
                  <w:r>
                    <w:rPr>
                      <w:rFonts w:hint="eastAsia" w:ascii="Times New Roman" w:hAnsi="Times New Roman" w:cs="Times New Roman"/>
                      <w:color w:val="auto"/>
                      <w:sz w:val="21"/>
                      <w:szCs w:val="21"/>
                      <w:highlight w:val="none"/>
                      <w:u w:val="none" w:color="auto"/>
                      <w:lang w:val="en-US" w:eastAsia="zh-CN"/>
                    </w:rPr>
                    <w:t>①</w:t>
                  </w:r>
                  <w:r>
                    <w:rPr>
                      <w:rFonts w:hint="eastAsia" w:cs="Times New Roman"/>
                      <w:color w:val="auto"/>
                      <w:sz w:val="21"/>
                      <w:szCs w:val="21"/>
                      <w:highlight w:val="none"/>
                      <w:u w:val="none" w:color="auto"/>
                      <w:lang w:val="en-US" w:eastAsia="zh-CN"/>
                    </w:rPr>
                    <w:t>高频淬火机产生的无组织废气，经分析产生量较少可达标排放；②机加工产生的挥发性有机物采用设备自带的机械过滤，尾气无组织排放，经分析可达标排放</w:t>
                  </w:r>
                  <w:r>
                    <w:rPr>
                      <w:rFonts w:hint="eastAsia"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③表面喷砂处理机采用设备自带的废气处理设施，尾气经排气筒高空排放；食堂油烟经油烟净化器处理后高空排放。</w:t>
                  </w:r>
                </w:p>
              </w:tc>
              <w:tc>
                <w:tcPr>
                  <w:tcW w:w="363" w:type="pct"/>
                  <w:tcBorders>
                    <w:tl2br w:val="nil"/>
                    <w:tr2bl w:val="nil"/>
                  </w:tcBorders>
                  <w:noWrap w:val="0"/>
                  <w:vAlign w:val="center"/>
                </w:tcPr>
                <w:p w14:paraId="2EA1F92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789E4D8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noWrap w:val="0"/>
                  <w:vAlign w:val="center"/>
                </w:tcPr>
                <w:p w14:paraId="7332CE2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2279" w:type="pct"/>
                  <w:tcBorders>
                    <w:tl2br w:val="nil"/>
                    <w:tr2bl w:val="nil"/>
                  </w:tcBorders>
                  <w:noWrap w:val="0"/>
                  <w:vAlign w:val="center"/>
                </w:tcPr>
                <w:p w14:paraId="0839198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固体废弃物：建立高新区固废规范化管理体系，做好工业固体废物的分类收集、转运、综合利用和无害化处理。对危险废物应严格按照国家有关规定综合利用或妥善处置，对危险废物产生企业和经营单位，应强化日常环境监管</w:t>
                  </w:r>
                  <w:r>
                    <w:rPr>
                      <w:rFonts w:hint="eastAsia" w:ascii="Times New Roman" w:hAnsi="Times New Roman" w:eastAsia="宋体" w:cs="Times New Roman"/>
                      <w:color w:val="auto"/>
                      <w:kern w:val="0"/>
                      <w:sz w:val="21"/>
                      <w:szCs w:val="21"/>
                      <w:u w:val="none" w:color="auto"/>
                      <w:lang w:val="en-US" w:eastAsia="zh-CN"/>
                    </w:rPr>
                    <w:t>。</w:t>
                  </w:r>
                </w:p>
              </w:tc>
              <w:tc>
                <w:tcPr>
                  <w:tcW w:w="1981" w:type="pct"/>
                  <w:tcBorders>
                    <w:tl2br w:val="nil"/>
                    <w:tr2bl w:val="nil"/>
                  </w:tcBorders>
                  <w:noWrap w:val="0"/>
                  <w:vAlign w:val="center"/>
                </w:tcPr>
                <w:p w14:paraId="30984A7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本项目一般固体废物分类暂存一般固废暂存间后</w:t>
                  </w:r>
                  <w:r>
                    <w:rPr>
                      <w:rFonts w:hint="eastAsia" w:ascii="Times New Roman" w:hAnsi="Times New Roman" w:eastAsia="宋体" w:cs="Times New Roman"/>
                      <w:b w:val="0"/>
                      <w:bCs/>
                      <w:color w:val="auto"/>
                      <w:sz w:val="21"/>
                      <w:szCs w:val="21"/>
                      <w:u w:val="none" w:color="auto"/>
                      <w:lang w:val="en-US" w:eastAsia="zh-CN"/>
                    </w:rPr>
                    <w:t>交由物资回收单位处理；</w:t>
                  </w:r>
                  <w:r>
                    <w:rPr>
                      <w:rFonts w:hint="eastAsia" w:cs="Times New Roman"/>
                      <w:b w:val="0"/>
                      <w:bCs/>
                      <w:color w:val="auto"/>
                      <w:sz w:val="21"/>
                      <w:szCs w:val="21"/>
                      <w:u w:val="none" w:color="auto"/>
                      <w:lang w:val="en-US" w:eastAsia="zh-CN"/>
                    </w:rPr>
                    <w:t>危险废物</w:t>
                  </w:r>
                  <w:r>
                    <w:rPr>
                      <w:rFonts w:hint="eastAsia" w:ascii="Times New Roman" w:hAnsi="Times New Roman" w:eastAsia="宋体" w:cs="Times New Roman"/>
                      <w:b w:val="0"/>
                      <w:bCs/>
                      <w:color w:val="auto"/>
                      <w:sz w:val="21"/>
                      <w:szCs w:val="21"/>
                      <w:u w:val="none" w:color="auto"/>
                      <w:lang w:val="en-US" w:eastAsia="zh-CN"/>
                    </w:rPr>
                    <w:t>暂存危废暂存间后交有资质单位处理。</w:t>
                  </w:r>
                </w:p>
              </w:tc>
              <w:tc>
                <w:tcPr>
                  <w:tcW w:w="363" w:type="pct"/>
                  <w:tcBorders>
                    <w:tl2br w:val="nil"/>
                    <w:tr2bl w:val="nil"/>
                  </w:tcBorders>
                  <w:noWrap w:val="0"/>
                  <w:vAlign w:val="center"/>
                </w:tcPr>
                <w:p w14:paraId="172FDD6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092DACC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noWrap w:val="0"/>
                  <w:vAlign w:val="center"/>
                </w:tcPr>
                <w:p w14:paraId="7DCFD15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2279" w:type="pct"/>
                  <w:tcBorders>
                    <w:tl2br w:val="nil"/>
                    <w:tr2bl w:val="nil"/>
                  </w:tcBorders>
                  <w:noWrap w:val="0"/>
                  <w:vAlign w:val="center"/>
                </w:tcPr>
                <w:p w14:paraId="2F3A98F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建立健全环境空气、地表水、地下水、土壤等环境要素的监控体系。合理布局大气小微站，并涵盖相关特征污染物监测</w:t>
                  </w:r>
                  <w:r>
                    <w:rPr>
                      <w:rFonts w:hint="eastAsia" w:ascii="Times New Roman" w:hAnsi="Times New Roman" w:eastAsia="宋体" w:cs="Times New Roman"/>
                      <w:color w:val="auto"/>
                      <w:kern w:val="0"/>
                      <w:sz w:val="21"/>
                      <w:szCs w:val="21"/>
                      <w:u w:val="none" w:color="auto"/>
                      <w:lang w:val="en-US" w:eastAsia="zh-CN"/>
                    </w:rPr>
                    <w:t>。</w:t>
                  </w:r>
                </w:p>
              </w:tc>
              <w:tc>
                <w:tcPr>
                  <w:tcW w:w="1981" w:type="pct"/>
                  <w:tcBorders>
                    <w:tl2br w:val="nil"/>
                    <w:tr2bl w:val="nil"/>
                  </w:tcBorders>
                  <w:noWrap w:val="0"/>
                  <w:vAlign w:val="center"/>
                </w:tcPr>
                <w:p w14:paraId="35EFAEE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本评价按要求</w:t>
                  </w:r>
                  <w:r>
                    <w:rPr>
                      <w:rFonts w:hint="eastAsia" w:cs="Times New Roman"/>
                      <w:color w:val="auto"/>
                      <w:kern w:val="0"/>
                      <w:sz w:val="21"/>
                      <w:szCs w:val="21"/>
                      <w:u w:val="none" w:color="auto"/>
                      <w:lang w:val="en-US" w:eastAsia="zh-CN"/>
                    </w:rPr>
                    <w:t>制定</w:t>
                  </w:r>
                  <w:r>
                    <w:rPr>
                      <w:rFonts w:hint="eastAsia" w:ascii="Times New Roman" w:hAnsi="Times New Roman" w:eastAsia="宋体" w:cs="Times New Roman"/>
                      <w:color w:val="auto"/>
                      <w:kern w:val="0"/>
                      <w:sz w:val="21"/>
                      <w:szCs w:val="21"/>
                      <w:u w:val="none" w:color="auto"/>
                      <w:lang w:val="en-US" w:eastAsia="zh-CN"/>
                    </w:rPr>
                    <w:t>了自行监测方案</w:t>
                  </w:r>
                  <w:r>
                    <w:rPr>
                      <w:rFonts w:hint="eastAsia" w:cs="Times New Roman"/>
                      <w:color w:val="auto"/>
                      <w:kern w:val="0"/>
                      <w:sz w:val="21"/>
                      <w:szCs w:val="21"/>
                      <w:u w:val="none" w:color="auto"/>
                      <w:lang w:val="en-US" w:eastAsia="zh-CN"/>
                    </w:rPr>
                    <w:t>。</w:t>
                  </w:r>
                </w:p>
              </w:tc>
              <w:tc>
                <w:tcPr>
                  <w:tcW w:w="363" w:type="pct"/>
                  <w:tcBorders>
                    <w:tl2br w:val="nil"/>
                    <w:tr2bl w:val="nil"/>
                  </w:tcBorders>
                  <w:noWrap w:val="0"/>
                  <w:vAlign w:val="center"/>
                </w:tcPr>
                <w:p w14:paraId="55B79B2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3FE18DF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noWrap w:val="0"/>
                  <w:vAlign w:val="center"/>
                </w:tcPr>
                <w:p w14:paraId="6FE1FB4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2279" w:type="pct"/>
                  <w:tcBorders>
                    <w:tl2br w:val="nil"/>
                    <w:tr2bl w:val="nil"/>
                  </w:tcBorders>
                  <w:noWrap w:val="0"/>
                  <w:vAlign w:val="center"/>
                </w:tcPr>
                <w:p w14:paraId="1DF5BE9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rPr>
                    <w:t>高新区内相关行业污染物排放满足《</w:t>
                  </w:r>
                  <w:r>
                    <w:rPr>
                      <w:rFonts w:hint="eastAsia" w:cs="Times New Roman"/>
                      <w:color w:val="auto"/>
                      <w:kern w:val="0"/>
                      <w:sz w:val="21"/>
                      <w:szCs w:val="21"/>
                      <w:u w:val="none" w:color="auto"/>
                      <w:lang w:eastAsia="zh-CN"/>
                    </w:rPr>
                    <w:t>湖南省生态环境厅</w:t>
                  </w:r>
                  <w:r>
                    <w:rPr>
                      <w:rFonts w:hint="default" w:ascii="Times New Roman" w:hAnsi="Times New Roman" w:eastAsia="宋体" w:cs="Times New Roman"/>
                      <w:color w:val="auto"/>
                      <w:kern w:val="0"/>
                      <w:sz w:val="21"/>
                      <w:szCs w:val="21"/>
                      <w:u w:val="none" w:color="auto"/>
                    </w:rPr>
                    <w:t>关于执行污染物特别排放限值（第一批）的公告》中的要求</w:t>
                  </w:r>
                  <w:r>
                    <w:rPr>
                      <w:rFonts w:hint="eastAsia" w:ascii="Times New Roman" w:hAnsi="Times New Roman" w:eastAsia="宋体" w:cs="Times New Roman"/>
                      <w:color w:val="auto"/>
                      <w:kern w:val="0"/>
                      <w:sz w:val="21"/>
                      <w:szCs w:val="21"/>
                      <w:u w:val="none" w:color="auto"/>
                      <w:lang w:eastAsia="zh-CN"/>
                    </w:rPr>
                    <w:t>。</w:t>
                  </w:r>
                </w:p>
              </w:tc>
              <w:tc>
                <w:tcPr>
                  <w:tcW w:w="1981" w:type="pct"/>
                  <w:tcBorders>
                    <w:tl2br w:val="nil"/>
                    <w:tr2bl w:val="nil"/>
                  </w:tcBorders>
                  <w:noWrap w:val="0"/>
                  <w:vAlign w:val="center"/>
                </w:tcPr>
                <w:p w14:paraId="2F2F1D5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本项目各类污染物排放标准严格按照</w:t>
                  </w:r>
                  <w:r>
                    <w:rPr>
                      <w:rFonts w:hint="default" w:ascii="Times New Roman" w:hAnsi="Times New Roman" w:eastAsia="宋体" w:cs="Times New Roman"/>
                      <w:color w:val="auto"/>
                      <w:kern w:val="0"/>
                      <w:sz w:val="21"/>
                      <w:szCs w:val="21"/>
                      <w:u w:val="none" w:color="auto"/>
                    </w:rPr>
                    <w:t>《</w:t>
                  </w:r>
                  <w:r>
                    <w:rPr>
                      <w:rFonts w:hint="eastAsia" w:cs="Times New Roman"/>
                      <w:color w:val="auto"/>
                      <w:kern w:val="0"/>
                      <w:sz w:val="21"/>
                      <w:szCs w:val="21"/>
                      <w:u w:val="none" w:color="auto"/>
                      <w:lang w:eastAsia="zh-CN"/>
                    </w:rPr>
                    <w:t>湖南省生态环境厅</w:t>
                  </w:r>
                  <w:r>
                    <w:rPr>
                      <w:rFonts w:hint="default" w:ascii="Times New Roman" w:hAnsi="Times New Roman" w:eastAsia="宋体" w:cs="Times New Roman"/>
                      <w:color w:val="auto"/>
                      <w:kern w:val="0"/>
                      <w:sz w:val="21"/>
                      <w:szCs w:val="21"/>
                      <w:u w:val="none" w:color="auto"/>
                    </w:rPr>
                    <w:t>关于执行污染物特别排放限值（第一批）的公告》</w:t>
                  </w:r>
                  <w:r>
                    <w:rPr>
                      <w:rFonts w:hint="eastAsia" w:ascii="Times New Roman" w:hAnsi="Times New Roman" w:eastAsia="宋体" w:cs="Times New Roman"/>
                      <w:color w:val="auto"/>
                      <w:kern w:val="0"/>
                      <w:sz w:val="21"/>
                      <w:szCs w:val="21"/>
                      <w:u w:val="none" w:color="auto"/>
                      <w:lang w:val="en-US" w:eastAsia="zh-CN"/>
                    </w:rPr>
                    <w:t>中相关要求执行。</w:t>
                  </w:r>
                </w:p>
              </w:tc>
              <w:tc>
                <w:tcPr>
                  <w:tcW w:w="363" w:type="pct"/>
                  <w:tcBorders>
                    <w:tl2br w:val="nil"/>
                    <w:tr2bl w:val="nil"/>
                  </w:tcBorders>
                  <w:noWrap w:val="0"/>
                  <w:vAlign w:val="center"/>
                </w:tcPr>
                <w:p w14:paraId="69FE0C3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041BB54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restart"/>
                  <w:tcBorders>
                    <w:tl2br w:val="nil"/>
                    <w:tr2bl w:val="nil"/>
                  </w:tcBorders>
                  <w:noWrap w:val="0"/>
                  <w:vAlign w:val="center"/>
                </w:tcPr>
                <w:p w14:paraId="6B84274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环境风险防控</w:t>
                  </w:r>
                </w:p>
              </w:tc>
              <w:tc>
                <w:tcPr>
                  <w:tcW w:w="2279" w:type="pct"/>
                  <w:tcBorders>
                    <w:tl2br w:val="nil"/>
                    <w:tr2bl w:val="nil"/>
                  </w:tcBorders>
                  <w:noWrap w:val="0"/>
                  <w:vAlign w:val="center"/>
                </w:tcPr>
                <w:p w14:paraId="7BFF9F8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eastAsia="zh-CN"/>
                    </w:rPr>
                    <w:t>高新区各区块应建立健全环境风险防控体系，组织推动高新区应急预案修编并落实相关要求，加强环境风险事故防范和应急管理。</w:t>
                  </w:r>
                </w:p>
              </w:tc>
              <w:tc>
                <w:tcPr>
                  <w:tcW w:w="1981" w:type="pct"/>
                  <w:vMerge w:val="restart"/>
                  <w:tcBorders>
                    <w:tl2br w:val="nil"/>
                    <w:tr2bl w:val="nil"/>
                  </w:tcBorders>
                  <w:noWrap w:val="0"/>
                  <w:vAlign w:val="center"/>
                </w:tcPr>
                <w:p w14:paraId="25E16A1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本次评价建议建设单位在项目建设完成后，根据厂内实际情况编制突发环境事件应急预案。</w:t>
                  </w:r>
                </w:p>
              </w:tc>
              <w:tc>
                <w:tcPr>
                  <w:tcW w:w="363" w:type="pct"/>
                  <w:tcBorders>
                    <w:tl2br w:val="nil"/>
                    <w:tr2bl w:val="nil"/>
                  </w:tcBorders>
                  <w:noWrap w:val="0"/>
                  <w:vAlign w:val="center"/>
                </w:tcPr>
                <w:p w14:paraId="13EABD6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3B6A0E2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5" w:type="pct"/>
                  <w:vMerge w:val="continue"/>
                  <w:tcBorders>
                    <w:tl2br w:val="nil"/>
                    <w:tr2bl w:val="nil"/>
                  </w:tcBorders>
                  <w:noWrap w:val="0"/>
                  <w:vAlign w:val="center"/>
                </w:tcPr>
                <w:p w14:paraId="4CE3173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2279" w:type="pct"/>
                  <w:tcBorders>
                    <w:tl2br w:val="nil"/>
                    <w:tr2bl w:val="nil"/>
                  </w:tcBorders>
                  <w:noWrap w:val="0"/>
                  <w:vAlign w:val="center"/>
                </w:tcPr>
                <w:p w14:paraId="5B2A57D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val="en-US" w:eastAsia="zh-CN"/>
                    </w:rPr>
                    <w:t>高新区可能发生突发环境事件的污染物排放企业，生产、储存、运输、使用危险化学品的企业，</w:t>
                  </w:r>
                  <w:r>
                    <w:rPr>
                      <w:rFonts w:hint="eastAsia" w:cs="Times New Roman"/>
                      <w:color w:val="auto"/>
                      <w:kern w:val="0"/>
                      <w:sz w:val="21"/>
                      <w:szCs w:val="21"/>
                      <w:u w:val="none" w:color="auto"/>
                      <w:lang w:val="en-US" w:eastAsia="zh-CN"/>
                    </w:rPr>
                    <w:t>生产</w:t>
                  </w:r>
                  <w:r>
                    <w:rPr>
                      <w:rFonts w:hint="eastAsia" w:ascii="Times New Roman" w:hAnsi="Times New Roman" w:eastAsia="宋体" w:cs="Times New Roman"/>
                      <w:color w:val="auto"/>
                      <w:kern w:val="0"/>
                      <w:sz w:val="21"/>
                      <w:szCs w:val="21"/>
                      <w:u w:val="none" w:color="auto"/>
                      <w:lang w:val="en-US" w:eastAsia="zh-CN"/>
                    </w:rPr>
                    <w:t>、收集、贮存、运</w:t>
                  </w:r>
                  <w:r>
                    <w:rPr>
                      <w:rFonts w:hint="default" w:ascii="Times New Roman" w:hAnsi="Times New Roman" w:eastAsia="宋体" w:cs="Times New Roman"/>
                      <w:color w:val="auto"/>
                      <w:kern w:val="0"/>
                      <w:sz w:val="21"/>
                      <w:szCs w:val="21"/>
                      <w:u w:val="none" w:color="auto"/>
                      <w:lang w:val="en-US" w:eastAsia="zh-CN"/>
                    </w:rPr>
                    <w:t>输危险废物的企业，应当编制和实施环境应急预案；鼓励其他企业制定单独的环境应急预案，或在突发事件应急预案中制定环境应急预案专章，并备案</w:t>
                  </w:r>
                  <w:r>
                    <w:rPr>
                      <w:rFonts w:hint="eastAsia" w:ascii="Times New Roman" w:hAnsi="Times New Roman" w:eastAsia="宋体" w:cs="Times New Roman"/>
                      <w:color w:val="auto"/>
                      <w:kern w:val="0"/>
                      <w:sz w:val="21"/>
                      <w:szCs w:val="21"/>
                      <w:u w:val="none" w:color="auto"/>
                      <w:lang w:val="en-US" w:eastAsia="zh-CN"/>
                    </w:rPr>
                    <w:t>。</w:t>
                  </w:r>
                </w:p>
              </w:tc>
              <w:tc>
                <w:tcPr>
                  <w:tcW w:w="1981" w:type="pct"/>
                  <w:vMerge w:val="continue"/>
                  <w:tcBorders>
                    <w:tl2br w:val="nil"/>
                    <w:tr2bl w:val="nil"/>
                  </w:tcBorders>
                  <w:noWrap w:val="0"/>
                  <w:vAlign w:val="center"/>
                </w:tcPr>
                <w:p w14:paraId="1550F62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rPr>
                  </w:pPr>
                </w:p>
              </w:tc>
              <w:tc>
                <w:tcPr>
                  <w:tcW w:w="363" w:type="pct"/>
                  <w:tcBorders>
                    <w:tl2br w:val="nil"/>
                    <w:tr2bl w:val="nil"/>
                  </w:tcBorders>
                  <w:noWrap w:val="0"/>
                  <w:vAlign w:val="center"/>
                </w:tcPr>
                <w:p w14:paraId="2DC3D9C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236AE1D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375" w:type="pct"/>
                  <w:vMerge w:val="continue"/>
                  <w:tcBorders>
                    <w:tl2br w:val="nil"/>
                    <w:tr2bl w:val="nil"/>
                  </w:tcBorders>
                  <w:noWrap w:val="0"/>
                  <w:vAlign w:val="center"/>
                </w:tcPr>
                <w:p w14:paraId="7FA4AE7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2279" w:type="pct"/>
                  <w:tcBorders>
                    <w:tl2br w:val="nil"/>
                    <w:tr2bl w:val="nil"/>
                  </w:tcBorders>
                  <w:noWrap w:val="0"/>
                  <w:vAlign w:val="center"/>
                </w:tcPr>
                <w:p w14:paraId="46B5486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eastAsia="zh-CN"/>
                    </w:rPr>
                    <w:t>强化源头风险隐患排查，建立土壤环境风险管控清单，对重点监管源实施分类别、分用途和分阶段的全过程监管和综合</w:t>
                  </w:r>
                  <w:r>
                    <w:rPr>
                      <w:rFonts w:hint="eastAsia" w:ascii="Times New Roman" w:hAnsi="Times New Roman" w:eastAsia="宋体" w:cs="Times New Roman"/>
                      <w:color w:val="auto"/>
                      <w:kern w:val="0"/>
                      <w:sz w:val="21"/>
                      <w:szCs w:val="21"/>
                      <w:u w:val="none" w:color="auto"/>
                      <w:lang w:val="en-US" w:eastAsia="zh-CN"/>
                    </w:rPr>
                    <w:t>整</w:t>
                  </w:r>
                  <w:r>
                    <w:rPr>
                      <w:rFonts w:hint="eastAsia" w:ascii="Times New Roman" w:hAnsi="Times New Roman" w:eastAsia="宋体" w:cs="Times New Roman"/>
                      <w:color w:val="auto"/>
                      <w:kern w:val="0"/>
                      <w:sz w:val="21"/>
                      <w:szCs w:val="21"/>
                      <w:u w:val="none" w:color="auto"/>
                      <w:lang w:eastAsia="zh-CN"/>
                    </w:rPr>
                    <w:t>治，逐步构建形成具有区域特色的土壤环境管理体系，推动区域土壤环境质量逐步改善与提升。</w:t>
                  </w:r>
                </w:p>
              </w:tc>
              <w:tc>
                <w:tcPr>
                  <w:tcW w:w="1981" w:type="pct"/>
                  <w:vMerge w:val="continue"/>
                  <w:tcBorders>
                    <w:tl2br w:val="nil"/>
                    <w:tr2bl w:val="nil"/>
                  </w:tcBorders>
                  <w:noWrap w:val="0"/>
                  <w:vAlign w:val="center"/>
                </w:tcPr>
                <w:p w14:paraId="72668F2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p>
              </w:tc>
              <w:tc>
                <w:tcPr>
                  <w:tcW w:w="363" w:type="pct"/>
                  <w:tcBorders>
                    <w:tl2br w:val="nil"/>
                    <w:tr2bl w:val="nil"/>
                  </w:tcBorders>
                  <w:noWrap w:val="0"/>
                  <w:vAlign w:val="center"/>
                </w:tcPr>
                <w:p w14:paraId="7A78794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370ACA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restart"/>
                  <w:tcBorders>
                    <w:tl2br w:val="nil"/>
                    <w:tr2bl w:val="nil"/>
                  </w:tcBorders>
                  <w:noWrap w:val="0"/>
                  <w:vAlign w:val="center"/>
                </w:tcPr>
                <w:p w14:paraId="06101FE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资源开发效率要求</w:t>
                  </w:r>
                </w:p>
              </w:tc>
              <w:tc>
                <w:tcPr>
                  <w:tcW w:w="2279" w:type="pct"/>
                  <w:tcBorders>
                    <w:tl2br w:val="nil"/>
                    <w:tr2bl w:val="nil"/>
                  </w:tcBorders>
                  <w:noWrap w:val="0"/>
                  <w:vAlign w:val="center"/>
                </w:tcPr>
                <w:p w14:paraId="4B0C060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eastAsia="zh-CN"/>
                    </w:rPr>
                    <w:t>能源：推动高新区能源系统整体优化和污染综合整治，鼓励工业企业、园区优先利用可再生能源。2025年区域综合能耗消费量预测当量值为449200吨标煤，区域单位GDP能耗预测值为0.5561吨标煤/万元，区域“十四五”时期能源消耗增量控制在141700吨标煤。</w:t>
                  </w:r>
                </w:p>
              </w:tc>
              <w:tc>
                <w:tcPr>
                  <w:tcW w:w="1981" w:type="pct"/>
                  <w:tcBorders>
                    <w:tl2br w:val="nil"/>
                    <w:tr2bl w:val="nil"/>
                  </w:tcBorders>
                  <w:noWrap w:val="0"/>
                  <w:vAlign w:val="center"/>
                </w:tcPr>
                <w:p w14:paraId="466FE6B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本项目不涉及燃煤及重油的使用。</w:t>
                  </w:r>
                </w:p>
              </w:tc>
              <w:tc>
                <w:tcPr>
                  <w:tcW w:w="363" w:type="pct"/>
                  <w:tcBorders>
                    <w:tl2br w:val="nil"/>
                    <w:tr2bl w:val="nil"/>
                  </w:tcBorders>
                  <w:noWrap w:val="0"/>
                  <w:vAlign w:val="center"/>
                </w:tcPr>
                <w:p w14:paraId="78E3CCF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6D46D0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noWrap w:val="0"/>
                  <w:vAlign w:val="center"/>
                </w:tcPr>
                <w:p w14:paraId="0A30A2C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p>
              </w:tc>
              <w:tc>
                <w:tcPr>
                  <w:tcW w:w="2279" w:type="pct"/>
                  <w:tcBorders>
                    <w:tl2br w:val="nil"/>
                    <w:tr2bl w:val="nil"/>
                  </w:tcBorders>
                  <w:noWrap w:val="0"/>
                  <w:vAlign w:val="center"/>
                </w:tcPr>
                <w:p w14:paraId="2F631CF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水资源：（1）强化生产用水管理，大力推广高效冷却、循环用水等节水工艺和技术，支持企业开展节水技术改造。（2）积极推行水循环梯级利用，推动现有企业和高新区开展绿色高质量省级和循环化改造，促进企业间串联用水、分质用水，一水多用和循环利用。（3）2025年，高新区指标应符合相应行政区域的管控要求，湘阴县用水总量控制在3.455亿立方米以内，2025年万元地区生产总值用水量比2020年下降21.26%，2025年万元工业增加值用水量比2020年下降21.55%。</w:t>
                  </w:r>
                </w:p>
              </w:tc>
              <w:tc>
                <w:tcPr>
                  <w:tcW w:w="1981" w:type="pct"/>
                  <w:tcBorders>
                    <w:tl2br w:val="nil"/>
                    <w:tr2bl w:val="nil"/>
                  </w:tcBorders>
                  <w:noWrap w:val="0"/>
                  <w:vAlign w:val="center"/>
                </w:tcPr>
                <w:p w14:paraId="750A27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outlineLvl w:val="9"/>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val="zh-CN" w:eastAsia="zh-CN"/>
                    </w:rPr>
                    <w:t>本项目</w:t>
                  </w:r>
                  <w:r>
                    <w:rPr>
                      <w:rFonts w:hint="eastAsia" w:ascii="Times New Roman" w:hAnsi="Times New Roman" w:eastAsia="宋体" w:cs="Times New Roman"/>
                      <w:color w:val="auto"/>
                      <w:kern w:val="0"/>
                      <w:sz w:val="21"/>
                      <w:szCs w:val="21"/>
                      <w:u w:val="none" w:color="auto"/>
                      <w:lang w:val="en-US" w:eastAsia="zh-CN"/>
                    </w:rPr>
                    <w:t>给水</w:t>
                  </w:r>
                  <w:r>
                    <w:rPr>
                      <w:rFonts w:hint="eastAsia" w:cs="Times New Roman"/>
                      <w:color w:val="auto"/>
                      <w:kern w:val="0"/>
                      <w:sz w:val="21"/>
                      <w:szCs w:val="21"/>
                      <w:u w:val="none" w:color="auto"/>
                      <w:lang w:val="en-US" w:eastAsia="zh-CN"/>
                    </w:rPr>
                    <w:t>来自</w:t>
                  </w:r>
                  <w:r>
                    <w:rPr>
                      <w:rFonts w:hint="eastAsia" w:ascii="Times New Roman" w:hAnsi="Times New Roman" w:eastAsia="宋体" w:cs="Times New Roman"/>
                      <w:color w:val="auto"/>
                      <w:kern w:val="0"/>
                      <w:sz w:val="21"/>
                      <w:szCs w:val="21"/>
                      <w:u w:val="none" w:color="auto"/>
                      <w:lang w:val="en-US" w:eastAsia="zh-CN"/>
                    </w:rPr>
                    <w:t>市政自来水管网供水，本项目用水</w:t>
                  </w:r>
                  <w:r>
                    <w:rPr>
                      <w:rFonts w:hint="eastAsia" w:cs="Times New Roman"/>
                      <w:color w:val="auto"/>
                      <w:kern w:val="0"/>
                      <w:sz w:val="21"/>
                      <w:szCs w:val="21"/>
                      <w:u w:val="none" w:color="auto"/>
                      <w:lang w:val="en-US" w:eastAsia="zh-CN"/>
                    </w:rPr>
                    <w:t>为</w:t>
                  </w:r>
                  <w:r>
                    <w:rPr>
                      <w:rFonts w:hint="eastAsia" w:ascii="Times New Roman" w:hAnsi="Times New Roman" w:eastAsia="宋体" w:cs="Times New Roman"/>
                      <w:color w:val="auto"/>
                      <w:kern w:val="0"/>
                      <w:sz w:val="21"/>
                      <w:szCs w:val="21"/>
                      <w:u w:val="none" w:color="auto"/>
                      <w:lang w:val="en-US" w:eastAsia="zh-CN"/>
                    </w:rPr>
                    <w:t>员工生活用水不属于高耗水企业，不涉及高耗水工艺，用水均符合</w:t>
                  </w:r>
                  <w:r>
                    <w:rPr>
                      <w:rFonts w:hint="default" w:ascii="Times New Roman" w:hAnsi="Times New Roman" w:eastAsia="宋体" w:cs="Times New Roman"/>
                      <w:color w:val="auto"/>
                      <w:kern w:val="0"/>
                      <w:sz w:val="21"/>
                      <w:szCs w:val="21"/>
                      <w:u w:val="none" w:color="auto"/>
                      <w:lang w:val="en-US" w:eastAsia="zh-CN"/>
                    </w:rPr>
                    <w:t>《用水定额</w:t>
                  </w:r>
                  <w:r>
                    <w:rPr>
                      <w:rFonts w:hint="eastAsia" w:ascii="Times New Roman" w:hAnsi="Times New Roman" w:eastAsia="宋体" w:cs="Times New Roman"/>
                      <w:color w:val="auto"/>
                      <w:kern w:val="0"/>
                      <w:sz w:val="21"/>
                      <w:szCs w:val="21"/>
                      <w:u w:val="none" w:color="auto"/>
                      <w:lang w:val="en-US" w:eastAsia="zh-CN"/>
                    </w:rPr>
                    <w:t xml:space="preserve"> 第3部分 生活、服务业及建筑业</w:t>
                  </w:r>
                  <w:r>
                    <w:rPr>
                      <w:rFonts w:hint="default" w:ascii="Times New Roman" w:hAnsi="Times New Roman" w:eastAsia="宋体" w:cs="Times New Roman"/>
                      <w:color w:val="auto"/>
                      <w:kern w:val="0"/>
                      <w:sz w:val="21"/>
                      <w:szCs w:val="21"/>
                      <w:u w:val="none" w:color="auto"/>
                      <w:lang w:val="en-US" w:eastAsia="zh-CN"/>
                    </w:rPr>
                    <w:t>》（DB43/T 388</w:t>
                  </w:r>
                  <w:r>
                    <w:rPr>
                      <w:rFonts w:hint="eastAsia" w:ascii="Times New Roman" w:hAnsi="Times New Roman" w:eastAsia="宋体" w:cs="Times New Roman"/>
                      <w:color w:val="auto"/>
                      <w:kern w:val="0"/>
                      <w:sz w:val="21"/>
                      <w:szCs w:val="21"/>
                      <w:u w:val="none" w:color="auto"/>
                      <w:lang w:val="en-US" w:eastAsia="zh-CN"/>
                    </w:rPr>
                    <w:t>.3</w:t>
                  </w:r>
                  <w:r>
                    <w:rPr>
                      <w:rFonts w:hint="default"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val="en-US" w:eastAsia="zh-CN"/>
                    </w:rPr>
                    <w:t>2025</w:t>
                  </w:r>
                  <w:r>
                    <w:rPr>
                      <w:rFonts w:hint="default"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val="en-US" w:eastAsia="zh-CN"/>
                    </w:rPr>
                    <w:t>要求。</w:t>
                  </w:r>
                </w:p>
              </w:tc>
              <w:tc>
                <w:tcPr>
                  <w:tcW w:w="363" w:type="pct"/>
                  <w:tcBorders>
                    <w:tl2br w:val="nil"/>
                    <w:tr2bl w:val="nil"/>
                  </w:tcBorders>
                  <w:noWrap w:val="0"/>
                  <w:vAlign w:val="center"/>
                </w:tcPr>
                <w:p w14:paraId="33F985A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0B11369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noWrap w:val="0"/>
                  <w:vAlign w:val="center"/>
                </w:tcPr>
                <w:p w14:paraId="24C5B9C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2279" w:type="pct"/>
                  <w:tcBorders>
                    <w:tl2br w:val="nil"/>
                    <w:tr2bl w:val="nil"/>
                  </w:tcBorders>
                  <w:noWrap w:val="0"/>
                  <w:vAlign w:val="center"/>
                </w:tcPr>
                <w:p w14:paraId="0770F3A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eastAsia="zh-CN"/>
                    </w:rPr>
                    <w:t>土地资源：在详细规划编制、用地预审与选址、用地报批、土地出让、规划许可、竣工验收等环节，全面推行工业项目建设用地引导指标和工业项目供地负面清单管理。省级园区工业用地固定资产投入强度达到260万元/亩，工业用地地均税收达到13万元/亩。</w:t>
                  </w:r>
                </w:p>
              </w:tc>
              <w:tc>
                <w:tcPr>
                  <w:tcW w:w="1981" w:type="pct"/>
                  <w:tcBorders>
                    <w:tl2br w:val="nil"/>
                    <w:tr2bl w:val="nil"/>
                  </w:tcBorders>
                  <w:noWrap w:val="0"/>
                  <w:vAlign w:val="center"/>
                </w:tcPr>
                <w:p w14:paraId="7EE6487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spacing w:val="7"/>
                      <w:sz w:val="21"/>
                      <w:szCs w:val="21"/>
                      <w:u w:val="none" w:color="auto"/>
                      <w:lang w:val="en-US" w:eastAsia="zh-CN"/>
                    </w:rPr>
                    <w:t>本项目位于园区</w:t>
                  </w:r>
                  <w:r>
                    <w:rPr>
                      <w:rFonts w:hint="eastAsia" w:cs="Times New Roman"/>
                      <w:color w:val="auto"/>
                      <w:spacing w:val="7"/>
                      <w:sz w:val="21"/>
                      <w:szCs w:val="21"/>
                      <w:u w:val="none" w:color="auto"/>
                      <w:lang w:val="en-US" w:eastAsia="zh-CN"/>
                    </w:rPr>
                    <w:t>规划的</w:t>
                  </w:r>
                  <w:r>
                    <w:rPr>
                      <w:rFonts w:hint="eastAsia" w:ascii="Times New Roman" w:hAnsi="Times New Roman" w:eastAsia="宋体" w:cs="Times New Roman"/>
                      <w:color w:val="auto"/>
                      <w:spacing w:val="7"/>
                      <w:sz w:val="21"/>
                      <w:szCs w:val="21"/>
                      <w:u w:val="none" w:color="auto"/>
                      <w:lang w:val="en-US" w:eastAsia="zh-CN"/>
                    </w:rPr>
                    <w:t>工业用地范围内，不新增园区工业用地。</w:t>
                  </w:r>
                </w:p>
              </w:tc>
              <w:tc>
                <w:tcPr>
                  <w:tcW w:w="363" w:type="pct"/>
                  <w:tcBorders>
                    <w:tl2br w:val="nil"/>
                    <w:tr2bl w:val="nil"/>
                  </w:tcBorders>
                  <w:noWrap w:val="0"/>
                  <w:vAlign w:val="center"/>
                </w:tcPr>
                <w:p w14:paraId="2A23046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r w14:paraId="1EBEF85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tcBorders>
                    <w:tl2br w:val="nil"/>
                    <w:tr2bl w:val="nil"/>
                  </w:tcBorders>
                  <w:noWrap w:val="0"/>
                  <w:vAlign w:val="center"/>
                </w:tcPr>
                <w:p w14:paraId="6689439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备注*（湘发改</w:t>
                  </w:r>
                  <w:r>
                    <w:rPr>
                      <w:rFonts w:hint="eastAsia" w:ascii="Times New Roman" w:hAnsi="Times New Roman" w:eastAsia="宋体" w:cs="Times New Roman"/>
                      <w:color w:val="auto"/>
                      <w:kern w:val="0"/>
                      <w:sz w:val="21"/>
                      <w:szCs w:val="21"/>
                      <w:u w:val="none" w:color="auto"/>
                      <w:lang w:val="en-US" w:eastAsia="zh-CN"/>
                    </w:rPr>
                    <w:t>函</w:t>
                  </w:r>
                  <w:r>
                    <w:rPr>
                      <w:rFonts w:hint="default" w:ascii="Times New Roman" w:hAnsi="Times New Roman" w:eastAsia="宋体" w:cs="Times New Roman"/>
                      <w:color w:val="auto"/>
                      <w:kern w:val="0"/>
                      <w:sz w:val="21"/>
                      <w:szCs w:val="21"/>
                      <w:u w:val="none" w:color="auto"/>
                    </w:rPr>
                    <w:t>〔202</w:t>
                  </w:r>
                  <w:r>
                    <w:rPr>
                      <w:rFonts w:hint="eastAsia" w:ascii="Times New Roman" w:hAnsi="Times New Roman" w:eastAsia="宋体" w:cs="Times New Roman"/>
                      <w:color w:val="auto"/>
                      <w:kern w:val="0"/>
                      <w:sz w:val="21"/>
                      <w:szCs w:val="21"/>
                      <w:u w:val="none" w:color="auto"/>
                      <w:lang w:val="en-US" w:eastAsia="zh-CN"/>
                    </w:rPr>
                    <w:t>3</w:t>
                  </w:r>
                  <w:r>
                    <w:rPr>
                      <w:rFonts w:hint="default" w:ascii="Times New Roman" w:hAnsi="Times New Roman" w:eastAsia="宋体" w:cs="Times New Roman"/>
                      <w:color w:val="auto"/>
                      <w:kern w:val="0"/>
                      <w:sz w:val="21"/>
                      <w:szCs w:val="21"/>
                      <w:u w:val="none" w:color="auto"/>
                    </w:rPr>
                    <w:t>〕</w:t>
                  </w:r>
                  <w:r>
                    <w:rPr>
                      <w:rFonts w:hint="eastAsia" w:ascii="Times New Roman" w:hAnsi="Times New Roman" w:eastAsia="宋体" w:cs="Times New Roman"/>
                      <w:color w:val="auto"/>
                      <w:kern w:val="0"/>
                      <w:sz w:val="21"/>
                      <w:szCs w:val="21"/>
                      <w:u w:val="none" w:color="auto"/>
                      <w:lang w:val="en-US" w:eastAsia="zh-CN"/>
                    </w:rPr>
                    <w:t>68</w:t>
                  </w:r>
                  <w:r>
                    <w:rPr>
                      <w:rFonts w:hint="default" w:ascii="Times New Roman" w:hAnsi="Times New Roman" w:eastAsia="宋体" w:cs="Times New Roman"/>
                      <w:color w:val="auto"/>
                      <w:kern w:val="0"/>
                      <w:sz w:val="21"/>
                      <w:szCs w:val="21"/>
                      <w:u w:val="none" w:color="auto"/>
                    </w:rPr>
                    <w:t>号）</w:t>
                  </w:r>
                </w:p>
              </w:tc>
              <w:tc>
                <w:tcPr>
                  <w:tcW w:w="2279" w:type="pct"/>
                  <w:tcBorders>
                    <w:tl2br w:val="nil"/>
                    <w:tr2bl w:val="nil"/>
                  </w:tcBorders>
                  <w:noWrap w:val="0"/>
                  <w:vAlign w:val="center"/>
                </w:tcPr>
                <w:p w14:paraId="1CCC08A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w:t>
                  </w:r>
                  <w:r>
                    <w:rPr>
                      <w:rFonts w:hint="eastAsia" w:ascii="Times New Roman" w:hAnsi="Times New Roman" w:eastAsia="宋体" w:cs="Times New Roman"/>
                      <w:color w:val="auto"/>
                      <w:kern w:val="0"/>
                      <w:sz w:val="21"/>
                      <w:szCs w:val="21"/>
                      <w:u w:val="none" w:color="auto"/>
                      <w:lang w:val="en-US" w:eastAsia="zh-CN"/>
                    </w:rPr>
                    <w:t>1</w:t>
                  </w:r>
                  <w:r>
                    <w:rPr>
                      <w:rFonts w:hint="eastAsia" w:ascii="Times New Roman" w:hAnsi="Times New Roman" w:eastAsia="宋体" w:cs="Times New Roman"/>
                      <w:color w:val="auto"/>
                      <w:kern w:val="0"/>
                      <w:sz w:val="21"/>
                      <w:szCs w:val="21"/>
                      <w:u w:val="none" w:color="auto"/>
                      <w:lang w:eastAsia="zh-CN"/>
                    </w:rPr>
                    <w:t>）</w:t>
                  </w:r>
                  <w:r>
                    <w:rPr>
                      <w:rFonts w:hint="default" w:ascii="Times New Roman" w:hAnsi="Times New Roman" w:eastAsia="宋体" w:cs="Times New Roman"/>
                      <w:color w:val="auto"/>
                      <w:kern w:val="0"/>
                      <w:sz w:val="21"/>
                      <w:szCs w:val="21"/>
                      <w:u w:val="none" w:color="auto"/>
                    </w:rPr>
                    <w:t>区块一：面积6.7464 km</w:t>
                  </w:r>
                  <w:r>
                    <w:rPr>
                      <w:rFonts w:hint="default" w:ascii="Times New Roman" w:hAnsi="Times New Roman" w:eastAsia="宋体" w:cs="Times New Roman"/>
                      <w:color w:val="auto"/>
                      <w:kern w:val="0"/>
                      <w:sz w:val="21"/>
                      <w:szCs w:val="21"/>
                      <w:u w:val="none" w:color="auto"/>
                      <w:vertAlign w:val="superscript"/>
                    </w:rPr>
                    <w:t>2</w:t>
                  </w:r>
                </w:p>
                <w:p w14:paraId="1F09BF7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rPr>
                    <w:t>，四至范围：东至芙蓉北路，南至城南村，西至中联大道，北至白水江路</w:t>
                  </w:r>
                  <w:r>
                    <w:rPr>
                      <w:rFonts w:hint="eastAsia" w:ascii="Times New Roman" w:hAnsi="Times New Roman" w:eastAsia="宋体" w:cs="Times New Roman"/>
                      <w:color w:val="auto"/>
                      <w:kern w:val="0"/>
                      <w:sz w:val="21"/>
                      <w:szCs w:val="21"/>
                      <w:u w:val="none" w:color="auto"/>
                      <w:lang w:eastAsia="zh-CN"/>
                    </w:rPr>
                    <w:t>。</w:t>
                  </w:r>
                </w:p>
                <w:p w14:paraId="219EF3B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eastAsia="zh-CN"/>
                    </w:rPr>
                    <w:t>（</w:t>
                  </w:r>
                  <w:r>
                    <w:rPr>
                      <w:rFonts w:hint="eastAsia" w:ascii="Times New Roman" w:hAnsi="Times New Roman" w:eastAsia="宋体" w:cs="Times New Roman"/>
                      <w:color w:val="auto"/>
                      <w:kern w:val="0"/>
                      <w:sz w:val="21"/>
                      <w:szCs w:val="21"/>
                      <w:u w:val="none" w:color="auto"/>
                      <w:lang w:val="en-US" w:eastAsia="zh-CN"/>
                    </w:rPr>
                    <w:t>2</w:t>
                  </w:r>
                  <w:r>
                    <w:rPr>
                      <w:rFonts w:hint="eastAsia" w:ascii="Times New Roman" w:hAnsi="Times New Roman" w:eastAsia="宋体" w:cs="Times New Roman"/>
                      <w:color w:val="auto"/>
                      <w:kern w:val="0"/>
                      <w:sz w:val="21"/>
                      <w:szCs w:val="21"/>
                      <w:u w:val="none" w:color="auto"/>
                      <w:lang w:eastAsia="zh-CN"/>
                    </w:rPr>
                    <w:t>）区块二：面积1.7211km</w:t>
                  </w:r>
                  <w:r>
                    <w:rPr>
                      <w:rFonts w:hint="eastAsia" w:ascii="Times New Roman" w:hAnsi="Times New Roman" w:eastAsia="宋体" w:cs="Times New Roman"/>
                      <w:color w:val="auto"/>
                      <w:kern w:val="0"/>
                      <w:sz w:val="21"/>
                      <w:szCs w:val="21"/>
                      <w:u w:val="none" w:color="auto"/>
                      <w:vertAlign w:val="superscript"/>
                      <w:lang w:eastAsia="zh-CN"/>
                    </w:rPr>
                    <w:t>2</w:t>
                  </w:r>
                </w:p>
                <w:p w14:paraId="51153B8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eastAsia="zh-CN"/>
                    </w:rPr>
                    <w:t>，四至范围：东至太傅路，南至湘阴潜溪港，西至湘江东岸，北至长岭村三峰窑。</w:t>
                  </w:r>
                </w:p>
                <w:p w14:paraId="5421E6E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eastAsia="zh-CN"/>
                    </w:rPr>
                    <w:t>（</w:t>
                  </w:r>
                  <w:r>
                    <w:rPr>
                      <w:rFonts w:hint="eastAsia" w:ascii="Times New Roman" w:hAnsi="Times New Roman" w:eastAsia="宋体" w:cs="Times New Roman"/>
                      <w:color w:val="auto"/>
                      <w:kern w:val="0"/>
                      <w:sz w:val="21"/>
                      <w:szCs w:val="21"/>
                      <w:u w:val="none" w:color="auto"/>
                      <w:lang w:val="en-US" w:eastAsia="zh-CN"/>
                    </w:rPr>
                    <w:t>3</w:t>
                  </w:r>
                  <w:r>
                    <w:rPr>
                      <w:rFonts w:hint="eastAsia" w:ascii="Times New Roman" w:hAnsi="Times New Roman" w:eastAsia="宋体" w:cs="Times New Roman"/>
                      <w:color w:val="auto"/>
                      <w:kern w:val="0"/>
                      <w:sz w:val="21"/>
                      <w:szCs w:val="21"/>
                      <w:u w:val="none" w:color="auto"/>
                      <w:lang w:eastAsia="zh-CN"/>
                    </w:rPr>
                    <w:t>）区块三：面积2.4663 km</w:t>
                  </w:r>
                  <w:r>
                    <w:rPr>
                      <w:rFonts w:hint="eastAsia" w:ascii="Times New Roman" w:hAnsi="Times New Roman" w:eastAsia="宋体" w:cs="Times New Roman"/>
                      <w:color w:val="auto"/>
                      <w:kern w:val="0"/>
                      <w:sz w:val="21"/>
                      <w:szCs w:val="21"/>
                      <w:u w:val="none" w:color="auto"/>
                      <w:vertAlign w:val="superscript"/>
                      <w:lang w:eastAsia="zh-CN"/>
                    </w:rPr>
                    <w:t>2</w:t>
                  </w:r>
                  <w:r>
                    <w:rPr>
                      <w:rFonts w:hint="eastAsia" w:ascii="Times New Roman" w:hAnsi="Times New Roman" w:eastAsia="宋体" w:cs="Times New Roman"/>
                      <w:color w:val="auto"/>
                      <w:kern w:val="0"/>
                      <w:sz w:val="21"/>
                      <w:szCs w:val="21"/>
                      <w:u w:val="none" w:color="auto"/>
                      <w:lang w:eastAsia="zh-CN"/>
                    </w:rPr>
                    <w:t>，四至范围：东至金凤大道，南至余家冲，西至许广高速以东620米处，北至X064县道。</w:t>
                  </w:r>
                </w:p>
              </w:tc>
              <w:tc>
                <w:tcPr>
                  <w:tcW w:w="1981" w:type="pct"/>
                  <w:tcBorders>
                    <w:tl2br w:val="nil"/>
                    <w:tr2bl w:val="nil"/>
                  </w:tcBorders>
                  <w:noWrap w:val="0"/>
                  <w:vAlign w:val="center"/>
                </w:tcPr>
                <w:p w14:paraId="7CC219A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本项目位于区块</w:t>
                  </w:r>
                  <w:r>
                    <w:rPr>
                      <w:rFonts w:hint="eastAsia" w:cs="Times New Roman"/>
                      <w:color w:val="auto"/>
                      <w:kern w:val="0"/>
                      <w:sz w:val="21"/>
                      <w:szCs w:val="21"/>
                      <w:u w:val="none" w:color="auto"/>
                      <w:lang w:val="en-US" w:eastAsia="zh-CN"/>
                    </w:rPr>
                    <w:t>一</w:t>
                  </w:r>
                </w:p>
              </w:tc>
              <w:tc>
                <w:tcPr>
                  <w:tcW w:w="363" w:type="pct"/>
                  <w:tcBorders>
                    <w:tl2br w:val="nil"/>
                    <w:tr2bl w:val="nil"/>
                  </w:tcBorders>
                  <w:noWrap w:val="0"/>
                  <w:vAlign w:val="center"/>
                </w:tcPr>
                <w:p w14:paraId="7527FB8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符合</w:t>
                  </w:r>
                </w:p>
              </w:tc>
            </w:tr>
          </w:tbl>
          <w:p w14:paraId="63A3A5C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u w:val="none" w:color="auto"/>
                <w:lang w:val="en-US" w:eastAsia="zh-CN"/>
              </w:rPr>
            </w:pPr>
            <w:r>
              <w:rPr>
                <w:rFonts w:hint="default" w:ascii="Times New Roman" w:hAnsi="Times New Roman" w:eastAsia="宋体" w:cs="Times New Roman"/>
                <w:bCs/>
                <w:color w:val="auto"/>
                <w:sz w:val="24"/>
                <w:u w:val="none" w:color="auto"/>
                <w:lang w:val="en-US" w:eastAsia="zh-CN"/>
              </w:rPr>
              <w:t>综上，本项目与</w:t>
            </w:r>
            <w:r>
              <w:rPr>
                <w:rFonts w:hint="eastAsia" w:ascii="Times New Roman" w:hAnsi="Times New Roman" w:eastAsia="宋体" w:cs="Times New Roman"/>
                <w:bCs/>
                <w:color w:val="auto"/>
                <w:sz w:val="24"/>
                <w:u w:val="none" w:color="auto"/>
                <w:lang w:val="en-US" w:eastAsia="zh-CN"/>
              </w:rPr>
              <w:t>《湖南省生态环境厅关于发布</w:t>
            </w:r>
            <w:r>
              <w:rPr>
                <w:rFonts w:hint="eastAsia" w:cs="Times New Roman"/>
                <w:bCs/>
                <w:color w:val="auto"/>
                <w:sz w:val="24"/>
                <w:u w:val="none" w:color="auto"/>
                <w:lang w:val="en-US" w:eastAsia="zh-CN"/>
              </w:rPr>
              <w:t>〈</w:t>
            </w:r>
            <w:r>
              <w:rPr>
                <w:rFonts w:hint="eastAsia" w:ascii="Times New Roman" w:hAnsi="Times New Roman" w:eastAsia="宋体" w:cs="Times New Roman"/>
                <w:bCs/>
                <w:color w:val="auto"/>
                <w:sz w:val="24"/>
                <w:u w:val="none" w:color="auto"/>
                <w:lang w:val="en-US" w:eastAsia="zh-CN"/>
              </w:rPr>
              <w:t>湖南省生态环境分区管控总体管控要求暨省级以上产业园区生态环境准入清单</w:t>
            </w:r>
            <w:r>
              <w:rPr>
                <w:rFonts w:hint="eastAsia" w:cs="Times New Roman"/>
                <w:bCs/>
                <w:color w:val="auto"/>
                <w:sz w:val="24"/>
                <w:u w:val="none" w:color="auto"/>
                <w:lang w:val="en-US" w:eastAsia="zh-CN"/>
              </w:rPr>
              <w:t>〉</w:t>
            </w:r>
            <w:r>
              <w:rPr>
                <w:rFonts w:hint="eastAsia" w:ascii="Times New Roman" w:hAnsi="Times New Roman" w:eastAsia="宋体" w:cs="Times New Roman"/>
                <w:bCs/>
                <w:color w:val="auto"/>
                <w:sz w:val="24"/>
                <w:u w:val="none" w:color="auto"/>
                <w:lang w:val="en-US" w:eastAsia="zh-CN"/>
              </w:rPr>
              <w:t>的函》（</w:t>
            </w:r>
            <w:r>
              <w:rPr>
                <w:rFonts w:hint="eastAsia" w:cs="Times New Roman"/>
                <w:bCs/>
                <w:color w:val="auto"/>
                <w:sz w:val="24"/>
                <w:u w:val="none" w:color="auto"/>
                <w:lang w:val="en-US" w:eastAsia="zh-CN"/>
              </w:rPr>
              <w:t>2023版</w:t>
            </w:r>
            <w:r>
              <w:rPr>
                <w:rFonts w:hint="eastAsia" w:ascii="Times New Roman" w:hAnsi="Times New Roman" w:eastAsia="宋体" w:cs="Times New Roman"/>
                <w:bCs/>
                <w:color w:val="auto"/>
                <w:sz w:val="24"/>
                <w:u w:val="none" w:color="auto"/>
                <w:lang w:val="en-US" w:eastAsia="zh-CN"/>
              </w:rPr>
              <w:t>）</w:t>
            </w:r>
            <w:r>
              <w:rPr>
                <w:rFonts w:hint="default" w:ascii="Times New Roman" w:hAnsi="Times New Roman" w:eastAsia="宋体" w:cs="Times New Roman"/>
                <w:bCs/>
                <w:color w:val="auto"/>
                <w:sz w:val="24"/>
                <w:u w:val="none" w:color="auto"/>
                <w:lang w:val="en-US" w:eastAsia="zh-CN"/>
              </w:rPr>
              <w:t>相符</w:t>
            </w:r>
            <w:r>
              <w:rPr>
                <w:rFonts w:hint="eastAsia" w:ascii="Times New Roman" w:hAnsi="Times New Roman" w:eastAsia="宋体" w:cs="Times New Roman"/>
                <w:bCs/>
                <w:color w:val="auto"/>
                <w:sz w:val="24"/>
                <w:u w:val="none" w:color="auto"/>
                <w:lang w:val="en-US" w:eastAsia="zh-CN"/>
              </w:rPr>
              <w:t>。</w:t>
            </w:r>
          </w:p>
          <w:p w14:paraId="57F6139F">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、与《湘阴高新技术产业开发区调区扩区规划环境影响报告书》中湘阴高新技术产业开发区生态环境准入清单动态更新相符性分析</w:t>
            </w:r>
          </w:p>
          <w:p w14:paraId="39CAA2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u w:val="none"/>
                <w:lang w:val="en-US" w:eastAsia="zh-CN"/>
              </w:rPr>
            </w:pPr>
            <w:r>
              <w:rPr>
                <w:rFonts w:hint="eastAsia" w:ascii="Times New Roman" w:hAnsi="Times New Roman" w:eastAsia="宋体" w:cs="Times New Roman"/>
                <w:color w:val="auto"/>
                <w:kern w:val="0"/>
                <w:sz w:val="24"/>
                <w:szCs w:val="24"/>
                <w:u w:val="none"/>
                <w:lang w:val="en-US" w:eastAsia="zh-CN"/>
              </w:rPr>
              <w:t>根据《湘阴高新技术产业开发区调区扩区规划环境影响报告书》中“表10.2-1 湘阴高新技术产业开发区生态环境准入清单提出动态更新”，本项目</w:t>
            </w:r>
            <w:r>
              <w:rPr>
                <w:rFonts w:hint="eastAsia" w:cs="Times New Roman"/>
                <w:color w:val="auto"/>
                <w:kern w:val="0"/>
                <w:sz w:val="24"/>
                <w:szCs w:val="24"/>
                <w:u w:val="none"/>
                <w:lang w:val="en-US" w:eastAsia="zh-CN"/>
              </w:rPr>
              <w:t>属于</w:t>
            </w:r>
            <w:r>
              <w:rPr>
                <w:rFonts w:hint="eastAsia" w:ascii="Times New Roman" w:hAnsi="Times New Roman" w:eastAsia="宋体" w:cs="Times New Roman"/>
                <w:color w:val="auto"/>
                <w:kern w:val="0"/>
                <w:sz w:val="24"/>
                <w:szCs w:val="24"/>
                <w:u w:val="none"/>
                <w:lang w:val="en-US" w:eastAsia="zh-CN"/>
              </w:rPr>
              <w:t>湘阴高新技术产业区范围，其管控要求具体如下：</w:t>
            </w:r>
          </w:p>
          <w:p w14:paraId="2CFACCB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表1-</w:t>
            </w:r>
            <w:r>
              <w:rPr>
                <w:rFonts w:hint="eastAsia" w:cs="Times New Roman"/>
                <w:b/>
                <w:bCs/>
                <w:color w:val="auto"/>
                <w:sz w:val="21"/>
                <w:szCs w:val="21"/>
                <w:u w:val="none"/>
                <w:lang w:val="en-US" w:eastAsia="zh-CN"/>
              </w:rPr>
              <w:t>5</w:t>
            </w:r>
            <w:r>
              <w:rPr>
                <w:rFonts w:hint="default" w:ascii="Times New Roman" w:hAnsi="Times New Roman" w:cs="Times New Roman"/>
                <w:b/>
                <w:bCs/>
                <w:color w:val="auto"/>
                <w:sz w:val="21"/>
                <w:szCs w:val="21"/>
                <w:u w:val="none"/>
                <w:lang w:val="en-US" w:eastAsia="zh-CN"/>
              </w:rPr>
              <w:t xml:space="preserve"> </w:t>
            </w:r>
            <w:r>
              <w:rPr>
                <w:rFonts w:hint="eastAsia" w:ascii="Times New Roman" w:hAnsi="Times New Roman" w:cs="Times New Roman"/>
                <w:b/>
                <w:bCs/>
                <w:color w:val="auto"/>
                <w:sz w:val="21"/>
                <w:szCs w:val="21"/>
                <w:u w:val="none"/>
                <w:lang w:val="en-US" w:eastAsia="zh-CN"/>
              </w:rPr>
              <w:t xml:space="preserve"> </w:t>
            </w:r>
            <w:r>
              <w:rPr>
                <w:rFonts w:hint="default" w:ascii="Times New Roman" w:hAnsi="Times New Roman" w:cs="Times New Roman"/>
                <w:b/>
                <w:bCs/>
                <w:color w:val="auto"/>
                <w:sz w:val="21"/>
                <w:szCs w:val="21"/>
                <w:u w:val="none"/>
                <w:lang w:val="en-US" w:eastAsia="zh-CN"/>
              </w:rPr>
              <w:t>与</w:t>
            </w:r>
            <w:r>
              <w:rPr>
                <w:rFonts w:hint="eastAsia" w:ascii="Times New Roman" w:hAnsi="Times New Roman" w:eastAsia="宋体" w:cs="Times New Roman"/>
                <w:b/>
                <w:bCs/>
                <w:color w:val="auto"/>
                <w:sz w:val="21"/>
                <w:szCs w:val="21"/>
                <w:u w:val="none"/>
                <w:lang w:val="en-US" w:eastAsia="zh-CN"/>
              </w:rPr>
              <w:t>“湘阴高新技术产业开发区生态环境准入清单提出动态更新”</w:t>
            </w:r>
            <w:r>
              <w:rPr>
                <w:rFonts w:hint="default" w:ascii="Times New Roman" w:hAnsi="Times New Roman" w:eastAsia="宋体" w:cs="Times New Roman"/>
                <w:b/>
                <w:bCs/>
                <w:color w:val="auto"/>
                <w:sz w:val="21"/>
                <w:szCs w:val="21"/>
                <w:u w:val="none"/>
                <w:lang w:val="en-US" w:eastAsia="zh-CN"/>
              </w:rPr>
              <w:t>的符</w:t>
            </w:r>
            <w:r>
              <w:rPr>
                <w:rFonts w:hint="default" w:ascii="Times New Roman" w:hAnsi="Times New Roman" w:cs="Times New Roman"/>
                <w:b/>
                <w:bCs/>
                <w:color w:val="auto"/>
                <w:sz w:val="21"/>
                <w:szCs w:val="21"/>
                <w:u w:val="none"/>
                <w:lang w:val="en-US" w:eastAsia="zh-CN"/>
              </w:rPr>
              <w:t>合性分析表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768"/>
              <w:gridCol w:w="2871"/>
              <w:gridCol w:w="2071"/>
              <w:gridCol w:w="710"/>
            </w:tblGrid>
            <w:tr w14:paraId="72F9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9" w:type="pct"/>
                  <w:tcBorders>
                    <w:tl2br w:val="nil"/>
                    <w:tr2bl w:val="nil"/>
                  </w:tcBorders>
                  <w:noWrap w:val="0"/>
                  <w:vAlign w:val="center"/>
                </w:tcPr>
                <w:p w14:paraId="71E93164">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序号</w:t>
                  </w:r>
                </w:p>
              </w:tc>
              <w:tc>
                <w:tcPr>
                  <w:tcW w:w="553" w:type="pct"/>
                  <w:tcBorders>
                    <w:tl2br w:val="nil"/>
                    <w:tr2bl w:val="nil"/>
                  </w:tcBorders>
                  <w:noWrap w:val="0"/>
                  <w:vAlign w:val="center"/>
                </w:tcPr>
                <w:p w14:paraId="59DC805D">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管控维度</w:t>
                  </w:r>
                </w:p>
              </w:tc>
              <w:tc>
                <w:tcPr>
                  <w:tcW w:w="2065" w:type="pct"/>
                  <w:tcBorders>
                    <w:tl2br w:val="nil"/>
                    <w:tr2bl w:val="nil"/>
                  </w:tcBorders>
                  <w:noWrap w:val="0"/>
                  <w:vAlign w:val="center"/>
                </w:tcPr>
                <w:p w14:paraId="6170DB0A">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管控要求</w:t>
                  </w:r>
                </w:p>
              </w:tc>
              <w:tc>
                <w:tcPr>
                  <w:tcW w:w="1489" w:type="pct"/>
                  <w:tcBorders>
                    <w:tl2br w:val="nil"/>
                    <w:tr2bl w:val="nil"/>
                  </w:tcBorders>
                  <w:noWrap w:val="0"/>
                  <w:vAlign w:val="center"/>
                </w:tcPr>
                <w:p w14:paraId="234ED152">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本项目情况</w:t>
                  </w:r>
                </w:p>
              </w:tc>
              <w:tc>
                <w:tcPr>
                  <w:tcW w:w="511" w:type="pct"/>
                  <w:tcBorders>
                    <w:tl2br w:val="nil"/>
                    <w:tr2bl w:val="nil"/>
                  </w:tcBorders>
                  <w:noWrap w:val="0"/>
                  <w:vAlign w:val="center"/>
                </w:tcPr>
                <w:p w14:paraId="07893517">
                  <w:pPr>
                    <w:keepNext w:val="0"/>
                    <w:keepLines w:val="0"/>
                    <w:suppressLineNumbers w:val="0"/>
                    <w:tabs>
                      <w:tab w:val="left" w:pos="7430"/>
                    </w:tabs>
                    <w:spacing w:before="0" w:beforeAutospacing="0" w:after="0" w:afterAutospacing="0"/>
                    <w:ind w:left="0" w:right="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符合性</w:t>
                  </w:r>
                </w:p>
              </w:tc>
            </w:tr>
            <w:tr w14:paraId="3668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34B12009">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1</w:t>
                  </w:r>
                </w:p>
              </w:tc>
              <w:tc>
                <w:tcPr>
                  <w:tcW w:w="553" w:type="pct"/>
                  <w:vMerge w:val="restart"/>
                  <w:tcBorders>
                    <w:tl2br w:val="nil"/>
                    <w:tr2bl w:val="nil"/>
                  </w:tcBorders>
                  <w:noWrap w:val="0"/>
                  <w:vAlign w:val="center"/>
                </w:tcPr>
                <w:p w14:paraId="24A3EEA5">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空间布局约束</w:t>
                  </w:r>
                </w:p>
              </w:tc>
              <w:tc>
                <w:tcPr>
                  <w:tcW w:w="2065" w:type="pct"/>
                  <w:tcBorders>
                    <w:tl2br w:val="nil"/>
                    <w:tr2bl w:val="nil"/>
                  </w:tcBorders>
                  <w:noWrap w:val="0"/>
                  <w:vAlign w:val="center"/>
                </w:tcPr>
                <w:p w14:paraId="60B94C77">
                  <w:pPr>
                    <w:keepNext w:val="0"/>
                    <w:keepLines w:val="0"/>
                    <w:widowControl/>
                    <w:suppressLineNumbers w:val="0"/>
                    <w:spacing w:before="0" w:beforeAutospacing="0" w:after="0" w:afterAutospacing="0"/>
                    <w:ind w:left="0" w:right="0"/>
                    <w:jc w:val="left"/>
                    <w:rPr>
                      <w:rFonts w:hint="default"/>
                    </w:rPr>
                  </w:pPr>
                  <w:r>
                    <w:rPr>
                      <w:rFonts w:hint="eastAsia" w:ascii="宋体" w:hAnsi="宋体" w:eastAsia="宋体" w:cs="宋体"/>
                      <w:color w:val="000000"/>
                      <w:kern w:val="0"/>
                      <w:sz w:val="21"/>
                      <w:szCs w:val="21"/>
                      <w:lang w:val="en-US" w:eastAsia="zh-CN" w:bidi="ar"/>
                    </w:rPr>
                    <w:t>洋沙湖片区：按产业布局规划、用地布局引进产业，严格限制三类工业入驻；临居民区、学校的一类工业用地，严禁引进噪声、气型污染大的企业；严格控制排放一类污染物或持久性、难降解污染物的项目；</w:t>
                  </w:r>
                </w:p>
                <w:p w14:paraId="2FC28B62">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p>
              </w:tc>
              <w:tc>
                <w:tcPr>
                  <w:tcW w:w="1489" w:type="pct"/>
                  <w:tcBorders>
                    <w:tl2br w:val="nil"/>
                    <w:tr2bl w:val="nil"/>
                  </w:tcBorders>
                  <w:noWrap w:val="0"/>
                  <w:vAlign w:val="center"/>
                </w:tcPr>
                <w:p w14:paraId="53EB3083">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本项目不属于三类工业，且不涉及大型喷涂工序和酸雾排放。本</w:t>
                  </w:r>
                  <w:r>
                    <w:rPr>
                      <w:rFonts w:hint="eastAsia" w:cs="Times New Roman"/>
                      <w:color w:val="auto"/>
                      <w:sz w:val="21"/>
                      <w:szCs w:val="21"/>
                      <w:u w:val="none"/>
                      <w:vertAlign w:val="baseline"/>
                      <w:lang w:val="en-US" w:eastAsia="zh-CN"/>
                    </w:rPr>
                    <w:t>项目排放废水为员工生活污水，生产废水主要为清洗废水，不外排，做危废处理；不涉及第一类污染物或持久性、难降解有机污染物。</w:t>
                  </w:r>
                </w:p>
              </w:tc>
              <w:tc>
                <w:tcPr>
                  <w:tcW w:w="511" w:type="pct"/>
                  <w:tcBorders>
                    <w:tl2br w:val="nil"/>
                    <w:tr2bl w:val="nil"/>
                  </w:tcBorders>
                  <w:noWrap w:val="0"/>
                  <w:vAlign w:val="center"/>
                </w:tcPr>
                <w:p w14:paraId="308EE761">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64B3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2630B1F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2</w:t>
                  </w:r>
                </w:p>
              </w:tc>
              <w:tc>
                <w:tcPr>
                  <w:tcW w:w="553" w:type="pct"/>
                  <w:vMerge w:val="continue"/>
                  <w:tcBorders>
                    <w:tl2br w:val="nil"/>
                    <w:tr2bl w:val="nil"/>
                  </w:tcBorders>
                  <w:noWrap w:val="0"/>
                  <w:vAlign w:val="center"/>
                </w:tcPr>
                <w:p w14:paraId="2A22980D">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14:paraId="6AADF0E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严格按照经核准、认定的规划范围开展园区建设，涉及状元塔、左太傅祠省级文物保护范围、建设控制地带和涉及湖南湘阴洋沙湖-东湖国家湿地公园的地块，禁止占用和开发；</w:t>
                  </w:r>
                </w:p>
              </w:tc>
              <w:tc>
                <w:tcPr>
                  <w:tcW w:w="1489" w:type="pct"/>
                  <w:tcBorders>
                    <w:tl2br w:val="nil"/>
                    <w:tr2bl w:val="nil"/>
                  </w:tcBorders>
                  <w:noWrap w:val="0"/>
                  <w:vAlign w:val="center"/>
                </w:tcPr>
                <w:p w14:paraId="17F1D67E">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本项目位于湘阴高新区</w:t>
                  </w:r>
                  <w:r>
                    <w:rPr>
                      <w:rFonts w:hint="eastAsia" w:cs="Times New Roman"/>
                      <w:color w:val="auto"/>
                      <w:sz w:val="21"/>
                      <w:szCs w:val="21"/>
                      <w:u w:val="none"/>
                      <w:vertAlign w:val="baseline"/>
                      <w:lang w:val="en-US" w:eastAsia="zh-CN"/>
                    </w:rPr>
                    <w:t>洋沙湖</w:t>
                  </w:r>
                  <w:r>
                    <w:rPr>
                      <w:rFonts w:hint="default" w:ascii="Times New Roman" w:hAnsi="Times New Roman" w:eastAsia="宋体" w:cs="Times New Roman"/>
                      <w:color w:val="auto"/>
                      <w:sz w:val="21"/>
                      <w:szCs w:val="21"/>
                      <w:u w:val="none"/>
                      <w:vertAlign w:val="baseline"/>
                      <w:lang w:val="en-US" w:eastAsia="zh-CN"/>
                    </w:rPr>
                    <w:t>片区，不涉及状元塔、左太傅祠省级文物保护范围、建设控制地带和涉及湖南湘阴洋沙湖-东湖国家湿地公园的地块</w:t>
                  </w:r>
                  <w:r>
                    <w:rPr>
                      <w:rFonts w:hint="eastAsia" w:cs="Times New Roman"/>
                      <w:color w:val="auto"/>
                      <w:sz w:val="21"/>
                      <w:szCs w:val="21"/>
                      <w:u w:val="none"/>
                      <w:vertAlign w:val="baseline"/>
                      <w:lang w:val="en-US" w:eastAsia="zh-CN"/>
                    </w:rPr>
                    <w:t>。</w:t>
                  </w:r>
                </w:p>
              </w:tc>
              <w:tc>
                <w:tcPr>
                  <w:tcW w:w="511" w:type="pct"/>
                  <w:tcBorders>
                    <w:tl2br w:val="nil"/>
                    <w:tr2bl w:val="nil"/>
                  </w:tcBorders>
                  <w:noWrap w:val="0"/>
                  <w:vAlign w:val="center"/>
                </w:tcPr>
                <w:p w14:paraId="1FF13BB1">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6A47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21C66E66">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3</w:t>
                  </w:r>
                </w:p>
              </w:tc>
              <w:tc>
                <w:tcPr>
                  <w:tcW w:w="553" w:type="pct"/>
                  <w:vMerge w:val="continue"/>
                  <w:tcBorders>
                    <w:tl2br w:val="nil"/>
                    <w:tr2bl w:val="nil"/>
                  </w:tcBorders>
                  <w:noWrap w:val="0"/>
                  <w:vAlign w:val="center"/>
                </w:tcPr>
                <w:p w14:paraId="2B8F1DBF">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14:paraId="70C9A447">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产业准入：应严格遵循《</w:t>
                  </w:r>
                  <w:r>
                    <w:rPr>
                      <w:rFonts w:hint="eastAsia" w:cs="Times New Roman"/>
                      <w:color w:val="auto"/>
                      <w:sz w:val="21"/>
                      <w:szCs w:val="21"/>
                      <w:u w:val="none"/>
                      <w:vertAlign w:val="baseline"/>
                      <w:lang w:val="en-US" w:eastAsia="zh-CN"/>
                    </w:rPr>
                    <w:t>中华人民共和国长江保护法》《</w:t>
                  </w:r>
                  <w:r>
                    <w:rPr>
                      <w:rFonts w:hint="default" w:ascii="Times New Roman" w:hAnsi="Times New Roman" w:eastAsia="宋体" w:cs="Times New Roman"/>
                      <w:color w:val="auto"/>
                      <w:sz w:val="21"/>
                      <w:szCs w:val="21"/>
                      <w:u w:val="none"/>
                      <w:vertAlign w:val="baseline"/>
                      <w:lang w:val="en-US" w:eastAsia="zh-CN"/>
                    </w:rPr>
                    <w:t>长江经济带发展负面清单指南（试行）</w:t>
                  </w:r>
                  <w:r>
                    <w:rPr>
                      <w:rFonts w:hint="eastAsia" w:cs="Times New Roman"/>
                      <w:color w:val="auto"/>
                      <w:sz w:val="21"/>
                      <w:szCs w:val="21"/>
                      <w:u w:val="none"/>
                      <w:vertAlign w:val="baseline"/>
                      <w:lang w:val="en-US" w:eastAsia="zh-CN"/>
                    </w:rPr>
                    <w:t>》《</w:t>
                  </w:r>
                  <w:r>
                    <w:rPr>
                      <w:rFonts w:hint="default" w:ascii="Times New Roman" w:hAnsi="Times New Roman" w:eastAsia="宋体" w:cs="Times New Roman"/>
                      <w:color w:val="auto"/>
                      <w:sz w:val="21"/>
                      <w:szCs w:val="21"/>
                      <w:u w:val="none"/>
                      <w:vertAlign w:val="baseline"/>
                      <w:lang w:val="en-US" w:eastAsia="zh-CN"/>
                    </w:rPr>
                    <w:t>湖南省湘江保护条例</w:t>
                  </w:r>
                  <w:r>
                    <w:rPr>
                      <w:rFonts w:hint="eastAsia" w:cs="Times New Roman"/>
                      <w:color w:val="auto"/>
                      <w:sz w:val="21"/>
                      <w:szCs w:val="21"/>
                      <w:u w:val="none"/>
                      <w:vertAlign w:val="baseline"/>
                      <w:lang w:val="en-US" w:eastAsia="zh-CN"/>
                    </w:rPr>
                    <w:t>》《</w:t>
                  </w:r>
                  <w:r>
                    <w:rPr>
                      <w:rFonts w:hint="default" w:ascii="Times New Roman" w:hAnsi="Times New Roman" w:eastAsia="宋体" w:cs="Times New Roman"/>
                      <w:color w:val="auto"/>
                      <w:sz w:val="21"/>
                      <w:szCs w:val="21"/>
                      <w:u w:val="none"/>
                      <w:vertAlign w:val="baseline"/>
                      <w:lang w:val="en-US" w:eastAsia="zh-CN"/>
                    </w:rPr>
                    <w:t>湖南省洞庭湖保护条例》等法律法规及相关政策的要求，落实“三线一单”环境准入要求及《报告书》提出的准入条件。</w:t>
                  </w:r>
                </w:p>
              </w:tc>
              <w:tc>
                <w:tcPr>
                  <w:tcW w:w="1489" w:type="pct"/>
                  <w:tcBorders>
                    <w:tl2br w:val="nil"/>
                    <w:tr2bl w:val="nil"/>
                  </w:tcBorders>
                  <w:noWrap w:val="0"/>
                  <w:vAlign w:val="center"/>
                </w:tcPr>
                <w:p w14:paraId="3DDF91DE">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项目为</w:t>
                  </w:r>
                  <w:r>
                    <w:rPr>
                      <w:rFonts w:hint="eastAsia" w:ascii="Times New Roman" w:hAnsi="Times New Roman" w:eastAsia="宋体" w:cs="Times New Roman"/>
                      <w:color w:val="auto"/>
                      <w:sz w:val="21"/>
                      <w:szCs w:val="21"/>
                      <w:u w:val="none"/>
                      <w:vertAlign w:val="baseline"/>
                      <w:lang w:val="en-US" w:eastAsia="zh-CN"/>
                    </w:rPr>
                    <w:t>C3489其他通用零部件制造</w:t>
                  </w:r>
                  <w:r>
                    <w:rPr>
                      <w:rFonts w:hint="default" w:ascii="Times New Roman" w:hAnsi="Times New Roman" w:eastAsia="宋体" w:cs="Times New Roman"/>
                      <w:color w:val="auto"/>
                      <w:sz w:val="21"/>
                      <w:szCs w:val="21"/>
                      <w:u w:val="none"/>
                      <w:vertAlign w:val="baseline"/>
                      <w:lang w:val="en-US" w:eastAsia="zh-CN"/>
                    </w:rPr>
                    <w:t>，不属于环境准入清单负面行业，符合工业园产业定位。项目符合《</w:t>
                  </w:r>
                  <w:r>
                    <w:rPr>
                      <w:rFonts w:hint="eastAsia" w:cs="Times New Roman"/>
                      <w:color w:val="auto"/>
                      <w:sz w:val="21"/>
                      <w:szCs w:val="21"/>
                      <w:u w:val="none"/>
                      <w:vertAlign w:val="baseline"/>
                      <w:lang w:val="en-US" w:eastAsia="zh-CN"/>
                    </w:rPr>
                    <w:t>中华人民共和国长江保护法</w:t>
                  </w:r>
                  <w:r>
                    <w:rPr>
                      <w:rFonts w:hint="default" w:ascii="Times New Roman" w:hAnsi="Times New Roman" w:eastAsia="宋体" w:cs="Times New Roman"/>
                      <w:color w:val="auto"/>
                      <w:sz w:val="21"/>
                      <w:szCs w:val="21"/>
                      <w:u w:val="none"/>
                      <w:vertAlign w:val="baseline"/>
                      <w:lang w:val="en-US" w:eastAsia="zh-CN"/>
                    </w:rPr>
                    <w:t>》《长江经济带发展负面清单》《湘江保护条例》等法律法规及相关政策的要求。项目不属于园区规划环评中负面清单产业</w:t>
                  </w:r>
                  <w:r>
                    <w:rPr>
                      <w:rFonts w:hint="eastAsia" w:ascii="Times New Roman" w:hAnsi="Times New Roman" w:eastAsia="宋体" w:cs="Times New Roman"/>
                      <w:color w:val="auto"/>
                      <w:sz w:val="21"/>
                      <w:szCs w:val="21"/>
                      <w:u w:val="none"/>
                      <w:vertAlign w:val="baseline"/>
                      <w:lang w:val="en-US" w:eastAsia="zh-CN"/>
                    </w:rPr>
                    <w:t>，满足</w:t>
                  </w:r>
                  <w:r>
                    <w:rPr>
                      <w:rFonts w:hint="default" w:ascii="Times New Roman" w:hAnsi="Times New Roman" w:eastAsia="宋体" w:cs="Times New Roman"/>
                      <w:color w:val="auto"/>
                      <w:sz w:val="21"/>
                      <w:szCs w:val="21"/>
                      <w:u w:val="none"/>
                      <w:vertAlign w:val="baseline"/>
                      <w:lang w:val="en-US" w:eastAsia="zh-CN"/>
                    </w:rPr>
                    <w:t>“三线一单”环境准入要求。</w:t>
                  </w:r>
                </w:p>
              </w:tc>
              <w:tc>
                <w:tcPr>
                  <w:tcW w:w="511" w:type="pct"/>
                  <w:tcBorders>
                    <w:tl2br w:val="nil"/>
                    <w:tr2bl w:val="nil"/>
                  </w:tcBorders>
                  <w:noWrap w:val="0"/>
                  <w:vAlign w:val="center"/>
                </w:tcPr>
                <w:p w14:paraId="3A5B698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5C1E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2BD79BF6">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4</w:t>
                  </w:r>
                </w:p>
              </w:tc>
              <w:tc>
                <w:tcPr>
                  <w:tcW w:w="553" w:type="pct"/>
                  <w:vMerge w:val="continue"/>
                  <w:tcBorders>
                    <w:tl2br w:val="nil"/>
                    <w:tr2bl w:val="nil"/>
                  </w:tcBorders>
                  <w:noWrap w:val="0"/>
                  <w:vAlign w:val="center"/>
                </w:tcPr>
                <w:p w14:paraId="23751FB4">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14:paraId="696CA526">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周边控规。优化开发时序，落实拆迁安置计划，杜绝</w:t>
                  </w:r>
                </w:p>
                <w:p w14:paraId="5CC0A183">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在规划的工业用地上新增环境敏感目标，确保园区开发过程中的居民拆迁安置到位，防止发生居民再次安置和次生环境问题，对于具体项目环评设置防护距离和拆迁要求的，要确保予以落实。</w:t>
                  </w:r>
                </w:p>
              </w:tc>
              <w:tc>
                <w:tcPr>
                  <w:tcW w:w="1489" w:type="pct"/>
                  <w:tcBorders>
                    <w:tl2br w:val="nil"/>
                    <w:tr2bl w:val="nil"/>
                  </w:tcBorders>
                  <w:noWrap w:val="0"/>
                  <w:vAlign w:val="center"/>
                </w:tcPr>
                <w:p w14:paraId="78ECBF22">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本项目不涉及居民拆迁，符合要求。</w:t>
                  </w:r>
                </w:p>
              </w:tc>
              <w:tc>
                <w:tcPr>
                  <w:tcW w:w="511" w:type="pct"/>
                  <w:tcBorders>
                    <w:tl2br w:val="nil"/>
                    <w:tr2bl w:val="nil"/>
                  </w:tcBorders>
                  <w:noWrap w:val="0"/>
                  <w:vAlign w:val="center"/>
                </w:tcPr>
                <w:p w14:paraId="78411029">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699D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0BC410E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5</w:t>
                  </w:r>
                </w:p>
              </w:tc>
              <w:tc>
                <w:tcPr>
                  <w:tcW w:w="553" w:type="pct"/>
                  <w:vMerge w:val="restart"/>
                  <w:tcBorders>
                    <w:tl2br w:val="nil"/>
                    <w:tr2bl w:val="nil"/>
                  </w:tcBorders>
                  <w:noWrap w:val="0"/>
                  <w:vAlign w:val="center"/>
                </w:tcPr>
                <w:p w14:paraId="1DD08ACC">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污染物排放管控</w:t>
                  </w:r>
                </w:p>
              </w:tc>
              <w:tc>
                <w:tcPr>
                  <w:tcW w:w="2065" w:type="pct"/>
                  <w:tcBorders>
                    <w:tl2br w:val="nil"/>
                    <w:tr2bl w:val="nil"/>
                  </w:tcBorders>
                  <w:noWrap w:val="0"/>
                  <w:vAlign w:val="center"/>
                </w:tcPr>
                <w:p w14:paraId="07C13DD9">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废水：园区排水实施雨污分流，园区雨水经雨水管网收集设置雨水排放口排放。洋沙湖片区废水进入湘阴县第二污水处理厂处理，园区不得超过污水处理厂的处理能力和排污口审批所规定的废水排放量引进项目。</w:t>
                  </w:r>
                </w:p>
              </w:tc>
              <w:tc>
                <w:tcPr>
                  <w:tcW w:w="1489" w:type="pct"/>
                  <w:tcBorders>
                    <w:tl2br w:val="nil"/>
                    <w:tr2bl w:val="nil"/>
                  </w:tcBorders>
                  <w:noWrap w:val="0"/>
                  <w:vAlign w:val="center"/>
                </w:tcPr>
                <w:p w14:paraId="276BE105">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本项目所在园区已实现“雨污分流”，本</w:t>
                  </w:r>
                  <w:r>
                    <w:rPr>
                      <w:rFonts w:hint="eastAsia" w:cs="Times New Roman"/>
                      <w:color w:val="auto"/>
                      <w:sz w:val="21"/>
                      <w:szCs w:val="21"/>
                      <w:u w:val="none"/>
                      <w:vertAlign w:val="baseline"/>
                      <w:lang w:val="en-US" w:eastAsia="zh-CN"/>
                    </w:rPr>
                    <w:t>项目产生的生活污水</w:t>
                  </w:r>
                  <w:r>
                    <w:rPr>
                      <w:rFonts w:hint="default" w:ascii="Times New Roman" w:hAnsi="Times New Roman" w:eastAsia="宋体" w:cs="Times New Roman"/>
                      <w:color w:val="auto"/>
                      <w:sz w:val="21"/>
                      <w:szCs w:val="21"/>
                      <w:u w:val="none"/>
                      <w:vertAlign w:val="baseline"/>
                      <w:lang w:val="en-US" w:eastAsia="zh-CN"/>
                    </w:rPr>
                    <w:t>经</w:t>
                  </w:r>
                  <w:r>
                    <w:rPr>
                      <w:rFonts w:hint="eastAsia" w:cs="Times New Roman"/>
                      <w:color w:val="auto"/>
                      <w:sz w:val="21"/>
                      <w:szCs w:val="21"/>
                      <w:u w:val="none"/>
                      <w:vertAlign w:val="baseline"/>
                      <w:lang w:val="en-US" w:eastAsia="zh-CN"/>
                    </w:rPr>
                    <w:t>化粪池</w:t>
                  </w:r>
                  <w:r>
                    <w:rPr>
                      <w:rFonts w:hint="default" w:ascii="Times New Roman" w:hAnsi="Times New Roman" w:eastAsia="宋体" w:cs="Times New Roman"/>
                      <w:color w:val="auto"/>
                      <w:sz w:val="21"/>
                      <w:szCs w:val="21"/>
                      <w:u w:val="none"/>
                      <w:vertAlign w:val="baseline"/>
                      <w:lang w:val="en-US" w:eastAsia="zh-CN"/>
                    </w:rPr>
                    <w:t>预处理后经园区管网进入</w:t>
                  </w:r>
                  <w:r>
                    <w:rPr>
                      <w:rFonts w:hint="eastAsia" w:cs="Times New Roman"/>
                      <w:color w:val="auto"/>
                      <w:sz w:val="21"/>
                      <w:szCs w:val="21"/>
                      <w:u w:val="none"/>
                      <w:vertAlign w:val="baseline"/>
                      <w:lang w:val="en-US" w:eastAsia="zh-CN"/>
                    </w:rPr>
                    <w:t>湘阴县第二污水处理厂</w:t>
                  </w:r>
                  <w:r>
                    <w:rPr>
                      <w:rFonts w:hint="default" w:ascii="Times New Roman" w:hAnsi="Times New Roman" w:eastAsia="宋体" w:cs="Times New Roman"/>
                      <w:color w:val="auto"/>
                      <w:sz w:val="21"/>
                      <w:szCs w:val="21"/>
                      <w:u w:val="none"/>
                      <w:vertAlign w:val="baseline"/>
                      <w:lang w:val="en-US" w:eastAsia="zh-CN"/>
                    </w:rPr>
                    <w:t>处理</w:t>
                  </w:r>
                  <w:r>
                    <w:rPr>
                      <w:rFonts w:hint="eastAsia" w:cs="Times New Roman"/>
                      <w:color w:val="auto"/>
                      <w:sz w:val="21"/>
                      <w:szCs w:val="21"/>
                      <w:u w:val="none"/>
                      <w:vertAlign w:val="baseline"/>
                      <w:lang w:val="en-US" w:eastAsia="zh-CN"/>
                    </w:rPr>
                    <w:t>；生产废水不外排，做危废处理；</w:t>
                  </w:r>
                  <w:r>
                    <w:rPr>
                      <w:rFonts w:hint="default" w:ascii="Times New Roman" w:hAnsi="Times New Roman" w:eastAsia="宋体" w:cs="Times New Roman"/>
                      <w:color w:val="auto"/>
                      <w:sz w:val="21"/>
                      <w:szCs w:val="21"/>
                      <w:u w:val="none"/>
                      <w:vertAlign w:val="baseline"/>
                      <w:lang w:val="en-US" w:eastAsia="zh-CN"/>
                    </w:rPr>
                    <w:t>雨水经园区现有雨水管网排入洋沙湖。</w:t>
                  </w:r>
                </w:p>
              </w:tc>
              <w:tc>
                <w:tcPr>
                  <w:tcW w:w="511" w:type="pct"/>
                  <w:tcBorders>
                    <w:tl2br w:val="nil"/>
                    <w:tr2bl w:val="nil"/>
                  </w:tcBorders>
                  <w:noWrap w:val="0"/>
                  <w:vAlign w:val="center"/>
                </w:tcPr>
                <w:p w14:paraId="03E9A16D">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09C8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25043DC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6</w:t>
                  </w:r>
                </w:p>
              </w:tc>
              <w:tc>
                <w:tcPr>
                  <w:tcW w:w="553" w:type="pct"/>
                  <w:vMerge w:val="continue"/>
                  <w:tcBorders>
                    <w:tl2br w:val="nil"/>
                    <w:tr2bl w:val="nil"/>
                  </w:tcBorders>
                  <w:noWrap w:val="0"/>
                  <w:vAlign w:val="center"/>
                </w:tcPr>
                <w:p w14:paraId="60689A2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14:paraId="3889AA5C">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废气：禁止新建燃煤锅炉（集中供热除外），对各企业工艺废气产出的生产节点，须配置废气收集与处理净化装置，确保达标排放；加强生产工艺研究与技术改进，采取有效措施，减少入园企业工艺废气的无组织排放。推进装备制造、建筑建材等行业挥发性有机物综合治理。</w:t>
                  </w:r>
                </w:p>
              </w:tc>
              <w:tc>
                <w:tcPr>
                  <w:tcW w:w="2050" w:type="dxa"/>
                  <w:tcBorders>
                    <w:tl2br w:val="nil"/>
                    <w:tr2bl w:val="nil"/>
                  </w:tcBorders>
                  <w:noWrap w:val="0"/>
                  <w:vAlign w:val="center"/>
                </w:tcPr>
                <w:p w14:paraId="1A8B55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bCs/>
                      <w:color w:val="auto"/>
                      <w:sz w:val="21"/>
                      <w:szCs w:val="21"/>
                      <w:highlight w:val="none"/>
                      <w:u w:val="none" w:color="auto"/>
                      <w:lang w:val="en-US" w:eastAsia="zh-CN"/>
                    </w:rPr>
                    <w:t>本项目不涉及锅炉，废气主要产生节点</w:t>
                  </w:r>
                  <w:r>
                    <w:rPr>
                      <w:rFonts w:hint="eastAsia" w:ascii="Times New Roman" w:hAnsi="Times New Roman" w:cs="Times New Roman"/>
                      <w:color w:val="auto"/>
                      <w:sz w:val="21"/>
                      <w:szCs w:val="21"/>
                      <w:highlight w:val="none"/>
                      <w:u w:val="none"/>
                      <w:lang w:val="en-US" w:eastAsia="zh-CN"/>
                    </w:rPr>
                    <w:t>①</w:t>
                  </w:r>
                  <w:r>
                    <w:rPr>
                      <w:rFonts w:hint="eastAsia" w:cs="Times New Roman"/>
                      <w:color w:val="auto"/>
                      <w:sz w:val="21"/>
                      <w:szCs w:val="21"/>
                      <w:highlight w:val="none"/>
                      <w:u w:val="none"/>
                      <w:lang w:val="en-US" w:eastAsia="zh-CN"/>
                    </w:rPr>
                    <w:t>高频淬火机产生的无组织废气，掺杂在大量水蒸汽中，无法有效收集，经分析产生量较少可达标排放；②机加工产生的挥发性有机物采用设备自带的机械过滤，尾气无组织排放，经分析可达标排放</w:t>
                  </w:r>
                  <w:r>
                    <w:rPr>
                      <w:rFonts w:hint="eastAsia" w:ascii="Times New Roman" w:hAnsi="Times New Roman" w:cs="Times New Roman"/>
                      <w:color w:val="auto"/>
                      <w:sz w:val="21"/>
                      <w:szCs w:val="21"/>
                      <w:highlight w:val="none"/>
                      <w:u w:val="none"/>
                      <w:lang w:val="en-US" w:eastAsia="zh-CN"/>
                    </w:rPr>
                    <w:t>；</w:t>
                  </w:r>
                  <w:r>
                    <w:rPr>
                      <w:rFonts w:hint="eastAsia" w:cs="Times New Roman"/>
                      <w:color w:val="auto"/>
                      <w:sz w:val="21"/>
                      <w:szCs w:val="21"/>
                      <w:highlight w:val="none"/>
                      <w:u w:val="none"/>
                      <w:lang w:val="en-US" w:eastAsia="zh-CN"/>
                    </w:rPr>
                    <w:t>③表面喷砂处理机采用设备自带的废气处理设施，尾气经排气筒高空排放④食堂油烟经油烟净化器处理后高空排放</w:t>
                  </w:r>
                  <w:r>
                    <w:rPr>
                      <w:rFonts w:hint="default" w:ascii="Times New Roman" w:hAnsi="Times New Roman" w:eastAsia="宋体" w:cs="Times New Roman"/>
                      <w:color w:val="auto"/>
                      <w:sz w:val="21"/>
                      <w:szCs w:val="21"/>
                      <w:u w:val="none"/>
                      <w:vertAlign w:val="baseline"/>
                      <w:lang w:val="en-US" w:eastAsia="zh-CN"/>
                    </w:rPr>
                    <w:t>。</w:t>
                  </w:r>
                </w:p>
              </w:tc>
              <w:tc>
                <w:tcPr>
                  <w:tcW w:w="511" w:type="pct"/>
                  <w:tcBorders>
                    <w:tl2br w:val="nil"/>
                    <w:tr2bl w:val="nil"/>
                  </w:tcBorders>
                  <w:noWrap w:val="0"/>
                  <w:vAlign w:val="center"/>
                </w:tcPr>
                <w:p w14:paraId="32F4775C">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53A7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53815D97">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7</w:t>
                  </w:r>
                </w:p>
              </w:tc>
              <w:tc>
                <w:tcPr>
                  <w:tcW w:w="553" w:type="pct"/>
                  <w:vMerge w:val="continue"/>
                  <w:tcBorders>
                    <w:tl2br w:val="nil"/>
                    <w:tr2bl w:val="nil"/>
                  </w:tcBorders>
                  <w:noWrap w:val="0"/>
                  <w:vAlign w:val="center"/>
                </w:tcPr>
                <w:p w14:paraId="4B81C585">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14:paraId="2AB90E91">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开发区内相关行业及锅炉废气污染物排放满足《湖南省生态环境厅关于执行污染物特别排放限值（第一批）的公告》中的要求。</w:t>
                  </w:r>
                </w:p>
              </w:tc>
              <w:tc>
                <w:tcPr>
                  <w:tcW w:w="1489" w:type="pct"/>
                  <w:tcBorders>
                    <w:tl2br w:val="nil"/>
                    <w:tr2bl w:val="nil"/>
                  </w:tcBorders>
                  <w:noWrap w:val="0"/>
                  <w:vAlign w:val="center"/>
                </w:tcPr>
                <w:p w14:paraId="3E8E1A67">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w:t>
                  </w:r>
                  <w:r>
                    <w:rPr>
                      <w:rFonts w:hint="eastAsia" w:cs="Times New Roman"/>
                      <w:color w:val="auto"/>
                      <w:sz w:val="21"/>
                      <w:szCs w:val="21"/>
                      <w:u w:val="none"/>
                      <w:vertAlign w:val="baseline"/>
                      <w:lang w:val="en-US" w:eastAsia="zh-CN"/>
                    </w:rPr>
                    <w:t>不涉及</w:t>
                  </w:r>
                  <w:r>
                    <w:rPr>
                      <w:rFonts w:hint="default" w:ascii="Times New Roman" w:hAnsi="Times New Roman" w:eastAsia="宋体" w:cs="Times New Roman"/>
                      <w:color w:val="auto"/>
                      <w:sz w:val="21"/>
                      <w:szCs w:val="21"/>
                      <w:u w:val="none"/>
                      <w:vertAlign w:val="baseline"/>
                      <w:lang w:val="en-US" w:eastAsia="zh-CN"/>
                    </w:rPr>
                    <w:t>。</w:t>
                  </w:r>
                </w:p>
              </w:tc>
              <w:tc>
                <w:tcPr>
                  <w:tcW w:w="511" w:type="pct"/>
                  <w:tcBorders>
                    <w:tl2br w:val="nil"/>
                    <w:tr2bl w:val="nil"/>
                  </w:tcBorders>
                  <w:noWrap w:val="0"/>
                  <w:vAlign w:val="center"/>
                </w:tcPr>
                <w:p w14:paraId="4B53C62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0E17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3F2C7AD3">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8</w:t>
                  </w:r>
                </w:p>
              </w:tc>
              <w:tc>
                <w:tcPr>
                  <w:tcW w:w="553" w:type="pct"/>
                  <w:vMerge w:val="continue"/>
                  <w:tcBorders>
                    <w:tl2br w:val="nil"/>
                    <w:tr2bl w:val="nil"/>
                  </w:tcBorders>
                  <w:noWrap w:val="0"/>
                  <w:vAlign w:val="center"/>
                </w:tcPr>
                <w:p w14:paraId="50DB4E2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14:paraId="2C7A2A5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固体废弃物：做好园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的固体废物特别是危险废物应按国家有关规定综合利用或妥善处置，严防二次污染。</w:t>
                  </w:r>
                </w:p>
              </w:tc>
              <w:tc>
                <w:tcPr>
                  <w:tcW w:w="1489" w:type="pct"/>
                  <w:tcBorders>
                    <w:tl2br w:val="nil"/>
                    <w:tr2bl w:val="nil"/>
                  </w:tcBorders>
                  <w:noWrap w:val="0"/>
                  <w:vAlign w:val="center"/>
                </w:tcPr>
                <w:p w14:paraId="4F943C0C">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一般工业固废暂存一般固废暂存间，定期交物资回收单位处理；</w:t>
                  </w:r>
                  <w:r>
                    <w:rPr>
                      <w:rFonts w:hint="eastAsia" w:ascii="Times New Roman" w:hAnsi="Times New Roman" w:eastAsia="宋体" w:cs="Times New Roman"/>
                      <w:color w:val="auto"/>
                      <w:sz w:val="21"/>
                      <w:szCs w:val="21"/>
                      <w:u w:val="none"/>
                      <w:vertAlign w:val="baseline"/>
                      <w:lang w:val="en-US" w:eastAsia="zh-CN"/>
                    </w:rPr>
                    <w:t>危险废物委托有资质单位处理。</w:t>
                  </w:r>
                </w:p>
              </w:tc>
              <w:tc>
                <w:tcPr>
                  <w:tcW w:w="511" w:type="pct"/>
                  <w:tcBorders>
                    <w:tl2br w:val="nil"/>
                    <w:tr2bl w:val="nil"/>
                  </w:tcBorders>
                  <w:noWrap w:val="0"/>
                  <w:vAlign w:val="center"/>
                </w:tcPr>
                <w:p w14:paraId="6CD1C8A1">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6BD6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63404EA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9</w:t>
                  </w:r>
                </w:p>
              </w:tc>
              <w:tc>
                <w:tcPr>
                  <w:tcW w:w="553" w:type="pct"/>
                  <w:vMerge w:val="restart"/>
                  <w:tcBorders>
                    <w:tl2br w:val="nil"/>
                    <w:tr2bl w:val="nil"/>
                  </w:tcBorders>
                  <w:noWrap w:val="0"/>
                  <w:vAlign w:val="center"/>
                </w:tcPr>
                <w:p w14:paraId="1DFCF45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环境风险管控</w:t>
                  </w:r>
                </w:p>
              </w:tc>
              <w:tc>
                <w:tcPr>
                  <w:tcW w:w="2065" w:type="pct"/>
                  <w:tcBorders>
                    <w:tl2br w:val="nil"/>
                    <w:tr2bl w:val="nil"/>
                  </w:tcBorders>
                  <w:noWrap w:val="0"/>
                  <w:vAlign w:val="center"/>
                </w:tcPr>
                <w:p w14:paraId="48737FAF">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园区应建立健全环境风险防控体系，严格落实《湖南湘阴工业园区突发环境事件应急预案》</w:t>
                  </w:r>
                  <w:r>
                    <w:rPr>
                      <w:rFonts w:hint="eastAsia" w:cs="Times New Roman"/>
                      <w:color w:val="auto"/>
                      <w:sz w:val="21"/>
                      <w:szCs w:val="21"/>
                      <w:u w:val="none"/>
                      <w:vertAlign w:val="baseline"/>
                      <w:lang w:val="en-US" w:eastAsia="zh-CN"/>
                    </w:rPr>
                    <w:t>中的</w:t>
                  </w:r>
                  <w:r>
                    <w:rPr>
                      <w:rFonts w:hint="default" w:ascii="Times New Roman" w:hAnsi="Times New Roman" w:eastAsia="宋体" w:cs="Times New Roman"/>
                      <w:color w:val="auto"/>
                      <w:sz w:val="21"/>
                      <w:szCs w:val="21"/>
                      <w:u w:val="none"/>
                      <w:vertAlign w:val="baseline"/>
                      <w:lang w:val="en-US" w:eastAsia="zh-CN"/>
                    </w:rPr>
                    <w:t xml:space="preserve">相关要求，园区定期修编园区突发环境应急预案、开展应急演练，储备环境应急物资及装备，健全环境风险事故防范措施，全面提升园区环境风险防控和应急处置能力。 </w:t>
                  </w:r>
                </w:p>
              </w:tc>
              <w:tc>
                <w:tcPr>
                  <w:tcW w:w="1489" w:type="pct"/>
                  <w:tcBorders>
                    <w:tl2br w:val="nil"/>
                    <w:tr2bl w:val="nil"/>
                  </w:tcBorders>
                  <w:noWrap w:val="0"/>
                  <w:vAlign w:val="center"/>
                </w:tcPr>
                <w:p w14:paraId="651465EE">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本项目位于湘阴县工业园内，该园区已编制《湖南湘阴工业园突发环境事件应急预案》。</w:t>
                  </w:r>
                </w:p>
              </w:tc>
              <w:tc>
                <w:tcPr>
                  <w:tcW w:w="511" w:type="pct"/>
                  <w:tcBorders>
                    <w:tl2br w:val="nil"/>
                    <w:tr2bl w:val="nil"/>
                  </w:tcBorders>
                  <w:noWrap w:val="0"/>
                  <w:vAlign w:val="center"/>
                </w:tcPr>
                <w:p w14:paraId="43769D9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3FD9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2F1AFD3C">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10</w:t>
                  </w:r>
                </w:p>
              </w:tc>
              <w:tc>
                <w:tcPr>
                  <w:tcW w:w="553" w:type="pct"/>
                  <w:vMerge w:val="continue"/>
                  <w:tcBorders>
                    <w:tl2br w:val="nil"/>
                    <w:tr2bl w:val="nil"/>
                  </w:tcBorders>
                  <w:noWrap w:val="0"/>
                  <w:vAlign w:val="center"/>
                </w:tcPr>
                <w:p w14:paraId="61AD3F15">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14:paraId="2B13EDB3">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园区可能发生突发环境事件的污染物排放企业，生产、储存、运输、使用危险化学品的企业，</w:t>
                  </w:r>
                  <w:r>
                    <w:rPr>
                      <w:rFonts w:hint="eastAsia" w:cs="Times New Roman"/>
                      <w:color w:val="auto"/>
                      <w:sz w:val="21"/>
                      <w:szCs w:val="21"/>
                      <w:highlight w:val="none"/>
                      <w:u w:val="none"/>
                      <w:vertAlign w:val="baseline"/>
                      <w:lang w:val="en-US" w:eastAsia="zh-CN"/>
                    </w:rPr>
                    <w:t>生产</w:t>
                  </w:r>
                  <w:r>
                    <w:rPr>
                      <w:rFonts w:hint="default" w:ascii="Times New Roman" w:hAnsi="Times New Roman" w:eastAsia="宋体" w:cs="Times New Roman"/>
                      <w:color w:val="auto"/>
                      <w:sz w:val="21"/>
                      <w:szCs w:val="21"/>
                      <w:highlight w:val="none"/>
                      <w:u w:val="none"/>
                      <w:vertAlign w:val="baseline"/>
                      <w:lang w:val="en-US" w:eastAsia="zh-CN"/>
                    </w:rPr>
                    <w:t xml:space="preserve">、收集、贮存、运输、利用、处置危险废物的企业应当编制和实施环境应急预案；鼓励其他企业制定单独的环境应急预案，或在突发事件应急预案中制定环境应急预案专章，并备案。 </w:t>
                  </w:r>
                </w:p>
              </w:tc>
              <w:tc>
                <w:tcPr>
                  <w:tcW w:w="1489" w:type="pct"/>
                  <w:tcBorders>
                    <w:tl2br w:val="nil"/>
                    <w:tr2bl w:val="nil"/>
                  </w:tcBorders>
                  <w:noWrap w:val="0"/>
                  <w:vAlign w:val="center"/>
                </w:tcPr>
                <w:p w14:paraId="4E7693F5">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本次评价鼓励建设单位做好突发环境事件应急预案</w:t>
                  </w:r>
                  <w:r>
                    <w:rPr>
                      <w:rFonts w:hint="default" w:ascii="Times New Roman" w:hAnsi="Times New Roman" w:eastAsia="宋体" w:cs="Times New Roman"/>
                      <w:color w:val="auto"/>
                      <w:sz w:val="21"/>
                      <w:szCs w:val="21"/>
                      <w:highlight w:val="none"/>
                      <w:u w:val="none"/>
                      <w:vertAlign w:val="baseline"/>
                      <w:lang w:val="en-US" w:eastAsia="zh-CN"/>
                    </w:rPr>
                    <w:t>。</w:t>
                  </w:r>
                </w:p>
              </w:tc>
              <w:tc>
                <w:tcPr>
                  <w:tcW w:w="511" w:type="pct"/>
                  <w:tcBorders>
                    <w:tl2br w:val="nil"/>
                    <w:tr2bl w:val="nil"/>
                  </w:tcBorders>
                  <w:noWrap w:val="0"/>
                  <w:vAlign w:val="center"/>
                </w:tcPr>
                <w:p w14:paraId="75698F7C">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r>
            <w:tr w14:paraId="2D07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3CBB7E4F">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11</w:t>
                  </w:r>
                </w:p>
              </w:tc>
              <w:tc>
                <w:tcPr>
                  <w:tcW w:w="553" w:type="pct"/>
                  <w:vMerge w:val="continue"/>
                  <w:tcBorders>
                    <w:tl2br w:val="nil"/>
                    <w:tr2bl w:val="nil"/>
                  </w:tcBorders>
                  <w:noWrap w:val="0"/>
                  <w:vAlign w:val="center"/>
                </w:tcPr>
                <w:p w14:paraId="1394F24E">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14:paraId="6F590921">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 xml:space="preserve">建设用地土壤风险防控：对拟收回土地使用权的相关行业企业用地，以及用途拟变更为居住和商业、学校、医疗、养老机构等公共设施的企业用地开展土壤环境状况调查评估。 </w:t>
                  </w:r>
                </w:p>
              </w:tc>
              <w:tc>
                <w:tcPr>
                  <w:tcW w:w="1489" w:type="pct"/>
                  <w:tcBorders>
                    <w:tl2br w:val="nil"/>
                    <w:tr2bl w:val="nil"/>
                  </w:tcBorders>
                  <w:noWrap w:val="0"/>
                  <w:vAlign w:val="center"/>
                </w:tcPr>
                <w:p w14:paraId="7B6F2D72">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不涉及</w:t>
                  </w:r>
                </w:p>
              </w:tc>
              <w:tc>
                <w:tcPr>
                  <w:tcW w:w="511" w:type="pct"/>
                  <w:tcBorders>
                    <w:tl2br w:val="nil"/>
                    <w:tr2bl w:val="nil"/>
                  </w:tcBorders>
                  <w:noWrap w:val="0"/>
                  <w:vAlign w:val="center"/>
                </w:tcPr>
                <w:p w14:paraId="2537A915">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70BE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53DA23A7">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12</w:t>
                  </w:r>
                </w:p>
              </w:tc>
              <w:tc>
                <w:tcPr>
                  <w:tcW w:w="553" w:type="pct"/>
                  <w:vMerge w:val="continue"/>
                  <w:tcBorders>
                    <w:tl2br w:val="nil"/>
                    <w:tr2bl w:val="nil"/>
                  </w:tcBorders>
                  <w:noWrap w:val="0"/>
                  <w:vAlign w:val="center"/>
                </w:tcPr>
                <w:p w14:paraId="777FA15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14:paraId="17BDD4D6">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加强环境风险防控和应急管理。开展园区环境风险管控要求：本次调区扩区后。</w:t>
                  </w:r>
                </w:p>
              </w:tc>
              <w:tc>
                <w:tcPr>
                  <w:tcW w:w="1489" w:type="pct"/>
                  <w:tcBorders>
                    <w:tl2br w:val="nil"/>
                    <w:tr2bl w:val="nil"/>
                  </w:tcBorders>
                  <w:noWrap w:val="0"/>
                  <w:vAlign w:val="center"/>
                </w:tcPr>
                <w:p w14:paraId="1067C6D5">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highlight w:val="none"/>
                      <w:u w:val="none"/>
                      <w:vertAlign w:val="baseline"/>
                      <w:lang w:val="en-US" w:eastAsia="zh-CN"/>
                    </w:rPr>
                    <w:t>本次评价鼓励建设单位做好突发环境事件应急预案</w:t>
                  </w:r>
                  <w:r>
                    <w:rPr>
                      <w:rFonts w:hint="default" w:ascii="Times New Roman" w:hAnsi="Times New Roman" w:eastAsia="宋体" w:cs="Times New Roman"/>
                      <w:color w:val="auto"/>
                      <w:sz w:val="21"/>
                      <w:szCs w:val="21"/>
                      <w:highlight w:val="none"/>
                      <w:u w:val="none"/>
                      <w:vertAlign w:val="baseline"/>
                      <w:lang w:val="en-US" w:eastAsia="zh-CN"/>
                    </w:rPr>
                    <w:t>。</w:t>
                  </w:r>
                </w:p>
              </w:tc>
              <w:tc>
                <w:tcPr>
                  <w:tcW w:w="511" w:type="pct"/>
                  <w:tcBorders>
                    <w:tl2br w:val="nil"/>
                    <w:tr2bl w:val="nil"/>
                  </w:tcBorders>
                  <w:noWrap w:val="0"/>
                  <w:vAlign w:val="center"/>
                </w:tcPr>
                <w:p w14:paraId="7DBAB927">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0BD9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65E6E133">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13</w:t>
                  </w:r>
                </w:p>
              </w:tc>
              <w:tc>
                <w:tcPr>
                  <w:tcW w:w="553" w:type="pct"/>
                  <w:vMerge w:val="restart"/>
                  <w:tcBorders>
                    <w:tl2br w:val="nil"/>
                    <w:tr2bl w:val="nil"/>
                  </w:tcBorders>
                  <w:noWrap w:val="0"/>
                  <w:vAlign w:val="center"/>
                </w:tcPr>
                <w:p w14:paraId="0D284B52">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资源开发效率要求</w:t>
                  </w:r>
                </w:p>
              </w:tc>
              <w:tc>
                <w:tcPr>
                  <w:tcW w:w="2065" w:type="pct"/>
                  <w:tcBorders>
                    <w:tl2br w:val="nil"/>
                    <w:tr2bl w:val="nil"/>
                  </w:tcBorders>
                  <w:noWrap w:val="0"/>
                  <w:vAlign w:val="center"/>
                </w:tcPr>
                <w:p w14:paraId="7EFCB440">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能源：积极推广清洁能源，在天然气接入园区后，应禁止新上燃煤设施并对现有燃煤锅炉进行清洁能源替代改造。开发区目前主要能源为电、天然气、生物质能源。园区应按“湖南省工程建设项目审批制度改革工作领导小组办公室关于印发《工程建设项目区域评估工作实施方案》的通知”，尽快开展节能评估工作。</w:t>
                  </w:r>
                </w:p>
              </w:tc>
              <w:tc>
                <w:tcPr>
                  <w:tcW w:w="1489" w:type="pct"/>
                  <w:tcBorders>
                    <w:tl2br w:val="nil"/>
                    <w:tr2bl w:val="nil"/>
                  </w:tcBorders>
                  <w:noWrap w:val="0"/>
                  <w:vAlign w:val="center"/>
                </w:tcPr>
                <w:p w14:paraId="18286EB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本项目使用电能，不涉及锅炉等</w:t>
                  </w:r>
                  <w:r>
                    <w:rPr>
                      <w:rFonts w:hint="default" w:ascii="Times New Roman" w:hAnsi="Times New Roman" w:eastAsia="宋体" w:cs="Times New Roman"/>
                      <w:color w:val="auto"/>
                      <w:sz w:val="21"/>
                      <w:szCs w:val="21"/>
                      <w:u w:val="none"/>
                      <w:vertAlign w:val="baseline"/>
                      <w:lang w:val="en-US" w:eastAsia="zh-CN"/>
                    </w:rPr>
                    <w:t>。</w:t>
                  </w:r>
                </w:p>
              </w:tc>
              <w:tc>
                <w:tcPr>
                  <w:tcW w:w="511" w:type="pct"/>
                  <w:tcBorders>
                    <w:tl2br w:val="nil"/>
                    <w:tr2bl w:val="nil"/>
                  </w:tcBorders>
                  <w:noWrap w:val="0"/>
                  <w:vAlign w:val="center"/>
                </w:tcPr>
                <w:p w14:paraId="00BAE2C7">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56F8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28CFCA69">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14</w:t>
                  </w:r>
                </w:p>
              </w:tc>
              <w:tc>
                <w:tcPr>
                  <w:tcW w:w="553" w:type="pct"/>
                  <w:vMerge w:val="continue"/>
                  <w:tcBorders>
                    <w:tl2br w:val="nil"/>
                    <w:tr2bl w:val="nil"/>
                  </w:tcBorders>
                  <w:noWrap w:val="0"/>
                  <w:vAlign w:val="center"/>
                </w:tcPr>
                <w:p w14:paraId="39871FDC">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14:paraId="37B44F3C">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 xml:space="preserve">水资源：加强工业节水，重点开展相关工业行业节水技术改造，逐步淘汰高耗水的落后产能，积极推广工业水循环利用，支持引导企业开展水平衡测试，继续推进节水型企业、节水型工业园区建设。2020 年，湘阴县万元国内生产总值用水量 75 立方米/万元，万元工业增加值用水量 28 立方米/万元。 </w:t>
                  </w:r>
                </w:p>
              </w:tc>
              <w:tc>
                <w:tcPr>
                  <w:tcW w:w="1489" w:type="pct"/>
                  <w:tcBorders>
                    <w:tl2br w:val="nil"/>
                    <w:tr2bl w:val="nil"/>
                  </w:tcBorders>
                  <w:noWrap w:val="0"/>
                  <w:vAlign w:val="center"/>
                </w:tcPr>
                <w:p w14:paraId="4C32179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本项目不属于高耗水项目，项目</w:t>
                  </w:r>
                  <w:r>
                    <w:rPr>
                      <w:rFonts w:hint="eastAsia" w:cs="Times New Roman"/>
                      <w:color w:val="auto"/>
                      <w:sz w:val="21"/>
                      <w:szCs w:val="21"/>
                      <w:u w:val="none"/>
                      <w:vertAlign w:val="baseline"/>
                      <w:lang w:val="en-US" w:eastAsia="zh-CN"/>
                    </w:rPr>
                    <w:t>主要</w:t>
                  </w:r>
                  <w:r>
                    <w:rPr>
                      <w:rFonts w:hint="default" w:ascii="Times New Roman" w:hAnsi="Times New Roman" w:eastAsia="宋体" w:cs="Times New Roman"/>
                      <w:color w:val="auto"/>
                      <w:sz w:val="21"/>
                      <w:szCs w:val="21"/>
                      <w:u w:val="none"/>
                      <w:vertAlign w:val="baseline"/>
                      <w:lang w:val="en-US" w:eastAsia="zh-CN"/>
                    </w:rPr>
                    <w:t>用水</w:t>
                  </w:r>
                  <w:r>
                    <w:rPr>
                      <w:rFonts w:hint="eastAsia" w:cs="Times New Roman"/>
                      <w:color w:val="auto"/>
                      <w:sz w:val="21"/>
                      <w:szCs w:val="21"/>
                      <w:u w:val="none"/>
                      <w:vertAlign w:val="baseline"/>
                      <w:lang w:val="en-US" w:eastAsia="zh-CN"/>
                    </w:rPr>
                    <w:t>为员工生活用水</w:t>
                  </w:r>
                  <w:r>
                    <w:rPr>
                      <w:rFonts w:hint="default" w:ascii="Times New Roman" w:hAnsi="Times New Roman" w:eastAsia="宋体" w:cs="Times New Roman"/>
                      <w:color w:val="auto"/>
                      <w:sz w:val="21"/>
                      <w:szCs w:val="21"/>
                      <w:u w:val="none"/>
                      <w:vertAlign w:val="baseline"/>
                      <w:lang w:val="en-US" w:eastAsia="zh-CN"/>
                    </w:rPr>
                    <w:t>。</w:t>
                  </w:r>
                </w:p>
              </w:tc>
              <w:tc>
                <w:tcPr>
                  <w:tcW w:w="511" w:type="pct"/>
                  <w:tcBorders>
                    <w:tl2br w:val="nil"/>
                    <w:tr2bl w:val="nil"/>
                  </w:tcBorders>
                  <w:noWrap w:val="0"/>
                  <w:vAlign w:val="center"/>
                </w:tcPr>
                <w:p w14:paraId="689573FF">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3DFA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14:paraId="061B849E">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15</w:t>
                  </w:r>
                </w:p>
              </w:tc>
              <w:tc>
                <w:tcPr>
                  <w:tcW w:w="553" w:type="pct"/>
                  <w:vMerge w:val="continue"/>
                  <w:tcBorders>
                    <w:tl2br w:val="nil"/>
                    <w:tr2bl w:val="nil"/>
                  </w:tcBorders>
                  <w:noWrap w:val="0"/>
                  <w:vAlign w:val="center"/>
                </w:tcPr>
                <w:p w14:paraId="63118603">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14:paraId="539368F9">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土地资源：以国家产业发展政策为导向，合理制定区域产业用地政策，优先保障主导产业发展用地，严禁向禁止类工业项目供地，严格控制限制类工业项目用地，重点支持发展与区域资源环境条件相适应的产业。食品加工、建筑建材、装备制造、新材料、轻工产品制造土地投资强度拟定标准分别为 190 万元/亩、250 万元/亩、250 万元/亩、230 万元/亩、210 万元/亩。</w:t>
                  </w:r>
                </w:p>
              </w:tc>
              <w:tc>
                <w:tcPr>
                  <w:tcW w:w="1489" w:type="pct"/>
                  <w:tcBorders>
                    <w:tl2br w:val="nil"/>
                    <w:tr2bl w:val="nil"/>
                  </w:tcBorders>
                  <w:noWrap w:val="0"/>
                  <w:vAlign w:val="center"/>
                </w:tcPr>
                <w:p w14:paraId="4E5F3CBE">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本项目土地投资强度高于规定要求。</w:t>
                  </w:r>
                </w:p>
              </w:tc>
              <w:tc>
                <w:tcPr>
                  <w:tcW w:w="511" w:type="pct"/>
                  <w:tcBorders>
                    <w:tl2br w:val="nil"/>
                    <w:tr2bl w:val="nil"/>
                  </w:tcBorders>
                  <w:noWrap w:val="0"/>
                  <w:vAlign w:val="center"/>
                </w:tcPr>
                <w:p w14:paraId="3BB19E84">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bl>
          <w:p w14:paraId="75EE2E9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u w:val="none"/>
                <w:lang w:val="en-US" w:eastAsia="zh-CN"/>
              </w:rPr>
            </w:pPr>
            <w:r>
              <w:rPr>
                <w:rFonts w:hint="eastAsia" w:ascii="Times New Roman" w:hAnsi="Times New Roman" w:eastAsia="宋体" w:cs="Times New Roman"/>
                <w:bCs/>
                <w:color w:val="auto"/>
                <w:sz w:val="24"/>
                <w:u w:val="none"/>
                <w:lang w:val="en-US" w:eastAsia="zh-CN"/>
              </w:rPr>
              <w:t>综上，本项目与《湘阴高新技术产业开发区调区扩区规划环境影响报告书》中“表10.2-1 湘阴高新技术产业开发区生态环境准入清单提出动态更新”相符。</w:t>
            </w:r>
          </w:p>
          <w:p w14:paraId="232CD8B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Times New Roman" w:hAnsi="Times New Roman" w:eastAsia="宋体" w:cs="Times New Roman"/>
                <w:b/>
                <w:bCs w:val="0"/>
                <w:color w:val="auto"/>
                <w:sz w:val="24"/>
                <w:u w:val="none" w:color="auto"/>
              </w:rPr>
            </w:pPr>
            <w:r>
              <w:rPr>
                <w:rFonts w:hint="eastAsia" w:cs="Times New Roman"/>
                <w:b/>
                <w:bCs w:val="0"/>
                <w:color w:val="auto"/>
                <w:sz w:val="24"/>
                <w:lang w:val="en-US" w:eastAsia="zh-CN"/>
              </w:rPr>
              <w:t>6</w:t>
            </w:r>
            <w:r>
              <w:rPr>
                <w:rFonts w:hint="eastAsia" w:ascii="Times New Roman" w:hAnsi="Times New Roman" w:eastAsia="宋体" w:cs="Times New Roman"/>
                <w:b/>
                <w:bCs w:val="0"/>
                <w:color w:val="auto"/>
                <w:sz w:val="24"/>
                <w:lang w:val="en-US" w:eastAsia="zh-CN"/>
              </w:rPr>
              <w:t>、</w:t>
            </w:r>
            <w:r>
              <w:rPr>
                <w:rFonts w:hint="eastAsia" w:ascii="Times New Roman" w:hAnsi="Times New Roman" w:eastAsia="宋体" w:cs="Times New Roman"/>
                <w:b/>
                <w:bCs w:val="0"/>
                <w:color w:val="auto"/>
                <w:sz w:val="24"/>
                <w:u w:val="none" w:color="auto"/>
                <w:lang w:val="en-US" w:eastAsia="zh-CN"/>
              </w:rPr>
              <w:t>与</w:t>
            </w:r>
            <w:r>
              <w:rPr>
                <w:rFonts w:hint="eastAsia" w:ascii="Times New Roman" w:hAnsi="Times New Roman" w:eastAsia="宋体" w:cs="Times New Roman"/>
                <w:b/>
                <w:bCs w:val="0"/>
                <w:color w:val="auto"/>
                <w:sz w:val="24"/>
                <w:u w:val="none" w:color="auto"/>
                <w:lang w:eastAsia="zh-CN"/>
              </w:rPr>
              <w:t>《湖南省“两高”项目管理目录》</w:t>
            </w:r>
            <w:r>
              <w:rPr>
                <w:rFonts w:hint="default" w:ascii="Times New Roman" w:hAnsi="Times New Roman" w:eastAsia="宋体" w:cs="Times New Roman"/>
                <w:b/>
                <w:bCs w:val="0"/>
                <w:color w:val="auto"/>
                <w:kern w:val="0"/>
                <w:sz w:val="24"/>
                <w:u w:val="none" w:color="auto"/>
              </w:rPr>
              <w:t>相符性分析</w:t>
            </w:r>
          </w:p>
          <w:p w14:paraId="5CC8FE19">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本项目主要</w:t>
            </w:r>
            <w:r>
              <w:rPr>
                <w:rFonts w:hint="eastAsia" w:cs="Times New Roman"/>
                <w:bCs/>
                <w:color w:val="auto"/>
                <w:sz w:val="24"/>
                <w:u w:val="none" w:color="auto"/>
                <w:lang w:val="en-US" w:eastAsia="zh-CN"/>
              </w:rPr>
              <w:t>为线轨和滑块制造</w:t>
            </w:r>
            <w:r>
              <w:rPr>
                <w:rFonts w:hint="eastAsia" w:ascii="Times New Roman" w:hAnsi="Times New Roman" w:eastAsia="宋体" w:cs="Times New Roman"/>
                <w:bCs/>
                <w:color w:val="auto"/>
                <w:sz w:val="24"/>
                <w:u w:val="none" w:color="auto"/>
                <w:lang w:val="en-US" w:eastAsia="zh-CN"/>
              </w:rPr>
              <w:t>，属于《国民经济行业分类》(GB/T4754-2017)中的“</w:t>
            </w:r>
            <w:r>
              <w:rPr>
                <w:rFonts w:hint="eastAsia" w:ascii="Times New Roman" w:hAnsi="Times New Roman" w:eastAsia="宋体" w:cs="Times New Roman"/>
                <w:b w:val="0"/>
                <w:bCs w:val="0"/>
                <w:color w:val="auto"/>
                <w:kern w:val="0"/>
                <w:sz w:val="24"/>
                <w:szCs w:val="24"/>
                <w:u w:val="none" w:color="auto"/>
                <w:lang w:val="en-US" w:eastAsia="zh-CN"/>
              </w:rPr>
              <w:t>C3489其他通用零部件制造</w:t>
            </w:r>
            <w:r>
              <w:rPr>
                <w:rFonts w:hint="eastAsia" w:cs="Times New Roman"/>
                <w:b w:val="0"/>
                <w:bCs w:val="0"/>
                <w:color w:val="auto"/>
                <w:kern w:val="0"/>
                <w:sz w:val="24"/>
                <w:szCs w:val="24"/>
                <w:u w:val="none" w:color="auto"/>
                <w:lang w:val="en-US" w:eastAsia="zh-CN"/>
              </w:rPr>
              <w:t>，工艺涉及</w:t>
            </w:r>
            <w:r>
              <w:rPr>
                <w:rFonts w:hint="eastAsia" w:ascii="Times New Roman" w:hAnsi="Times New Roman" w:eastAsia="宋体" w:cs="Times New Roman"/>
                <w:b w:val="0"/>
                <w:bCs w:val="0"/>
                <w:color w:val="auto"/>
                <w:kern w:val="0"/>
                <w:sz w:val="24"/>
                <w:szCs w:val="24"/>
                <w:u w:val="none" w:color="auto"/>
                <w:lang w:val="en-US" w:eastAsia="zh-CN"/>
              </w:rPr>
              <w:t>C3360金属表面处理及热处理加工</w:t>
            </w:r>
            <w:r>
              <w:rPr>
                <w:rFonts w:hint="eastAsia" w:ascii="Times New Roman" w:hAnsi="Times New Roman" w:eastAsia="宋体" w:cs="Times New Roman"/>
                <w:bCs/>
                <w:color w:val="auto"/>
                <w:sz w:val="24"/>
                <w:u w:val="none" w:color="auto"/>
                <w:lang w:val="en-US" w:eastAsia="zh-CN"/>
              </w:rPr>
              <w:t>”，本</w:t>
            </w:r>
            <w:r>
              <w:rPr>
                <w:rFonts w:hint="eastAsia" w:cs="Times New Roman"/>
                <w:bCs/>
                <w:color w:val="auto"/>
                <w:sz w:val="24"/>
                <w:u w:val="none" w:color="auto"/>
                <w:lang w:val="en-US" w:eastAsia="zh-CN"/>
              </w:rPr>
              <w:t>项目使用电能，</w:t>
            </w:r>
            <w:r>
              <w:rPr>
                <w:rFonts w:hint="eastAsia" w:ascii="Times New Roman" w:hAnsi="Times New Roman" w:eastAsia="宋体" w:cs="Times New Roman"/>
                <w:bCs/>
                <w:color w:val="auto"/>
                <w:sz w:val="24"/>
                <w:u w:val="none" w:color="auto"/>
                <w:lang w:val="en-US" w:eastAsia="zh-CN"/>
              </w:rPr>
              <w:t>不</w:t>
            </w:r>
            <w:r>
              <w:rPr>
                <w:rFonts w:hint="eastAsia" w:cs="Times New Roman"/>
                <w:bCs/>
                <w:color w:val="auto"/>
                <w:sz w:val="24"/>
                <w:u w:val="none" w:color="auto"/>
                <w:lang w:val="en-US" w:eastAsia="zh-CN"/>
              </w:rPr>
              <w:t>属于</w:t>
            </w:r>
            <w:r>
              <w:rPr>
                <w:rFonts w:hint="eastAsia" w:ascii="Times New Roman" w:hAnsi="Times New Roman" w:eastAsia="宋体" w:cs="Times New Roman"/>
                <w:bCs/>
                <w:color w:val="auto"/>
                <w:sz w:val="24"/>
                <w:u w:val="none" w:color="auto"/>
                <w:lang w:val="en-US" w:eastAsia="zh-CN"/>
              </w:rPr>
              <w:t>涉煤及煤制品、石油焦、渣油、重油等高污染燃料</w:t>
            </w:r>
            <w:r>
              <w:rPr>
                <w:rFonts w:hint="eastAsia" w:ascii="Times New Roman" w:hAnsi="Times New Roman" w:cs="Times New Roman"/>
                <w:bCs/>
                <w:color w:val="auto"/>
                <w:sz w:val="24"/>
                <w:u w:val="none" w:color="auto"/>
                <w:lang w:val="en-US" w:eastAsia="zh-CN"/>
              </w:rPr>
              <w:t>，不属于</w:t>
            </w:r>
            <w:r>
              <w:rPr>
                <w:rFonts w:hint="eastAsia" w:ascii="Times New Roman" w:hAnsi="Times New Roman" w:eastAsia="宋体" w:cs="Times New Roman"/>
                <w:bCs/>
                <w:color w:val="auto"/>
                <w:sz w:val="24"/>
                <w:u w:val="none" w:color="auto"/>
                <w:lang w:val="en-US" w:eastAsia="zh-CN"/>
              </w:rPr>
              <w:t>《湖</w:t>
            </w:r>
            <w:r>
              <w:rPr>
                <w:rFonts w:hint="eastAsia" w:ascii="Times New Roman" w:hAnsi="Times New Roman" w:eastAsia="宋体" w:cs="Times New Roman"/>
                <w:b w:val="0"/>
                <w:bCs/>
                <w:color w:val="auto"/>
                <w:sz w:val="24"/>
                <w:u w:val="none" w:color="auto"/>
                <w:lang w:eastAsia="zh-CN"/>
              </w:rPr>
              <w:t>南省“两高”项目管理目录》</w:t>
            </w:r>
            <w:r>
              <w:rPr>
                <w:rFonts w:hint="eastAsia" w:ascii="Times New Roman" w:hAnsi="Times New Roman" w:eastAsia="宋体" w:cs="Times New Roman"/>
                <w:b w:val="0"/>
                <w:bCs/>
                <w:color w:val="auto"/>
                <w:sz w:val="24"/>
                <w:u w:val="none" w:color="auto"/>
                <w:lang w:val="en-US" w:eastAsia="zh-CN"/>
              </w:rPr>
              <w:t>中的“两高”项目。</w:t>
            </w:r>
          </w:p>
          <w:p w14:paraId="1725D08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eastAsia" w:ascii="Times New Roman" w:hAnsi="Times New Roman" w:eastAsia="宋体" w:cs="Times New Roman"/>
                <w:b/>
                <w:bCs w:val="0"/>
                <w:color w:val="auto"/>
                <w:sz w:val="24"/>
                <w:u w:val="none" w:color="auto"/>
                <w:lang w:val="en-US" w:eastAsia="zh-CN"/>
              </w:rPr>
            </w:pPr>
            <w:r>
              <w:rPr>
                <w:rFonts w:hint="eastAsia" w:cs="Times New Roman"/>
                <w:b/>
                <w:bCs w:val="0"/>
                <w:color w:val="auto"/>
                <w:sz w:val="24"/>
                <w:u w:val="none" w:color="auto"/>
                <w:lang w:val="en-US" w:eastAsia="zh-CN"/>
              </w:rPr>
              <w:t>7</w:t>
            </w:r>
            <w:r>
              <w:rPr>
                <w:rFonts w:hint="eastAsia" w:ascii="Times New Roman" w:hAnsi="Times New Roman" w:eastAsia="宋体" w:cs="Times New Roman"/>
                <w:b/>
                <w:bCs w:val="0"/>
                <w:color w:val="auto"/>
                <w:sz w:val="24"/>
                <w:u w:val="none" w:color="auto"/>
                <w:lang w:val="en-US" w:eastAsia="zh-CN"/>
              </w:rPr>
              <w:t>、与《挥发性有机物无组织排放控制标准》相符性分析</w:t>
            </w:r>
          </w:p>
          <w:p w14:paraId="5AB0799C">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cs="Times New Roman"/>
                <w:bCs/>
                <w:color w:val="auto"/>
                <w:sz w:val="24"/>
                <w:u w:val="none" w:color="auto"/>
                <w:lang w:val="en-US" w:eastAsia="zh-CN"/>
              </w:rPr>
            </w:pPr>
            <w:r>
              <w:rPr>
                <w:rFonts w:hint="eastAsia" w:cs="Times New Roman"/>
                <w:bCs/>
                <w:color w:val="auto"/>
                <w:sz w:val="24"/>
                <w:u w:val="none" w:color="auto"/>
                <w:lang w:val="en-US" w:eastAsia="zh-CN"/>
              </w:rPr>
              <w:t>标准中规定</w:t>
            </w:r>
            <w:r>
              <w:rPr>
                <w:rFonts w:hint="default" w:cs="Times New Roman"/>
                <w:bCs/>
                <w:color w:val="auto"/>
                <w:sz w:val="24"/>
                <w:u w:val="none" w:color="auto"/>
                <w:lang w:val="en-US" w:eastAsia="zh-CN"/>
              </w:rPr>
              <w:t>V0Cs质量占比大于等于10%的含V0Cs产品，其使用过程应采用密闭设备或在密闭空间内操作，废气应排至VOCs废气收集处理系统：无法密闭的，应采取局部气体收集措施，废气应排至VOCs废气收集处理系统。</w:t>
            </w:r>
          </w:p>
          <w:p w14:paraId="53973A00">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eastAsia" w:cs="Times New Roman"/>
                <w:bCs/>
                <w:color w:val="auto"/>
                <w:sz w:val="24"/>
                <w:u w:val="none" w:color="auto"/>
                <w:lang w:val="en-US" w:eastAsia="zh-CN"/>
              </w:rPr>
            </w:pPr>
            <w:r>
              <w:rPr>
                <w:rFonts w:hint="eastAsia" w:cs="Times New Roman"/>
                <w:bCs/>
                <w:color w:val="auto"/>
                <w:sz w:val="24"/>
                <w:u w:val="none" w:color="auto"/>
                <w:lang w:val="en-US" w:eastAsia="zh-CN"/>
              </w:rPr>
              <w:t>本项目防锈涂抹将使用防锈剂，主要成分为加氢处理重石脑油（石油）、2-（2-丁氧基乙氧基）乙醇、二-C10-18-烷基苯磺酸钡，根据《挥发性有机物无组织排放控制标准》（GB 37822—2019）中对挥发性有机液体（混合物）定义，混合物中，真实蒸气压大于等于0.3 kPa的组分总质量占比大于等于20%的有机液体为挥发性有机液体，本项目使用的防锈剂中加氢处理重石脑油（石油）蒸汽压为0.1至0.3kPa、2-（2-丁氧基乙氧基）乙醇蒸汽压为0.0027kPa，均小于0.3kPa，因此本项目不考虑防锈剂（防锈油）的挥发性有机物。</w:t>
            </w:r>
          </w:p>
          <w:p w14:paraId="6127C769">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eastAsia" w:eastAsia="宋体" w:cs="Times New Roman"/>
                <w:bCs/>
                <w:color w:val="auto"/>
                <w:sz w:val="24"/>
                <w:u w:val="none" w:color="auto"/>
                <w:lang w:val="en-US" w:eastAsia="zh-CN"/>
              </w:rPr>
            </w:pPr>
            <w:r>
              <w:rPr>
                <w:rFonts w:hint="eastAsia" w:cs="Times New Roman"/>
                <w:bCs/>
                <w:color w:val="auto"/>
                <w:sz w:val="24"/>
                <w:u w:val="none" w:color="auto"/>
                <w:lang w:val="en-US" w:eastAsia="zh-CN"/>
              </w:rPr>
              <w:t>另本项目使用的切削液、水性淬火剂等均为VOCs含量小于10%的辅料。</w:t>
            </w:r>
          </w:p>
          <w:p w14:paraId="21F1A697">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cs="Times New Roman"/>
                <w:bCs/>
                <w:color w:val="auto"/>
                <w:sz w:val="24"/>
                <w:u w:val="none" w:color="auto"/>
                <w:lang w:val="en-US" w:eastAsia="zh-CN"/>
              </w:rPr>
            </w:pPr>
            <w:r>
              <w:rPr>
                <w:rFonts w:hint="eastAsia" w:cs="Times New Roman"/>
                <w:bCs/>
                <w:color w:val="auto"/>
                <w:sz w:val="24"/>
                <w:u w:val="none" w:color="auto"/>
                <w:lang w:val="en-US" w:eastAsia="zh-CN"/>
              </w:rPr>
              <w:t>因此本项目使用切削液、水性淬火剂、防锈剂等工序均为无组织排放，符合挥发性有机物无组织排放控制标准的要求。</w:t>
            </w:r>
          </w:p>
          <w:p w14:paraId="18C99E9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8</w:t>
            </w:r>
            <w:r>
              <w:rPr>
                <w:rFonts w:hint="eastAsia" w:ascii="Times New Roman" w:hAnsi="Times New Roman" w:eastAsia="宋体" w:cs="Times New Roman"/>
                <w:b/>
                <w:bCs w:val="0"/>
                <w:color w:val="auto"/>
                <w:sz w:val="24"/>
                <w:lang w:val="en-US" w:eastAsia="zh-CN"/>
              </w:rPr>
              <w:t>、</w:t>
            </w:r>
            <w:r>
              <w:rPr>
                <w:rFonts w:hint="default" w:ascii="Times New Roman" w:hAnsi="Times New Roman" w:eastAsia="宋体" w:cs="Times New Roman"/>
                <w:b/>
                <w:bCs w:val="0"/>
                <w:color w:val="auto"/>
                <w:sz w:val="24"/>
                <w:lang w:val="en-US" w:eastAsia="zh-CN"/>
              </w:rPr>
              <w:t>与《湖南省洞庭湖保护条例》符合性分析</w:t>
            </w:r>
          </w:p>
          <w:p w14:paraId="29BC3E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0"/>
                <w:sz w:val="24"/>
                <w:szCs w:val="20"/>
                <w:u w:val="none" w:color="auto"/>
                <w:lang w:val="en-US" w:eastAsia="zh-CN" w:bidi="ar-SA"/>
              </w:rPr>
            </w:pPr>
            <w:r>
              <w:rPr>
                <w:rFonts w:hint="eastAsia" w:ascii="Times New Roman" w:hAnsi="Times New Roman" w:eastAsia="宋体" w:cs="Times New Roman"/>
                <w:bCs/>
                <w:color w:val="auto"/>
                <w:kern w:val="0"/>
                <w:sz w:val="24"/>
                <w:szCs w:val="20"/>
                <w:u w:val="none" w:color="auto"/>
                <w:lang w:val="en-US" w:eastAsia="zh-CN" w:bidi="ar-SA"/>
              </w:rPr>
              <w:t>本项目与《湖南省洞庭湖保护条例》相符性分析详见下表：</w:t>
            </w:r>
          </w:p>
          <w:p w14:paraId="12FB1F5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u w:val="none" w:color="auto"/>
                <w:lang w:val="en-US" w:eastAsia="zh-CN"/>
              </w:rPr>
            </w:pPr>
            <w:r>
              <w:rPr>
                <w:rFonts w:hint="default" w:ascii="Times New Roman" w:hAnsi="Times New Roman" w:eastAsia="宋体" w:cs="Times New Roman"/>
                <w:b/>
                <w:bCs/>
                <w:color w:val="auto"/>
                <w:kern w:val="0"/>
                <w:szCs w:val="21"/>
                <w:highlight w:val="none"/>
                <w:u w:val="none" w:color="auto"/>
                <w:lang w:val="en-US" w:eastAsia="zh-CN"/>
              </w:rPr>
              <w:t>表1-</w:t>
            </w:r>
            <w:r>
              <w:rPr>
                <w:rFonts w:hint="eastAsia" w:cs="Times New Roman"/>
                <w:b/>
                <w:bCs/>
                <w:color w:val="auto"/>
                <w:kern w:val="0"/>
                <w:szCs w:val="21"/>
                <w:highlight w:val="none"/>
                <w:u w:val="none" w:color="auto"/>
                <w:lang w:val="en-US" w:eastAsia="zh-CN"/>
              </w:rPr>
              <w:t xml:space="preserve">6  </w:t>
            </w:r>
            <w:r>
              <w:rPr>
                <w:rFonts w:hint="default" w:ascii="Times New Roman" w:hAnsi="Times New Roman" w:eastAsia="宋体" w:cs="Times New Roman"/>
                <w:b/>
                <w:bCs/>
                <w:color w:val="auto"/>
                <w:kern w:val="0"/>
                <w:szCs w:val="21"/>
                <w:highlight w:val="none"/>
                <w:u w:val="none" w:color="auto"/>
                <w:lang w:val="en-US" w:eastAsia="zh-CN"/>
              </w:rPr>
              <w:t xml:space="preserve"> 与</w:t>
            </w:r>
            <w:r>
              <w:rPr>
                <w:rFonts w:hint="default" w:ascii="Times New Roman" w:hAnsi="Times New Roman" w:eastAsia="宋体" w:cs="Times New Roman"/>
                <w:b/>
                <w:bCs/>
                <w:color w:val="auto"/>
                <w:sz w:val="21"/>
                <w:szCs w:val="21"/>
                <w:u w:val="none" w:color="auto"/>
                <w:lang w:val="en-US" w:eastAsia="zh-CN"/>
              </w:rPr>
              <w:t>《湖南省洞庭湖保护条例》</w:t>
            </w:r>
            <w:r>
              <w:rPr>
                <w:rFonts w:hint="default" w:ascii="Times New Roman" w:hAnsi="Times New Roman" w:eastAsia="宋体" w:cs="Times New Roman"/>
                <w:b/>
                <w:bCs/>
                <w:color w:val="auto"/>
                <w:kern w:val="0"/>
                <w:szCs w:val="21"/>
                <w:highlight w:val="none"/>
                <w:u w:val="none" w:color="auto"/>
                <w:lang w:val="en-US" w:eastAsia="zh-CN"/>
              </w:rPr>
              <w:t>符合性分析一览表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8"/>
              <w:gridCol w:w="2911"/>
              <w:gridCol w:w="2609"/>
              <w:gridCol w:w="789"/>
            </w:tblGrid>
            <w:tr w14:paraId="13E8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noWrap w:val="0"/>
                  <w:vAlign w:val="center"/>
                </w:tcPr>
                <w:p w14:paraId="4246A41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序号</w:t>
                  </w:r>
                </w:p>
              </w:tc>
              <w:tc>
                <w:tcPr>
                  <w:tcW w:w="2095" w:type="pct"/>
                  <w:shd w:val="clear" w:color="auto" w:fill="auto"/>
                  <w:noWrap w:val="0"/>
                  <w:vAlign w:val="center"/>
                </w:tcPr>
                <w:p w14:paraId="2A5A50A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要求</w:t>
                  </w:r>
                </w:p>
              </w:tc>
              <w:tc>
                <w:tcPr>
                  <w:tcW w:w="1877" w:type="pct"/>
                  <w:shd w:val="clear" w:color="auto" w:fill="auto"/>
                  <w:noWrap w:val="0"/>
                  <w:vAlign w:val="center"/>
                </w:tcPr>
                <w:p w14:paraId="7B27B6B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本项目情况</w:t>
                  </w:r>
                </w:p>
              </w:tc>
              <w:tc>
                <w:tcPr>
                  <w:tcW w:w="568" w:type="pct"/>
                  <w:shd w:val="clear" w:color="auto" w:fill="auto"/>
                  <w:noWrap w:val="0"/>
                  <w:vAlign w:val="center"/>
                </w:tcPr>
                <w:p w14:paraId="51565CB5">
                  <w:pPr>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是否符合</w:t>
                  </w:r>
                </w:p>
              </w:tc>
            </w:tr>
            <w:tr w14:paraId="1858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noWrap w:val="0"/>
                  <w:vAlign w:val="center"/>
                </w:tcPr>
                <w:p w14:paraId="455CF13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1</w:t>
                  </w:r>
                </w:p>
              </w:tc>
              <w:tc>
                <w:tcPr>
                  <w:tcW w:w="2095" w:type="pct"/>
                  <w:shd w:val="clear" w:color="auto" w:fill="auto"/>
                  <w:noWrap w:val="0"/>
                  <w:vAlign w:val="center"/>
                </w:tcPr>
                <w:p w14:paraId="0F2AB7D8">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禁止在湖区布局对生态系统有严重影响的产业。禁止重污染企业和项目向湖区转移。</w:t>
                  </w:r>
                </w:p>
              </w:tc>
              <w:tc>
                <w:tcPr>
                  <w:tcW w:w="1877" w:type="pct"/>
                  <w:shd w:val="clear" w:color="auto" w:fill="auto"/>
                  <w:noWrap w:val="0"/>
                  <w:vAlign w:val="center"/>
                </w:tcPr>
                <w:p w14:paraId="1A95C4D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本项目为C3489其他通用零部件制造，工艺涉及C3360金属表面处理及热处理加工，所引进的产业符合园区要求，不属于禁止进入的重污染企业。</w:t>
                  </w:r>
                </w:p>
              </w:tc>
              <w:tc>
                <w:tcPr>
                  <w:tcW w:w="568" w:type="pct"/>
                  <w:shd w:val="clear" w:color="auto" w:fill="auto"/>
                  <w:noWrap w:val="0"/>
                  <w:vAlign w:val="center"/>
                </w:tcPr>
                <w:p w14:paraId="51F59A84">
                  <w:pPr>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符合</w:t>
                  </w:r>
                </w:p>
              </w:tc>
            </w:tr>
            <w:tr w14:paraId="3A92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noWrap w:val="0"/>
                  <w:vAlign w:val="center"/>
                </w:tcPr>
                <w:p w14:paraId="61F5E6E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2</w:t>
                  </w:r>
                </w:p>
              </w:tc>
              <w:tc>
                <w:tcPr>
                  <w:tcW w:w="2095" w:type="pct"/>
                  <w:shd w:val="clear" w:color="auto" w:fill="auto"/>
                  <w:noWrap w:val="0"/>
                  <w:vAlign w:val="center"/>
                </w:tcPr>
                <w:p w14:paraId="5D663019">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湖区市、县（市、区）人民政府应当按照国家、省有关标准统筹安排城乡排水与污水收集处理管网建设、改造和运行，确保生产生活污水全面收集，达标排放。湖区市、县（市、区）人民政府应当推广农村卫生厕所，推进粪污无害化处理与资源化利用，配套建设农村污水治理设施，防止粪污污染水体。鼓励城乡生活污水循环化利用。</w:t>
                  </w:r>
                </w:p>
              </w:tc>
              <w:tc>
                <w:tcPr>
                  <w:tcW w:w="1877" w:type="pct"/>
                  <w:shd w:val="clear" w:color="auto" w:fill="auto"/>
                  <w:noWrap w:val="0"/>
                  <w:vAlign w:val="center"/>
                </w:tcPr>
                <w:p w14:paraId="07E8B4B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本项目位于</w:t>
                  </w:r>
                  <w:r>
                    <w:rPr>
                      <w:rFonts w:hint="default" w:ascii="Times New Roman" w:hAnsi="Times New Roman" w:eastAsia="宋体" w:cs="Times New Roman"/>
                      <w:color w:val="auto"/>
                      <w:kern w:val="0"/>
                      <w:sz w:val="21"/>
                      <w:szCs w:val="21"/>
                      <w:u w:val="none"/>
                      <w:vertAlign w:val="baseline"/>
                      <w:lang w:val="en-US" w:eastAsia="zh-CN" w:bidi="ar-SA"/>
                    </w:rPr>
                    <w:t>湘阴高新区</w:t>
                  </w:r>
                  <w:r>
                    <w:rPr>
                      <w:rFonts w:hint="eastAsia" w:cs="Times New Roman"/>
                      <w:color w:val="auto"/>
                      <w:kern w:val="0"/>
                      <w:sz w:val="21"/>
                      <w:szCs w:val="21"/>
                      <w:u w:val="none"/>
                      <w:vertAlign w:val="baseline"/>
                      <w:lang w:val="en-US" w:eastAsia="zh-CN" w:bidi="ar-SA"/>
                    </w:rPr>
                    <w:t>洋沙湖</w:t>
                  </w:r>
                  <w:r>
                    <w:rPr>
                      <w:rFonts w:hint="default" w:ascii="Times New Roman" w:hAnsi="Times New Roman" w:eastAsia="宋体" w:cs="Times New Roman"/>
                      <w:color w:val="auto"/>
                      <w:kern w:val="0"/>
                      <w:sz w:val="21"/>
                      <w:szCs w:val="21"/>
                      <w:u w:val="none"/>
                      <w:vertAlign w:val="baseline"/>
                      <w:lang w:val="en-US" w:eastAsia="zh-CN" w:bidi="ar-SA"/>
                    </w:rPr>
                    <w:t>片区</w:t>
                  </w:r>
                  <w:r>
                    <w:rPr>
                      <w:rFonts w:hint="eastAsia" w:ascii="Times New Roman" w:hAnsi="Times New Roman" w:eastAsia="宋体" w:cs="Times New Roman"/>
                      <w:color w:val="auto"/>
                      <w:kern w:val="0"/>
                      <w:sz w:val="21"/>
                      <w:szCs w:val="21"/>
                      <w:u w:val="none"/>
                      <w:vertAlign w:val="baseline"/>
                      <w:lang w:val="en-US" w:eastAsia="zh-CN" w:bidi="ar-SA"/>
                    </w:rPr>
                    <w:t>，项目所在区域已通市政污水管网，生活污水经化粪池预处理后进入</w:t>
                  </w:r>
                  <w:r>
                    <w:rPr>
                      <w:rFonts w:hint="eastAsia" w:cs="Times New Roman"/>
                      <w:color w:val="auto"/>
                      <w:kern w:val="0"/>
                      <w:sz w:val="21"/>
                      <w:szCs w:val="21"/>
                      <w:u w:val="none"/>
                      <w:vertAlign w:val="baseline"/>
                      <w:lang w:val="en-US" w:eastAsia="zh-CN" w:bidi="ar-SA"/>
                    </w:rPr>
                    <w:t>湘阴县第二污水处理厂</w:t>
                  </w:r>
                  <w:r>
                    <w:rPr>
                      <w:rFonts w:hint="eastAsia" w:ascii="Times New Roman" w:hAnsi="Times New Roman" w:eastAsia="宋体" w:cs="Times New Roman"/>
                      <w:color w:val="auto"/>
                      <w:kern w:val="0"/>
                      <w:sz w:val="21"/>
                      <w:szCs w:val="21"/>
                      <w:u w:val="none"/>
                      <w:vertAlign w:val="baseline"/>
                      <w:lang w:val="en-US" w:eastAsia="zh-CN" w:bidi="ar-SA"/>
                    </w:rPr>
                    <w:t>处理。</w:t>
                  </w:r>
                </w:p>
              </w:tc>
              <w:tc>
                <w:tcPr>
                  <w:tcW w:w="568" w:type="pct"/>
                  <w:shd w:val="clear" w:color="auto" w:fill="auto"/>
                  <w:noWrap w:val="0"/>
                  <w:vAlign w:val="center"/>
                </w:tcPr>
                <w:p w14:paraId="06FE0E86">
                  <w:pPr>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符合</w:t>
                  </w:r>
                </w:p>
              </w:tc>
            </w:tr>
            <w:tr w14:paraId="4AF7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noWrap w:val="0"/>
                  <w:vAlign w:val="center"/>
                </w:tcPr>
                <w:p w14:paraId="120224D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3</w:t>
                  </w:r>
                </w:p>
              </w:tc>
              <w:tc>
                <w:tcPr>
                  <w:tcW w:w="2095" w:type="pct"/>
                  <w:shd w:val="clear" w:color="auto" w:fill="auto"/>
                  <w:noWrap w:val="0"/>
                  <w:vAlign w:val="center"/>
                </w:tcPr>
                <w:p w14:paraId="02BD9CF6">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禁止填湖造地、围湖造田、建设矮围网、填埋湿地等非法侵占河湖水域或者违法利用、占用河湖岸线的行为。</w:t>
                  </w:r>
                </w:p>
              </w:tc>
              <w:tc>
                <w:tcPr>
                  <w:tcW w:w="1877" w:type="pct"/>
                  <w:shd w:val="clear" w:color="auto" w:fill="auto"/>
                  <w:noWrap w:val="0"/>
                  <w:vAlign w:val="center"/>
                </w:tcPr>
                <w:p w14:paraId="1EF8D7A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本项目不涉及填湖造地、围湖造田、建设矮围网、填埋湿地等非法行为</w:t>
                  </w:r>
                </w:p>
              </w:tc>
              <w:tc>
                <w:tcPr>
                  <w:tcW w:w="568" w:type="pct"/>
                  <w:shd w:val="clear" w:color="auto" w:fill="auto"/>
                  <w:noWrap w:val="0"/>
                  <w:vAlign w:val="center"/>
                </w:tcPr>
                <w:p w14:paraId="7B83A6E4">
                  <w:pPr>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符合</w:t>
                  </w:r>
                </w:p>
              </w:tc>
            </w:tr>
            <w:tr w14:paraId="01CC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noWrap w:val="0"/>
                  <w:vAlign w:val="center"/>
                </w:tcPr>
                <w:p w14:paraId="63CF538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4</w:t>
                  </w:r>
                </w:p>
              </w:tc>
              <w:tc>
                <w:tcPr>
                  <w:tcW w:w="2095" w:type="pct"/>
                  <w:shd w:val="clear" w:color="auto" w:fill="auto"/>
                  <w:noWrap w:val="0"/>
                  <w:vAlign w:val="center"/>
                </w:tcPr>
                <w:p w14:paraId="75A0D52F">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洞庭湖生态保护红线划定、永久基本农田划定、城镇开发边界划定应当满足防洪设施建设管理要求，预留防洪设施建设空间和范围，确保防洪安全。</w:t>
                  </w:r>
                </w:p>
              </w:tc>
              <w:tc>
                <w:tcPr>
                  <w:tcW w:w="1877" w:type="pct"/>
                  <w:shd w:val="clear" w:color="auto" w:fill="auto"/>
                  <w:noWrap w:val="0"/>
                  <w:vAlign w:val="center"/>
                </w:tcPr>
                <w:p w14:paraId="27EACC8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0"/>
                      <w:sz w:val="21"/>
                      <w:szCs w:val="21"/>
                      <w:u w:val="none"/>
                      <w:vertAlign w:val="baseline"/>
                      <w:lang w:val="en-US" w:eastAsia="zh-CN" w:bidi="ar-SA"/>
                    </w:rPr>
                  </w:pPr>
                  <w:r>
                    <w:rPr>
                      <w:rFonts w:hint="eastAsia" w:ascii="Times New Roman" w:hAnsi="Times New Roman" w:eastAsia="宋体" w:cs="Times New Roman"/>
                      <w:color w:val="auto"/>
                      <w:kern w:val="0"/>
                      <w:sz w:val="21"/>
                      <w:szCs w:val="21"/>
                      <w:u w:val="none"/>
                      <w:vertAlign w:val="baseline"/>
                      <w:lang w:val="en-US" w:eastAsia="zh-CN" w:bidi="ar-SA"/>
                    </w:rPr>
                    <w:t>本项目位于</w:t>
                  </w:r>
                  <w:r>
                    <w:rPr>
                      <w:rFonts w:hint="default" w:ascii="Times New Roman" w:hAnsi="Times New Roman" w:eastAsia="宋体" w:cs="Times New Roman"/>
                      <w:color w:val="auto"/>
                      <w:kern w:val="0"/>
                      <w:sz w:val="21"/>
                      <w:szCs w:val="21"/>
                      <w:u w:val="none"/>
                      <w:vertAlign w:val="baseline"/>
                      <w:lang w:val="en-US" w:eastAsia="zh-CN" w:bidi="ar-SA"/>
                    </w:rPr>
                    <w:t>湘阴高新区</w:t>
                  </w:r>
                  <w:r>
                    <w:rPr>
                      <w:rFonts w:hint="eastAsia" w:cs="Times New Roman"/>
                      <w:color w:val="auto"/>
                      <w:kern w:val="0"/>
                      <w:sz w:val="21"/>
                      <w:szCs w:val="21"/>
                      <w:u w:val="none"/>
                      <w:vertAlign w:val="baseline"/>
                      <w:lang w:val="en-US" w:eastAsia="zh-CN" w:bidi="ar-SA"/>
                    </w:rPr>
                    <w:t>洋沙湖</w:t>
                  </w:r>
                  <w:r>
                    <w:rPr>
                      <w:rFonts w:hint="default" w:ascii="Times New Roman" w:hAnsi="Times New Roman" w:eastAsia="宋体" w:cs="Times New Roman"/>
                      <w:color w:val="auto"/>
                      <w:kern w:val="0"/>
                      <w:sz w:val="21"/>
                      <w:szCs w:val="21"/>
                      <w:u w:val="none"/>
                      <w:vertAlign w:val="baseline"/>
                      <w:lang w:val="en-US" w:eastAsia="zh-CN" w:bidi="ar-SA"/>
                    </w:rPr>
                    <w:t>片区</w:t>
                  </w:r>
                  <w:r>
                    <w:rPr>
                      <w:rFonts w:hint="eastAsia" w:ascii="Times New Roman" w:hAnsi="Times New Roman" w:eastAsia="宋体" w:cs="Times New Roman"/>
                      <w:color w:val="auto"/>
                      <w:kern w:val="0"/>
                      <w:sz w:val="21"/>
                      <w:szCs w:val="21"/>
                      <w:u w:val="none"/>
                      <w:vertAlign w:val="baseline"/>
                      <w:lang w:val="en-US" w:eastAsia="zh-CN" w:bidi="ar-SA"/>
                    </w:rPr>
                    <w:t>，不涉及生态保护红线、永久基本农田等，不会影响大堤防洪。</w:t>
                  </w:r>
                </w:p>
              </w:tc>
              <w:tc>
                <w:tcPr>
                  <w:tcW w:w="568" w:type="pct"/>
                  <w:shd w:val="clear" w:color="auto" w:fill="auto"/>
                  <w:noWrap w:val="0"/>
                  <w:vAlign w:val="center"/>
                </w:tcPr>
                <w:p w14:paraId="08D93BEC">
                  <w:pPr>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符合</w:t>
                  </w:r>
                </w:p>
              </w:tc>
            </w:tr>
          </w:tbl>
          <w:p w14:paraId="7A0618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u w:val="none" w:color="auto"/>
                <w:lang w:val="en-US"/>
              </w:rPr>
            </w:pPr>
            <w:r>
              <w:rPr>
                <w:rFonts w:hint="default" w:ascii="Times New Roman" w:hAnsi="Times New Roman" w:eastAsia="宋体" w:cs="Times New Roman"/>
                <w:color w:val="auto"/>
                <w:sz w:val="21"/>
                <w:szCs w:val="21"/>
                <w:u w:val="none" w:color="auto"/>
                <w:lang w:val="en-US" w:eastAsia="zh-CN"/>
              </w:rPr>
              <w:t>综上所述，本项目的建设满足《湖南省洞庭湖保护条例》相关要求。</w:t>
            </w:r>
          </w:p>
          <w:p w14:paraId="2E7CE7E5">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FF"/>
                <w:sz w:val="21"/>
                <w:szCs w:val="21"/>
                <w:highlight w:val="none"/>
                <w:lang w:val="en-US" w:eastAsia="zh-CN"/>
              </w:rPr>
            </w:pPr>
          </w:p>
        </w:tc>
      </w:tr>
    </w:tbl>
    <w:p w14:paraId="28B9AC2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黑体" w:cs="Times New Roman"/>
          <w:color w:val="auto"/>
          <w:sz w:val="21"/>
          <w:szCs w:val="21"/>
          <w:highlight w:val="none"/>
        </w:rPr>
      </w:pPr>
    </w:p>
    <w:p w14:paraId="2D752E8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黑体" w:cs="Times New Roman"/>
          <w:color w:val="auto"/>
          <w:sz w:val="21"/>
          <w:szCs w:val="21"/>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57D7A7E">
      <w:pPr>
        <w:pStyle w:val="29"/>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3" w:name="_Toc24733"/>
      <w:r>
        <w:rPr>
          <w:rFonts w:hint="default" w:ascii="Times New Roman" w:hAnsi="Times New Roman" w:eastAsia="黑体" w:cs="Times New Roman"/>
          <w:snapToGrid w:val="0"/>
          <w:color w:val="auto"/>
          <w:sz w:val="30"/>
          <w:szCs w:val="30"/>
          <w:highlight w:val="none"/>
        </w:rPr>
        <w:t>二、建设项目工程分析</w:t>
      </w:r>
      <w:bookmarkEnd w:id="3"/>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616"/>
      </w:tblGrid>
      <w:tr w14:paraId="0E78D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0" w:hRule="atLeast"/>
          <w:jc w:val="center"/>
        </w:trPr>
        <w:tc>
          <w:tcPr>
            <w:tcW w:w="444" w:type="dxa"/>
            <w:noWrap w:val="0"/>
            <w:vAlign w:val="center"/>
          </w:tcPr>
          <w:p w14:paraId="5FD65E45">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建设内容</w:t>
            </w:r>
          </w:p>
        </w:tc>
        <w:tc>
          <w:tcPr>
            <w:tcW w:w="8616" w:type="dxa"/>
            <w:noWrap w:val="0"/>
            <w:vAlign w:val="top"/>
          </w:tcPr>
          <w:p w14:paraId="024631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1、项目由来</w:t>
            </w:r>
          </w:p>
          <w:p w14:paraId="23D22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u w:val="single"/>
                <w:lang w:val="en-US" w:eastAsia="zh-CN" w:bidi="ar-SA"/>
              </w:rPr>
            </w:pPr>
            <w:r>
              <w:rPr>
                <w:rFonts w:hint="eastAsia" w:ascii="Times New Roman" w:hAnsi="Times New Roman" w:eastAsia="宋体" w:cs="Times New Roman"/>
                <w:color w:val="auto"/>
                <w:kern w:val="2"/>
                <w:sz w:val="24"/>
                <w:szCs w:val="24"/>
                <w:highlight w:val="none"/>
                <w:u w:val="single"/>
                <w:lang w:val="en-US" w:eastAsia="zh-CN" w:bidi="ar-SA"/>
              </w:rPr>
              <w:t>湖南昊志传动机械有限公司于2025年9月拿到《昊志高端装备智能制造项目（一期）》的环评批复，因在建设过程中</w:t>
            </w:r>
            <w:r>
              <w:rPr>
                <w:rFonts w:hint="eastAsia" w:cs="Times New Roman"/>
                <w:color w:val="auto"/>
                <w:kern w:val="2"/>
                <w:sz w:val="24"/>
                <w:szCs w:val="24"/>
                <w:highlight w:val="none"/>
                <w:u w:val="single"/>
                <w:lang w:val="en-US" w:eastAsia="zh-CN" w:bidi="ar-SA"/>
              </w:rPr>
              <w:t>优化了相关设备的生产效率，由原来的人工装夹方式变更为机械手半自动装夹</w:t>
            </w:r>
            <w:r>
              <w:rPr>
                <w:rFonts w:hint="eastAsia" w:ascii="Times New Roman" w:hAnsi="Times New Roman" w:eastAsia="宋体" w:cs="Times New Roman"/>
                <w:color w:val="auto"/>
                <w:kern w:val="2"/>
                <w:sz w:val="24"/>
                <w:szCs w:val="24"/>
                <w:highlight w:val="none"/>
                <w:u w:val="single"/>
                <w:lang w:val="en-US" w:eastAsia="zh-CN" w:bidi="ar-SA"/>
              </w:rPr>
              <w:t>，工作制度由2班制变更为3班制，年生产时间从4800小时增加至7200小时，产能从年产16万条线轨、54万件滑块，增加至33万条线轨，111万件滑块，</w:t>
            </w:r>
            <w:r>
              <w:rPr>
                <w:rFonts w:hint="eastAsia" w:cs="Times New Roman"/>
                <w:color w:val="auto"/>
                <w:kern w:val="2"/>
                <w:sz w:val="24"/>
                <w:szCs w:val="24"/>
                <w:highlight w:val="none"/>
                <w:u w:val="single"/>
                <w:lang w:val="en-US" w:eastAsia="zh-CN" w:bidi="ar-SA"/>
              </w:rPr>
              <w:t>对照</w:t>
            </w:r>
            <w:r>
              <w:rPr>
                <w:rFonts w:hint="eastAsia" w:ascii="Times New Roman" w:hAnsi="Times New Roman" w:eastAsia="宋体" w:cs="Times New Roman"/>
                <w:color w:val="auto"/>
                <w:kern w:val="2"/>
                <w:sz w:val="24"/>
                <w:szCs w:val="24"/>
                <w:highlight w:val="none"/>
                <w:u w:val="single"/>
                <w:lang w:val="en-US" w:eastAsia="zh-CN" w:bidi="ar-SA"/>
              </w:rPr>
              <w:t>《污染影响类建设项目重大变动清单（试行）》（环办环评函〔2020〕688号</w:t>
            </w:r>
            <w:r>
              <w:rPr>
                <w:rFonts w:hint="eastAsia" w:cs="Times New Roman"/>
                <w:color w:val="auto"/>
                <w:kern w:val="2"/>
                <w:sz w:val="24"/>
                <w:szCs w:val="24"/>
                <w:highlight w:val="none"/>
                <w:u w:val="single"/>
                <w:lang w:val="en-US" w:eastAsia="zh-CN" w:bidi="ar-SA"/>
              </w:rPr>
              <w:t>文，对照表如下所示：</w:t>
            </w:r>
          </w:p>
          <w:p w14:paraId="16158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表2-1   重大变动清单对照表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5"/>
              <w:gridCol w:w="3243"/>
              <w:gridCol w:w="2428"/>
              <w:gridCol w:w="1230"/>
              <w:gridCol w:w="1004"/>
            </w:tblGrid>
            <w:tr w14:paraId="24ECD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218" w:type="pct"/>
                  <w:gridSpan w:val="2"/>
                  <w:tcBorders>
                    <w:tl2br w:val="nil"/>
                    <w:tr2bl w:val="nil"/>
                  </w:tcBorders>
                  <w:noWrap w:val="0"/>
                  <w:vAlign w:val="center"/>
                </w:tcPr>
                <w:p w14:paraId="499FC82E">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bCs/>
                      <w:sz w:val="21"/>
                      <w:szCs w:val="21"/>
                      <w:highlight w:val="none"/>
                      <w:u w:val="single"/>
                      <w:lang w:val="en-US" w:eastAsia="zh-CN"/>
                    </w:rPr>
                  </w:pPr>
                  <w:r>
                    <w:rPr>
                      <w:rFonts w:hint="eastAsia"/>
                      <w:b/>
                      <w:bCs/>
                      <w:sz w:val="21"/>
                      <w:szCs w:val="21"/>
                      <w:highlight w:val="none"/>
                      <w:u w:val="single"/>
                      <w:lang w:val="en-US" w:eastAsia="zh-CN"/>
                    </w:rPr>
                    <w:t>重大变动清单类别</w:t>
                  </w:r>
                </w:p>
                <w:p w14:paraId="175A531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highlight w:val="none"/>
                      <w:u w:val="single"/>
                      <w:lang w:val="en-US" w:eastAsia="zh-CN"/>
                    </w:rPr>
                  </w:pPr>
                  <w:r>
                    <w:rPr>
                      <w:rFonts w:hint="eastAsia"/>
                      <w:b/>
                      <w:bCs/>
                      <w:sz w:val="21"/>
                      <w:szCs w:val="21"/>
                      <w:highlight w:val="none"/>
                      <w:u w:val="single"/>
                      <w:lang w:val="en-US" w:eastAsia="zh-CN"/>
                    </w:rPr>
                    <w:t>(环办环评函〔2020〕688号)</w:t>
                  </w:r>
                </w:p>
              </w:tc>
              <w:tc>
                <w:tcPr>
                  <w:tcW w:w="1448" w:type="pct"/>
                  <w:tcBorders>
                    <w:tl2br w:val="nil"/>
                    <w:tr2bl w:val="nil"/>
                  </w:tcBorders>
                  <w:noWrap w:val="0"/>
                  <w:vAlign w:val="center"/>
                </w:tcPr>
                <w:p w14:paraId="35F15842">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bCs/>
                      <w:sz w:val="21"/>
                      <w:szCs w:val="21"/>
                      <w:highlight w:val="none"/>
                      <w:u w:val="single"/>
                      <w:lang w:eastAsia="zh-CN"/>
                    </w:rPr>
                  </w:pPr>
                  <w:r>
                    <w:rPr>
                      <w:rFonts w:hint="eastAsia"/>
                      <w:b/>
                      <w:bCs/>
                      <w:sz w:val="21"/>
                      <w:szCs w:val="21"/>
                      <w:highlight w:val="none"/>
                      <w:u w:val="single"/>
                      <w:lang w:val="en-US" w:eastAsia="zh-CN"/>
                    </w:rPr>
                    <w:t>本项目</w:t>
                  </w:r>
                  <w:r>
                    <w:rPr>
                      <w:rFonts w:hint="eastAsia"/>
                      <w:b/>
                      <w:bCs/>
                      <w:sz w:val="21"/>
                      <w:szCs w:val="21"/>
                      <w:highlight w:val="none"/>
                      <w:u w:val="single"/>
                      <w:lang w:eastAsia="zh-CN"/>
                    </w:rPr>
                    <w:t>建设内容</w:t>
                  </w:r>
                </w:p>
              </w:tc>
              <w:tc>
                <w:tcPr>
                  <w:tcW w:w="733" w:type="pct"/>
                  <w:tcBorders>
                    <w:tl2br w:val="nil"/>
                    <w:tr2bl w:val="nil"/>
                  </w:tcBorders>
                  <w:noWrap w:val="0"/>
                  <w:vAlign w:val="center"/>
                </w:tcPr>
                <w:p w14:paraId="533FCB1E">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bCs/>
                      <w:sz w:val="21"/>
                      <w:szCs w:val="21"/>
                      <w:highlight w:val="none"/>
                      <w:u w:val="single"/>
                      <w:lang w:eastAsia="zh-CN"/>
                    </w:rPr>
                  </w:pPr>
                  <w:r>
                    <w:rPr>
                      <w:rFonts w:hint="eastAsia"/>
                      <w:b/>
                      <w:bCs/>
                      <w:sz w:val="21"/>
                      <w:szCs w:val="21"/>
                      <w:highlight w:val="none"/>
                      <w:u w:val="single"/>
                      <w:lang w:eastAsia="zh-CN"/>
                    </w:rPr>
                    <w:t>变动情况及原因</w:t>
                  </w:r>
                </w:p>
              </w:tc>
              <w:tc>
                <w:tcPr>
                  <w:tcW w:w="599" w:type="pct"/>
                  <w:tcBorders>
                    <w:tl2br w:val="nil"/>
                    <w:tr2bl w:val="nil"/>
                  </w:tcBorders>
                  <w:noWrap w:val="0"/>
                  <w:vAlign w:val="center"/>
                </w:tcPr>
                <w:p w14:paraId="1A4B29FF">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b/>
                      <w:bCs/>
                      <w:sz w:val="21"/>
                      <w:szCs w:val="21"/>
                      <w:highlight w:val="none"/>
                      <w:u w:val="single"/>
                      <w:lang w:eastAsia="zh-CN"/>
                    </w:rPr>
                  </w:pPr>
                  <w:r>
                    <w:rPr>
                      <w:rFonts w:hint="eastAsia"/>
                      <w:b/>
                      <w:bCs/>
                      <w:sz w:val="21"/>
                      <w:szCs w:val="21"/>
                      <w:highlight w:val="none"/>
                      <w:u w:val="single"/>
                      <w:lang w:eastAsia="zh-CN"/>
                    </w:rPr>
                    <w:t>重大变动判别</w:t>
                  </w:r>
                </w:p>
              </w:tc>
            </w:tr>
            <w:tr w14:paraId="699E7A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3" w:type="pct"/>
                  <w:tcBorders>
                    <w:tl2br w:val="nil"/>
                    <w:tr2bl w:val="nil"/>
                  </w:tcBorders>
                  <w:noWrap w:val="0"/>
                  <w:vAlign w:val="center"/>
                </w:tcPr>
                <w:p w14:paraId="14CE51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1</w:t>
                  </w:r>
                </w:p>
              </w:tc>
              <w:tc>
                <w:tcPr>
                  <w:tcW w:w="1934" w:type="pct"/>
                  <w:tcBorders>
                    <w:tl2br w:val="nil"/>
                    <w:tr2bl w:val="nil"/>
                  </w:tcBorders>
                  <w:noWrap w:val="0"/>
                  <w:vAlign w:val="center"/>
                </w:tcPr>
                <w:p w14:paraId="2372FC0A">
                  <w:pPr>
                    <w:pStyle w:val="9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性质:建设项目开发、使用功能发生变化的。</w:t>
                  </w:r>
                </w:p>
              </w:tc>
              <w:tc>
                <w:tcPr>
                  <w:tcW w:w="1448" w:type="pct"/>
                  <w:tcBorders>
                    <w:tl2br w:val="nil"/>
                    <w:tr2bl w:val="nil"/>
                  </w:tcBorders>
                  <w:noWrap w:val="0"/>
                  <w:vAlign w:val="center"/>
                </w:tcPr>
                <w:p w14:paraId="0B6BACF2">
                  <w:pPr>
                    <w:pStyle w:val="9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本项目开发、使用功能未发生变化</w:t>
                  </w:r>
                </w:p>
              </w:tc>
              <w:tc>
                <w:tcPr>
                  <w:tcW w:w="733" w:type="pct"/>
                  <w:tcBorders>
                    <w:tl2br w:val="nil"/>
                    <w:tr2bl w:val="nil"/>
                  </w:tcBorders>
                  <w:noWrap w:val="0"/>
                  <w:vAlign w:val="center"/>
                </w:tcPr>
                <w:p w14:paraId="42EFA5DF">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c>
                <w:tcPr>
                  <w:tcW w:w="599" w:type="pct"/>
                  <w:tcBorders>
                    <w:tl2br w:val="nil"/>
                    <w:tr2bl w:val="nil"/>
                  </w:tcBorders>
                  <w:noWrap w:val="0"/>
                  <w:vAlign w:val="center"/>
                </w:tcPr>
                <w:p w14:paraId="48C5D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r>
            <w:tr w14:paraId="79167B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283" w:type="pct"/>
                  <w:tcBorders>
                    <w:tl2br w:val="nil"/>
                    <w:tr2bl w:val="nil"/>
                  </w:tcBorders>
                  <w:noWrap w:val="0"/>
                  <w:vAlign w:val="center"/>
                </w:tcPr>
                <w:p w14:paraId="0475A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2</w:t>
                  </w:r>
                </w:p>
              </w:tc>
              <w:tc>
                <w:tcPr>
                  <w:tcW w:w="1934" w:type="pct"/>
                  <w:tcBorders>
                    <w:tl2br w:val="nil"/>
                    <w:tr2bl w:val="nil"/>
                  </w:tcBorders>
                  <w:noWrap w:val="0"/>
                  <w:vAlign w:val="center"/>
                </w:tcPr>
                <w:p w14:paraId="02F27FE6">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rPr>
                      <w:rFonts w:hint="default" w:ascii="Times New Roman" w:hAnsi="Times New Roman" w:eastAsia="宋体" w:cs="Times New Roman"/>
                      <w:b w:val="0"/>
                      <w:bCs w:val="0"/>
                      <w:kern w:val="2"/>
                      <w:sz w:val="21"/>
                      <w:szCs w:val="21"/>
                      <w:highlight w:val="none"/>
                      <w:u w:val="single"/>
                      <w:lang w:val="en-US" w:eastAsia="zh-CN" w:bidi="ar-SA"/>
                    </w:rPr>
                  </w:pPr>
                  <w:r>
                    <w:rPr>
                      <w:rFonts w:hint="eastAsia"/>
                      <w:b w:val="0"/>
                      <w:bCs w:val="0"/>
                      <w:sz w:val="21"/>
                      <w:szCs w:val="21"/>
                      <w:highlight w:val="none"/>
                      <w:u w:val="single"/>
                      <w:lang w:val="en-US" w:eastAsia="zh-CN"/>
                    </w:rPr>
                    <w:t>规模:</w:t>
                  </w:r>
                  <w:r>
                    <w:rPr>
                      <w:rFonts w:hint="eastAsia" w:ascii="Times New Roman" w:hAnsi="Times New Roman" w:eastAsia="宋体" w:cs="Times New Roman"/>
                      <w:b w:val="0"/>
                      <w:bCs w:val="0"/>
                      <w:kern w:val="2"/>
                      <w:sz w:val="21"/>
                      <w:szCs w:val="21"/>
                      <w:highlight w:val="none"/>
                      <w:u w:val="single"/>
                      <w:lang w:val="en-US" w:eastAsia="zh-CN" w:bidi="ar-SA"/>
                    </w:rPr>
                    <w:t>生产、处置或储存能力增大30%及以上的。</w:t>
                  </w:r>
                </w:p>
              </w:tc>
              <w:tc>
                <w:tcPr>
                  <w:tcW w:w="1448" w:type="pct"/>
                  <w:tcBorders>
                    <w:tl2br w:val="nil"/>
                    <w:tr2bl w:val="nil"/>
                  </w:tcBorders>
                  <w:noWrap w:val="0"/>
                  <w:vAlign w:val="center"/>
                </w:tcPr>
                <w:p w14:paraId="2B972B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线轨由原料的16万条新增至33万条、滑块由54万件新增至111万件</w:t>
                  </w:r>
                </w:p>
              </w:tc>
              <w:tc>
                <w:tcPr>
                  <w:tcW w:w="733" w:type="pct"/>
                  <w:tcBorders>
                    <w:tl2br w:val="nil"/>
                    <w:tr2bl w:val="nil"/>
                  </w:tcBorders>
                  <w:noWrap w:val="0"/>
                  <w:vAlign w:val="center"/>
                </w:tcPr>
                <w:p w14:paraId="0C4FC317">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新增员工、升级设备生产效率提升，产能扩大超30%以上</w:t>
                  </w:r>
                </w:p>
              </w:tc>
              <w:tc>
                <w:tcPr>
                  <w:tcW w:w="599" w:type="pct"/>
                  <w:tcBorders>
                    <w:tl2br w:val="nil"/>
                    <w:tr2bl w:val="nil"/>
                  </w:tcBorders>
                  <w:noWrap w:val="0"/>
                  <w:vAlign w:val="center"/>
                </w:tcPr>
                <w:p w14:paraId="095885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是</w:t>
                  </w:r>
                </w:p>
              </w:tc>
            </w:tr>
            <w:tr w14:paraId="7AC95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tcBorders>
                    <w:tl2br w:val="nil"/>
                    <w:tr2bl w:val="nil"/>
                  </w:tcBorders>
                  <w:noWrap w:val="0"/>
                  <w:vAlign w:val="center"/>
                </w:tcPr>
                <w:p w14:paraId="4B01D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3</w:t>
                  </w:r>
                </w:p>
              </w:tc>
              <w:tc>
                <w:tcPr>
                  <w:tcW w:w="1934" w:type="pct"/>
                  <w:tcBorders>
                    <w:tl2br w:val="nil"/>
                    <w:tr2bl w:val="nil"/>
                  </w:tcBorders>
                  <w:noWrap w:val="0"/>
                  <w:vAlign w:val="center"/>
                </w:tcPr>
                <w:p w14:paraId="0273B371">
                  <w:pPr>
                    <w:pStyle w:val="9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生产、处置或储存能力增大，导致废水第一类污染物排放量增加的。</w:t>
                  </w:r>
                </w:p>
              </w:tc>
              <w:tc>
                <w:tcPr>
                  <w:tcW w:w="1448" w:type="pct"/>
                  <w:tcBorders>
                    <w:tl2br w:val="nil"/>
                    <w:tr2bl w:val="nil"/>
                  </w:tcBorders>
                  <w:noWrap w:val="0"/>
                  <w:vAlign w:val="center"/>
                </w:tcPr>
                <w:p w14:paraId="35F21FE2">
                  <w:pPr>
                    <w:pStyle w:val="9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b w:val="0"/>
                      <w:bCs w:val="0"/>
                      <w:kern w:val="2"/>
                      <w:sz w:val="21"/>
                      <w:szCs w:val="21"/>
                      <w:highlight w:val="none"/>
                      <w:u w:val="single"/>
                      <w:lang w:val="en-US" w:eastAsia="zh-CN" w:bidi="ar-SA"/>
                    </w:rPr>
                  </w:pPr>
                  <w:r>
                    <w:rPr>
                      <w:rFonts w:hint="eastAsia"/>
                      <w:b w:val="0"/>
                      <w:bCs w:val="0"/>
                      <w:sz w:val="21"/>
                      <w:szCs w:val="21"/>
                      <w:highlight w:val="none"/>
                      <w:u w:val="single"/>
                      <w:lang w:val="en-US" w:eastAsia="zh-CN"/>
                    </w:rPr>
                    <w:t>不排放第一类污染物</w:t>
                  </w:r>
                </w:p>
              </w:tc>
              <w:tc>
                <w:tcPr>
                  <w:tcW w:w="733" w:type="pct"/>
                  <w:tcBorders>
                    <w:tl2br w:val="nil"/>
                    <w:tr2bl w:val="nil"/>
                  </w:tcBorders>
                  <w:noWrap w:val="0"/>
                  <w:vAlign w:val="center"/>
                </w:tcPr>
                <w:p w14:paraId="0637FA81">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w:t>
                  </w:r>
                </w:p>
              </w:tc>
              <w:tc>
                <w:tcPr>
                  <w:tcW w:w="599" w:type="pct"/>
                  <w:tcBorders>
                    <w:tl2br w:val="nil"/>
                    <w:tr2bl w:val="nil"/>
                  </w:tcBorders>
                  <w:noWrap w:val="0"/>
                  <w:vAlign w:val="center"/>
                </w:tcPr>
                <w:p w14:paraId="6BC9C2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r>
            <w:tr w14:paraId="14F6B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 w:type="pct"/>
                  <w:tcBorders>
                    <w:tl2br w:val="nil"/>
                    <w:tr2bl w:val="nil"/>
                  </w:tcBorders>
                  <w:noWrap w:val="0"/>
                  <w:vAlign w:val="center"/>
                </w:tcPr>
                <w:p w14:paraId="78745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4</w:t>
                  </w:r>
                </w:p>
              </w:tc>
              <w:tc>
                <w:tcPr>
                  <w:tcW w:w="1934" w:type="pct"/>
                  <w:tcBorders>
                    <w:tl2br w:val="nil"/>
                    <w:tr2bl w:val="nil"/>
                  </w:tcBorders>
                  <w:noWrap w:val="0"/>
                  <w:vAlign w:val="center"/>
                </w:tcPr>
                <w:p w14:paraId="099249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EastAsia" w:hAnsiTheme="minorEastAsia" w:eastAsiaTheme="minorEastAsia" w:cstheme="minorEastAsia"/>
                      <w:b w:val="0"/>
                      <w:bCs w:val="0"/>
                      <w:color w:val="auto"/>
                      <w:kern w:val="0"/>
                      <w:sz w:val="21"/>
                      <w:szCs w:val="21"/>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448" w:type="pct"/>
                  <w:tcBorders>
                    <w:tl2br w:val="nil"/>
                    <w:tr2bl w:val="nil"/>
                  </w:tcBorders>
                  <w:noWrap w:val="0"/>
                  <w:vAlign w:val="center"/>
                </w:tcPr>
                <w:p w14:paraId="54144C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b w:val="0"/>
                      <w:bCs w:val="0"/>
                      <w:sz w:val="21"/>
                      <w:szCs w:val="21"/>
                      <w:highlight w:val="none"/>
                      <w:u w:val="single"/>
                      <w:lang w:val="en-US" w:eastAsia="zh-CN"/>
                    </w:rPr>
                  </w:pPr>
                  <w:r>
                    <w:rPr>
                      <w:rFonts w:hint="eastAsia"/>
                      <w:b w:val="0"/>
                      <w:bCs w:val="0"/>
                      <w:sz w:val="21"/>
                      <w:szCs w:val="21"/>
                      <w:highlight w:val="none"/>
                      <w:u w:val="single"/>
                      <w:lang w:val="en-US" w:eastAsia="zh-CN"/>
                    </w:rPr>
                    <w:t>本项目位于达标区</w:t>
                  </w:r>
                </w:p>
              </w:tc>
              <w:tc>
                <w:tcPr>
                  <w:tcW w:w="733" w:type="pct"/>
                  <w:tcBorders>
                    <w:tl2br w:val="nil"/>
                    <w:tr2bl w:val="nil"/>
                  </w:tcBorders>
                  <w:noWrap w:val="0"/>
                  <w:vAlign w:val="center"/>
                </w:tcPr>
                <w:p w14:paraId="42856BC4">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c>
                <w:tcPr>
                  <w:tcW w:w="599" w:type="pct"/>
                  <w:tcBorders>
                    <w:tl2br w:val="nil"/>
                    <w:tr2bl w:val="nil"/>
                  </w:tcBorders>
                  <w:noWrap w:val="0"/>
                  <w:vAlign w:val="center"/>
                </w:tcPr>
                <w:p w14:paraId="42F7E153">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r>
            <w:tr w14:paraId="68925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 w:type="pct"/>
                  <w:tcBorders>
                    <w:tl2br w:val="nil"/>
                    <w:tr2bl w:val="nil"/>
                  </w:tcBorders>
                  <w:noWrap w:val="0"/>
                  <w:vAlign w:val="center"/>
                </w:tcPr>
                <w:p w14:paraId="2BA7D3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5</w:t>
                  </w:r>
                </w:p>
              </w:tc>
              <w:tc>
                <w:tcPr>
                  <w:tcW w:w="1934" w:type="pct"/>
                  <w:tcBorders>
                    <w:tl2br w:val="nil"/>
                    <w:tr2bl w:val="nil"/>
                  </w:tcBorders>
                  <w:noWrap w:val="0"/>
                  <w:vAlign w:val="center"/>
                </w:tcPr>
                <w:p w14:paraId="4CA8A5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heme="minorEastAsia" w:hAnsiTheme="minorEastAsia" w:eastAsiaTheme="minorEastAsia" w:cstheme="minorEastAsia"/>
                      <w:b w:val="0"/>
                      <w:bCs w:val="0"/>
                      <w:color w:val="auto"/>
                      <w:kern w:val="0"/>
                      <w:sz w:val="21"/>
                      <w:szCs w:val="21"/>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地点:重新选址；在原厂址附近调整（包括总平面布置变化）导致环境防护距离范围变化且新增敏感点的。</w:t>
                  </w:r>
                </w:p>
              </w:tc>
              <w:tc>
                <w:tcPr>
                  <w:tcW w:w="1448" w:type="pct"/>
                  <w:tcBorders>
                    <w:tl2br w:val="nil"/>
                    <w:tr2bl w:val="nil"/>
                  </w:tcBorders>
                  <w:noWrap w:val="0"/>
                  <w:vAlign w:val="center"/>
                </w:tcPr>
                <w:p w14:paraId="0F4052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未重新选址</w:t>
                  </w:r>
                </w:p>
              </w:tc>
              <w:tc>
                <w:tcPr>
                  <w:tcW w:w="733" w:type="pct"/>
                  <w:tcBorders>
                    <w:tl2br w:val="nil"/>
                    <w:tr2bl w:val="nil"/>
                  </w:tcBorders>
                  <w:noWrap w:val="0"/>
                  <w:vAlign w:val="center"/>
                </w:tcPr>
                <w:p w14:paraId="1351035F">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c>
                <w:tcPr>
                  <w:tcW w:w="599" w:type="pct"/>
                  <w:tcBorders>
                    <w:tl2br w:val="nil"/>
                    <w:tr2bl w:val="nil"/>
                  </w:tcBorders>
                  <w:noWrap w:val="0"/>
                  <w:vAlign w:val="center"/>
                </w:tcPr>
                <w:p w14:paraId="1B258C78">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r>
            <w:tr w14:paraId="08221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 w:type="pct"/>
                  <w:tcBorders>
                    <w:tl2br w:val="nil"/>
                    <w:tr2bl w:val="nil"/>
                  </w:tcBorders>
                  <w:noWrap w:val="0"/>
                  <w:vAlign w:val="center"/>
                </w:tcPr>
                <w:p w14:paraId="314CA5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6</w:t>
                  </w:r>
                </w:p>
              </w:tc>
              <w:tc>
                <w:tcPr>
                  <w:tcW w:w="1934" w:type="pct"/>
                  <w:tcBorders>
                    <w:tl2br w:val="nil"/>
                    <w:tr2bl w:val="nil"/>
                  </w:tcBorders>
                  <w:noWrap w:val="0"/>
                  <w:vAlign w:val="center"/>
                </w:tcPr>
                <w:p w14:paraId="527FFE69">
                  <w:pPr>
                    <w:pStyle w:val="17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heme="minorEastAsia" w:hAnsiTheme="minorEastAsia" w:eastAsiaTheme="minorEastAsia" w:cstheme="minorEastAsia"/>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生产工艺:新增产品品种或生产工艺（含主要生产装置、设备及配套设施）、主要原辅材料、燃料变化，导致以下情形之一：</w:t>
                  </w:r>
                  <w:r>
                    <w:rPr>
                      <w:rFonts w:hint="eastAsia" w:ascii="Times New Roman" w:hAnsi="Times New Roman" w:eastAsia="宋体" w:cs="Times New Roman"/>
                      <w:b w:val="0"/>
                      <w:bCs w:val="0"/>
                      <w:kern w:val="2"/>
                      <w:sz w:val="21"/>
                      <w:szCs w:val="21"/>
                      <w:highlight w:val="none"/>
                      <w:u w:val="single"/>
                      <w:lang w:val="en-US" w:eastAsia="zh-CN" w:bidi="ar-SA"/>
                    </w:rPr>
                    <w:br w:type="textWrapping"/>
                  </w:r>
                  <w:r>
                    <w:rPr>
                      <w:rFonts w:hint="eastAsia" w:ascii="Times New Roman" w:hAnsi="Times New Roman" w:eastAsia="宋体" w:cs="Times New Roman"/>
                      <w:b w:val="0"/>
                      <w:bCs w:val="0"/>
                      <w:kern w:val="2"/>
                      <w:sz w:val="21"/>
                      <w:szCs w:val="21"/>
                      <w:highlight w:val="none"/>
                      <w:u w:val="single"/>
                      <w:lang w:val="en-US" w:eastAsia="zh-CN" w:bidi="ar-SA"/>
                    </w:rPr>
                    <w:t>（1）新增排放污染物种类的（毒性、挥发性降低的除外）；</w:t>
                  </w:r>
                  <w:r>
                    <w:rPr>
                      <w:rFonts w:hint="eastAsia" w:ascii="Times New Roman" w:hAnsi="Times New Roman" w:eastAsia="宋体" w:cs="Times New Roman"/>
                      <w:b w:val="0"/>
                      <w:bCs w:val="0"/>
                      <w:kern w:val="2"/>
                      <w:sz w:val="21"/>
                      <w:szCs w:val="21"/>
                      <w:highlight w:val="none"/>
                      <w:u w:val="single"/>
                      <w:lang w:val="en-US" w:eastAsia="zh-CN" w:bidi="ar-SA"/>
                    </w:rPr>
                    <w:br w:type="textWrapping"/>
                  </w:r>
                  <w:r>
                    <w:rPr>
                      <w:rFonts w:hint="eastAsia" w:ascii="Times New Roman" w:hAnsi="Times New Roman" w:eastAsia="宋体" w:cs="Times New Roman"/>
                      <w:b w:val="0"/>
                      <w:bCs w:val="0"/>
                      <w:kern w:val="2"/>
                      <w:sz w:val="21"/>
                      <w:szCs w:val="21"/>
                      <w:highlight w:val="none"/>
                      <w:u w:val="single"/>
                      <w:lang w:val="en-US" w:eastAsia="zh-CN" w:bidi="ar-SA"/>
                    </w:rPr>
                    <w:t>（2）位于环境质量不达标区的建设项目相应污染物排放量增加的；</w:t>
                  </w:r>
                  <w:r>
                    <w:rPr>
                      <w:rFonts w:hint="eastAsia" w:ascii="Times New Roman" w:hAnsi="Times New Roman" w:eastAsia="宋体" w:cs="Times New Roman"/>
                      <w:b w:val="0"/>
                      <w:bCs w:val="0"/>
                      <w:kern w:val="2"/>
                      <w:sz w:val="21"/>
                      <w:szCs w:val="21"/>
                      <w:highlight w:val="none"/>
                      <w:u w:val="single"/>
                      <w:lang w:val="en-US" w:eastAsia="zh-CN" w:bidi="ar-SA"/>
                    </w:rPr>
                    <w:br w:type="textWrapping"/>
                  </w:r>
                  <w:r>
                    <w:rPr>
                      <w:rFonts w:hint="eastAsia" w:ascii="Times New Roman" w:hAnsi="Times New Roman" w:eastAsia="宋体" w:cs="Times New Roman"/>
                      <w:b w:val="0"/>
                      <w:bCs w:val="0"/>
                      <w:kern w:val="2"/>
                      <w:sz w:val="21"/>
                      <w:szCs w:val="21"/>
                      <w:highlight w:val="none"/>
                      <w:u w:val="single"/>
                      <w:lang w:val="en-US" w:eastAsia="zh-CN" w:bidi="ar-SA"/>
                    </w:rPr>
                    <w:t>（3）废水第一类污染物排放量增加的；</w:t>
                  </w:r>
                  <w:r>
                    <w:rPr>
                      <w:rFonts w:hint="eastAsia" w:ascii="Times New Roman" w:hAnsi="Times New Roman" w:eastAsia="宋体" w:cs="Times New Roman"/>
                      <w:b w:val="0"/>
                      <w:bCs w:val="0"/>
                      <w:kern w:val="2"/>
                      <w:sz w:val="21"/>
                      <w:szCs w:val="21"/>
                      <w:highlight w:val="none"/>
                      <w:u w:val="single"/>
                      <w:lang w:val="en-US" w:eastAsia="zh-CN" w:bidi="ar-SA"/>
                    </w:rPr>
                    <w:br w:type="textWrapping"/>
                  </w:r>
                  <w:r>
                    <w:rPr>
                      <w:rFonts w:hint="eastAsia" w:ascii="Times New Roman" w:hAnsi="Times New Roman" w:eastAsia="宋体" w:cs="Times New Roman"/>
                      <w:b w:val="0"/>
                      <w:bCs w:val="0"/>
                      <w:kern w:val="2"/>
                      <w:sz w:val="21"/>
                      <w:szCs w:val="21"/>
                      <w:highlight w:val="none"/>
                      <w:u w:val="single"/>
                      <w:lang w:val="en-US" w:eastAsia="zh-CN" w:bidi="ar-SA"/>
                    </w:rPr>
                    <w:t>（4）其他污染物排放量增加10%及以上的。</w:t>
                  </w:r>
                </w:p>
              </w:tc>
              <w:tc>
                <w:tcPr>
                  <w:tcW w:w="1448" w:type="pct"/>
                  <w:tcBorders>
                    <w:tl2br w:val="nil"/>
                    <w:tr2bl w:val="nil"/>
                  </w:tcBorders>
                  <w:noWrap w:val="0"/>
                  <w:vAlign w:val="center"/>
                </w:tcPr>
                <w:p w14:paraId="5ECA1E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新增清洗工序，涉及新增清洗废水；产能提升导致其他污染物排放量增加超10%以上</w:t>
                  </w:r>
                </w:p>
              </w:tc>
              <w:tc>
                <w:tcPr>
                  <w:tcW w:w="733" w:type="pct"/>
                  <w:tcBorders>
                    <w:tl2br w:val="nil"/>
                    <w:tr2bl w:val="nil"/>
                  </w:tcBorders>
                  <w:noWrap w:val="0"/>
                  <w:vAlign w:val="center"/>
                </w:tcPr>
                <w:p w14:paraId="09A76AA6">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u w:val="single"/>
                      <w:lang w:val="en-US" w:eastAsia="zh-CN"/>
                    </w:rPr>
                  </w:pPr>
                  <w:r>
                    <w:rPr>
                      <w:rFonts w:hint="eastAsia" w:ascii="Times New Roman" w:hAnsi="Times New Roman" w:eastAsia="宋体" w:cs="Times New Roman"/>
                      <w:b w:val="0"/>
                      <w:bCs w:val="0"/>
                      <w:kern w:val="2"/>
                      <w:sz w:val="21"/>
                      <w:szCs w:val="21"/>
                      <w:highlight w:val="none"/>
                      <w:u w:val="single"/>
                      <w:lang w:val="en-US" w:eastAsia="zh-CN" w:bidi="ar-SA"/>
                    </w:rPr>
                    <w:t>根据“三本账”计算，其他污染物排放量增加10%及以上的</w:t>
                  </w:r>
                </w:p>
              </w:tc>
              <w:tc>
                <w:tcPr>
                  <w:tcW w:w="599" w:type="pct"/>
                  <w:tcBorders>
                    <w:tl2br w:val="nil"/>
                    <w:tr2bl w:val="nil"/>
                  </w:tcBorders>
                  <w:noWrap w:val="0"/>
                  <w:vAlign w:val="center"/>
                </w:tcPr>
                <w:p w14:paraId="635A6C9D">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是</w:t>
                  </w:r>
                </w:p>
              </w:tc>
            </w:tr>
            <w:tr w14:paraId="4C3B15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83" w:type="pct"/>
                  <w:tcBorders>
                    <w:tl2br w:val="nil"/>
                    <w:tr2bl w:val="nil"/>
                  </w:tcBorders>
                  <w:noWrap w:val="0"/>
                  <w:vAlign w:val="center"/>
                </w:tcPr>
                <w:p w14:paraId="24787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7</w:t>
                  </w:r>
                </w:p>
              </w:tc>
              <w:tc>
                <w:tcPr>
                  <w:tcW w:w="1934" w:type="pct"/>
                  <w:tcBorders>
                    <w:tl2br w:val="nil"/>
                    <w:tr2bl w:val="nil"/>
                  </w:tcBorders>
                  <w:noWrap w:val="0"/>
                  <w:vAlign w:val="center"/>
                </w:tcPr>
                <w:p w14:paraId="4219B953">
                  <w:pPr>
                    <w:pStyle w:val="17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heme="minorEastAsia" w:hAnsiTheme="minorEastAsia" w:eastAsiaTheme="minorEastAsia" w:cstheme="minorEastAsia"/>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物料运输、装卸、贮存方式变化，导致大气污染物无组织排放量增加10%及以上的。</w:t>
                  </w:r>
                </w:p>
              </w:tc>
              <w:tc>
                <w:tcPr>
                  <w:tcW w:w="1448" w:type="pct"/>
                  <w:tcBorders>
                    <w:tl2br w:val="nil"/>
                    <w:tr2bl w:val="nil"/>
                  </w:tcBorders>
                  <w:noWrap w:val="0"/>
                  <w:vAlign w:val="center"/>
                </w:tcPr>
                <w:p w14:paraId="6434E4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不涉及</w:t>
                  </w:r>
                </w:p>
              </w:tc>
              <w:tc>
                <w:tcPr>
                  <w:tcW w:w="733" w:type="pct"/>
                  <w:tcBorders>
                    <w:tl2br w:val="nil"/>
                    <w:tr2bl w:val="nil"/>
                  </w:tcBorders>
                  <w:noWrap w:val="0"/>
                  <w:vAlign w:val="center"/>
                </w:tcPr>
                <w:p w14:paraId="626D750E">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c>
                <w:tcPr>
                  <w:tcW w:w="599" w:type="pct"/>
                  <w:tcBorders>
                    <w:tl2br w:val="nil"/>
                    <w:tr2bl w:val="nil"/>
                  </w:tcBorders>
                  <w:noWrap w:val="0"/>
                  <w:vAlign w:val="center"/>
                </w:tcPr>
                <w:p w14:paraId="273F2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r>
            <w:tr w14:paraId="33D249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 w:type="pct"/>
                  <w:tcBorders>
                    <w:tl2br w:val="nil"/>
                    <w:tr2bl w:val="nil"/>
                  </w:tcBorders>
                  <w:noWrap w:val="0"/>
                  <w:vAlign w:val="center"/>
                </w:tcPr>
                <w:p w14:paraId="118CA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8</w:t>
                  </w:r>
                </w:p>
              </w:tc>
              <w:tc>
                <w:tcPr>
                  <w:tcW w:w="1934" w:type="pct"/>
                  <w:tcBorders>
                    <w:tl2br w:val="nil"/>
                    <w:tr2bl w:val="nil"/>
                  </w:tcBorders>
                  <w:noWrap w:val="0"/>
                  <w:vAlign w:val="center"/>
                </w:tcPr>
                <w:p w14:paraId="18CB296B">
                  <w:pPr>
                    <w:pStyle w:val="17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Times New Roman"/>
                      <w:b w:val="0"/>
                      <w:bCs w:val="0"/>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环境保护措施:废气、废水污染防治措施变化，导致第6条中所列情形之一（废气无组织排放改为有组织排放、污染防治措施强化或改进的除外）或大气污染物无组织排放量增加10%及以上的。</w:t>
                  </w:r>
                </w:p>
              </w:tc>
              <w:tc>
                <w:tcPr>
                  <w:tcW w:w="1448" w:type="pct"/>
                  <w:tcBorders>
                    <w:tl2br w:val="nil"/>
                    <w:tr2bl w:val="nil"/>
                  </w:tcBorders>
                  <w:noWrap w:val="0"/>
                  <w:vAlign w:val="center"/>
                </w:tcPr>
                <w:p w14:paraId="44552B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不涉及</w:t>
                  </w:r>
                </w:p>
              </w:tc>
              <w:tc>
                <w:tcPr>
                  <w:tcW w:w="733" w:type="pct"/>
                  <w:tcBorders>
                    <w:tl2br w:val="nil"/>
                    <w:tr2bl w:val="nil"/>
                  </w:tcBorders>
                  <w:noWrap w:val="0"/>
                  <w:vAlign w:val="center"/>
                </w:tcPr>
                <w:p w14:paraId="1BC69921">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c>
                <w:tcPr>
                  <w:tcW w:w="599" w:type="pct"/>
                  <w:tcBorders>
                    <w:tl2br w:val="nil"/>
                    <w:tr2bl w:val="nil"/>
                  </w:tcBorders>
                  <w:noWrap w:val="0"/>
                  <w:vAlign w:val="center"/>
                </w:tcPr>
                <w:p w14:paraId="0AE899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r>
            <w:tr w14:paraId="6C134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 w:type="pct"/>
                  <w:tcBorders>
                    <w:tl2br w:val="nil"/>
                    <w:tr2bl w:val="nil"/>
                  </w:tcBorders>
                  <w:noWrap w:val="0"/>
                  <w:vAlign w:val="center"/>
                </w:tcPr>
                <w:p w14:paraId="6341CE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9</w:t>
                  </w:r>
                </w:p>
              </w:tc>
              <w:tc>
                <w:tcPr>
                  <w:tcW w:w="1934" w:type="pct"/>
                  <w:tcBorders>
                    <w:tl2br w:val="nil"/>
                    <w:tr2bl w:val="nil"/>
                  </w:tcBorders>
                  <w:noWrap w:val="0"/>
                  <w:vAlign w:val="center"/>
                </w:tcPr>
                <w:p w14:paraId="4B8E2184">
                  <w:pPr>
                    <w:pStyle w:val="17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heme="minorEastAsia" w:hAnsiTheme="minorEastAsia" w:eastAsiaTheme="minorEastAsia" w:cstheme="minorEastAsia"/>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新增废水直接排放口；废水由间接排放改为直接排放；废水直接排放口位置变化，导致不利环境影响加重的。</w:t>
                  </w:r>
                </w:p>
              </w:tc>
              <w:tc>
                <w:tcPr>
                  <w:tcW w:w="1448" w:type="pct"/>
                  <w:tcBorders>
                    <w:tl2br w:val="nil"/>
                    <w:tr2bl w:val="nil"/>
                  </w:tcBorders>
                  <w:noWrap w:val="0"/>
                  <w:vAlign w:val="center"/>
                </w:tcPr>
                <w:p w14:paraId="2087F5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不涉及</w:t>
                  </w:r>
                </w:p>
              </w:tc>
              <w:tc>
                <w:tcPr>
                  <w:tcW w:w="733" w:type="pct"/>
                  <w:tcBorders>
                    <w:tl2br w:val="nil"/>
                    <w:tr2bl w:val="nil"/>
                  </w:tcBorders>
                  <w:noWrap w:val="0"/>
                  <w:vAlign w:val="center"/>
                </w:tcPr>
                <w:p w14:paraId="63A6FDEB">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c>
                <w:tcPr>
                  <w:tcW w:w="599" w:type="pct"/>
                  <w:tcBorders>
                    <w:tl2br w:val="nil"/>
                    <w:tr2bl w:val="nil"/>
                  </w:tcBorders>
                  <w:noWrap w:val="0"/>
                  <w:vAlign w:val="center"/>
                </w:tcPr>
                <w:p w14:paraId="67EB6D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r>
            <w:tr w14:paraId="089D8B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 w:type="pct"/>
                  <w:tcBorders>
                    <w:tl2br w:val="nil"/>
                    <w:tr2bl w:val="nil"/>
                  </w:tcBorders>
                  <w:noWrap w:val="0"/>
                  <w:vAlign w:val="center"/>
                </w:tcPr>
                <w:p w14:paraId="765DE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10</w:t>
                  </w:r>
                </w:p>
              </w:tc>
              <w:tc>
                <w:tcPr>
                  <w:tcW w:w="1934" w:type="pct"/>
                  <w:tcBorders>
                    <w:tl2br w:val="nil"/>
                    <w:tr2bl w:val="nil"/>
                  </w:tcBorders>
                  <w:noWrap w:val="0"/>
                  <w:vAlign w:val="center"/>
                </w:tcPr>
                <w:p w14:paraId="1379D8E5">
                  <w:pPr>
                    <w:pStyle w:val="17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heme="minorEastAsia" w:hAnsiTheme="minorEastAsia" w:eastAsiaTheme="minorEastAsia" w:cstheme="minorEastAsia"/>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新增废气主要排放口（废气无组织排放改为有组织排放的除外）；主要排放口排气筒高度降低10%及以上的。</w:t>
                  </w:r>
                </w:p>
              </w:tc>
              <w:tc>
                <w:tcPr>
                  <w:tcW w:w="1448" w:type="pct"/>
                  <w:tcBorders>
                    <w:tl2br w:val="nil"/>
                    <w:tr2bl w:val="nil"/>
                  </w:tcBorders>
                  <w:noWrap w:val="0"/>
                  <w:vAlign w:val="center"/>
                </w:tcPr>
                <w:p w14:paraId="1C0D1B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不涉及</w:t>
                  </w:r>
                </w:p>
              </w:tc>
              <w:tc>
                <w:tcPr>
                  <w:tcW w:w="733" w:type="pct"/>
                  <w:tcBorders>
                    <w:tl2br w:val="nil"/>
                    <w:tr2bl w:val="nil"/>
                  </w:tcBorders>
                  <w:noWrap w:val="0"/>
                  <w:vAlign w:val="center"/>
                </w:tcPr>
                <w:p w14:paraId="4726FF92">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c>
                <w:tcPr>
                  <w:tcW w:w="599" w:type="pct"/>
                  <w:tcBorders>
                    <w:tl2br w:val="nil"/>
                    <w:tr2bl w:val="nil"/>
                  </w:tcBorders>
                  <w:noWrap w:val="0"/>
                  <w:vAlign w:val="center"/>
                </w:tcPr>
                <w:p w14:paraId="68A0C8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r>
            <w:tr w14:paraId="3B6EB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 w:type="pct"/>
                  <w:tcBorders>
                    <w:tl2br w:val="nil"/>
                    <w:tr2bl w:val="nil"/>
                  </w:tcBorders>
                  <w:noWrap w:val="0"/>
                  <w:vAlign w:val="center"/>
                </w:tcPr>
                <w:p w14:paraId="2458C5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11</w:t>
                  </w:r>
                </w:p>
              </w:tc>
              <w:tc>
                <w:tcPr>
                  <w:tcW w:w="1934" w:type="pct"/>
                  <w:tcBorders>
                    <w:tl2br w:val="nil"/>
                    <w:tr2bl w:val="nil"/>
                  </w:tcBorders>
                  <w:noWrap w:val="0"/>
                  <w:vAlign w:val="center"/>
                </w:tcPr>
                <w:p w14:paraId="6F3C8BB8">
                  <w:pPr>
                    <w:pStyle w:val="17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heme="minorEastAsia" w:hAnsiTheme="minorEastAsia" w:eastAsiaTheme="minorEastAsia" w:cstheme="minorEastAsia"/>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噪声、土壤或地下水污染防治措施变化，导致不利环境影响加重的。</w:t>
                  </w:r>
                </w:p>
              </w:tc>
              <w:tc>
                <w:tcPr>
                  <w:tcW w:w="1448" w:type="pct"/>
                  <w:tcBorders>
                    <w:tl2br w:val="nil"/>
                    <w:tr2bl w:val="nil"/>
                  </w:tcBorders>
                  <w:noWrap w:val="0"/>
                  <w:vAlign w:val="center"/>
                </w:tcPr>
                <w:p w14:paraId="72F8C8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不涉及</w:t>
                  </w:r>
                </w:p>
              </w:tc>
              <w:tc>
                <w:tcPr>
                  <w:tcW w:w="733" w:type="pct"/>
                  <w:tcBorders>
                    <w:tl2br w:val="nil"/>
                    <w:tr2bl w:val="nil"/>
                  </w:tcBorders>
                  <w:noWrap w:val="0"/>
                  <w:vAlign w:val="center"/>
                </w:tcPr>
                <w:p w14:paraId="6E328824">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c>
                <w:tcPr>
                  <w:tcW w:w="599" w:type="pct"/>
                  <w:tcBorders>
                    <w:tl2br w:val="nil"/>
                    <w:tr2bl w:val="nil"/>
                  </w:tcBorders>
                  <w:noWrap w:val="0"/>
                  <w:vAlign w:val="center"/>
                </w:tcPr>
                <w:p w14:paraId="01999C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r>
            <w:tr w14:paraId="116E6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 w:type="pct"/>
                  <w:tcBorders>
                    <w:tl2br w:val="nil"/>
                    <w:tr2bl w:val="nil"/>
                  </w:tcBorders>
                  <w:noWrap w:val="0"/>
                  <w:vAlign w:val="center"/>
                </w:tcPr>
                <w:p w14:paraId="0B3A3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12</w:t>
                  </w:r>
                </w:p>
              </w:tc>
              <w:tc>
                <w:tcPr>
                  <w:tcW w:w="1934" w:type="pct"/>
                  <w:tcBorders>
                    <w:tl2br w:val="nil"/>
                    <w:tr2bl w:val="nil"/>
                  </w:tcBorders>
                  <w:noWrap w:val="0"/>
                  <w:vAlign w:val="center"/>
                </w:tcPr>
                <w:p w14:paraId="0BF9030E">
                  <w:pPr>
                    <w:pStyle w:val="17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Times New Roman"/>
                      <w:b w:val="0"/>
                      <w:bCs w:val="0"/>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固体废物利用处置方式由委托外单位利用处置改为自行利用处置的（自行利用处置设施单独开展环境影响评价的除外）；固体废物自行处置方式变化，导致不利环境影响加重的。</w:t>
                  </w:r>
                </w:p>
              </w:tc>
              <w:tc>
                <w:tcPr>
                  <w:tcW w:w="1448" w:type="pct"/>
                  <w:tcBorders>
                    <w:tl2br w:val="nil"/>
                    <w:tr2bl w:val="nil"/>
                  </w:tcBorders>
                  <w:noWrap w:val="0"/>
                  <w:vAlign w:val="center"/>
                </w:tcPr>
                <w:p w14:paraId="0C7D17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不涉及</w:t>
                  </w:r>
                </w:p>
              </w:tc>
              <w:tc>
                <w:tcPr>
                  <w:tcW w:w="733" w:type="pct"/>
                  <w:tcBorders>
                    <w:tl2br w:val="nil"/>
                    <w:tr2bl w:val="nil"/>
                  </w:tcBorders>
                  <w:noWrap w:val="0"/>
                  <w:vAlign w:val="center"/>
                </w:tcPr>
                <w:p w14:paraId="24AC9BD0">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c>
                <w:tcPr>
                  <w:tcW w:w="599" w:type="pct"/>
                  <w:tcBorders>
                    <w:tl2br w:val="nil"/>
                    <w:tr2bl w:val="nil"/>
                  </w:tcBorders>
                  <w:noWrap w:val="0"/>
                  <w:vAlign w:val="center"/>
                </w:tcPr>
                <w:p w14:paraId="7F3382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r>
            <w:tr w14:paraId="0AA4E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 w:type="pct"/>
                  <w:tcBorders>
                    <w:tl2br w:val="nil"/>
                    <w:tr2bl w:val="nil"/>
                  </w:tcBorders>
                  <w:noWrap w:val="0"/>
                  <w:vAlign w:val="center"/>
                </w:tcPr>
                <w:p w14:paraId="74B2C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13</w:t>
                  </w:r>
                </w:p>
              </w:tc>
              <w:tc>
                <w:tcPr>
                  <w:tcW w:w="1934" w:type="pct"/>
                  <w:tcBorders>
                    <w:tl2br w:val="nil"/>
                    <w:tr2bl w:val="nil"/>
                  </w:tcBorders>
                  <w:noWrap w:val="0"/>
                  <w:vAlign w:val="center"/>
                </w:tcPr>
                <w:p w14:paraId="60821060">
                  <w:pPr>
                    <w:pStyle w:val="17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Times New Roman"/>
                      <w:b w:val="0"/>
                      <w:bCs w:val="0"/>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highlight w:val="none"/>
                      <w:u w:val="single"/>
                      <w:lang w:val="en-US" w:eastAsia="zh-CN" w:bidi="ar-SA"/>
                    </w:rPr>
                    <w:t>事故废水暂存能力或拦截设施变化，导致环境风险防范能力弱化或降低的。</w:t>
                  </w:r>
                </w:p>
              </w:tc>
              <w:tc>
                <w:tcPr>
                  <w:tcW w:w="1448" w:type="pct"/>
                  <w:tcBorders>
                    <w:tl2br w:val="nil"/>
                    <w:tr2bl w:val="nil"/>
                  </w:tcBorders>
                  <w:noWrap w:val="0"/>
                  <w:vAlign w:val="center"/>
                </w:tcPr>
                <w:p w14:paraId="643E4A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不涉及</w:t>
                  </w:r>
                </w:p>
              </w:tc>
              <w:tc>
                <w:tcPr>
                  <w:tcW w:w="733" w:type="pct"/>
                  <w:tcBorders>
                    <w:tl2br w:val="nil"/>
                    <w:tr2bl w:val="nil"/>
                  </w:tcBorders>
                  <w:noWrap w:val="0"/>
                  <w:vAlign w:val="center"/>
                </w:tcPr>
                <w:p w14:paraId="5B69D6A7">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c>
                <w:tcPr>
                  <w:tcW w:w="599" w:type="pct"/>
                  <w:tcBorders>
                    <w:tl2br w:val="nil"/>
                    <w:tr2bl w:val="nil"/>
                  </w:tcBorders>
                  <w:noWrap w:val="0"/>
                  <w:vAlign w:val="center"/>
                </w:tcPr>
                <w:p w14:paraId="2AE9D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 w:val="0"/>
                      <w:bCs w:val="0"/>
                      <w:sz w:val="21"/>
                      <w:szCs w:val="21"/>
                      <w:highlight w:val="none"/>
                      <w:u w:val="single"/>
                      <w:lang w:val="en-US" w:eastAsia="zh-CN"/>
                    </w:rPr>
                  </w:pPr>
                  <w:r>
                    <w:rPr>
                      <w:rFonts w:hint="eastAsia"/>
                      <w:b w:val="0"/>
                      <w:bCs w:val="0"/>
                      <w:sz w:val="21"/>
                      <w:szCs w:val="21"/>
                      <w:highlight w:val="none"/>
                      <w:u w:val="single"/>
                      <w:lang w:val="en-US" w:eastAsia="zh-CN"/>
                    </w:rPr>
                    <w:t>/</w:t>
                  </w:r>
                </w:p>
              </w:tc>
            </w:tr>
          </w:tbl>
          <w:p w14:paraId="33C77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u w:val="single"/>
                <w:lang w:val="en-US" w:eastAsia="zh-CN" w:bidi="ar-SA"/>
              </w:rPr>
            </w:pPr>
            <w:r>
              <w:rPr>
                <w:rFonts w:hint="eastAsia" w:cs="Times New Roman"/>
                <w:color w:val="auto"/>
                <w:kern w:val="2"/>
                <w:sz w:val="24"/>
                <w:szCs w:val="24"/>
                <w:highlight w:val="none"/>
                <w:u w:val="single"/>
                <w:lang w:val="en-US" w:eastAsia="zh-CN" w:bidi="ar-SA"/>
              </w:rPr>
              <w:t>根据</w:t>
            </w:r>
            <w:r>
              <w:rPr>
                <w:rFonts w:hint="eastAsia" w:ascii="Times New Roman" w:hAnsi="Times New Roman" w:eastAsia="宋体" w:cs="Times New Roman"/>
                <w:color w:val="auto"/>
                <w:kern w:val="2"/>
                <w:sz w:val="24"/>
                <w:szCs w:val="24"/>
                <w:highlight w:val="none"/>
                <w:u w:val="single"/>
                <w:lang w:val="en-US" w:eastAsia="zh-CN" w:bidi="ar-SA"/>
              </w:rPr>
              <w:t>《污染影响类建设项目重大变动清单（试行）》（环办环评函〔2020〕688号</w:t>
            </w:r>
            <w:r>
              <w:rPr>
                <w:rFonts w:hint="eastAsia" w:cs="Times New Roman"/>
                <w:color w:val="auto"/>
                <w:kern w:val="2"/>
                <w:sz w:val="24"/>
                <w:szCs w:val="24"/>
                <w:highlight w:val="none"/>
                <w:u w:val="single"/>
                <w:lang w:val="en-US" w:eastAsia="zh-CN" w:bidi="ar-SA"/>
              </w:rPr>
              <w:t>文，本项目涉及第2条、第6条，属于重大变动，应当重新编制环境影响报告表送管理部门重新报批。</w:t>
            </w:r>
          </w:p>
          <w:p w14:paraId="6E2DD0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根据《中华人民共和国环境保护法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中华人民共和国环境影响评价法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建设项目环境保护管理条例》的有关条款的规定，本项目</w:t>
            </w:r>
            <w:r>
              <w:rPr>
                <w:rFonts w:hint="eastAsia" w:cs="Times New Roman"/>
                <w:color w:val="auto"/>
                <w:kern w:val="2"/>
                <w:sz w:val="24"/>
                <w:szCs w:val="24"/>
                <w:highlight w:val="none"/>
                <w:lang w:val="en-US" w:eastAsia="zh-CN" w:bidi="ar-SA"/>
              </w:rPr>
              <w:t>重新报批</w:t>
            </w:r>
            <w:r>
              <w:rPr>
                <w:rFonts w:hint="default" w:ascii="Times New Roman" w:hAnsi="Times New Roman" w:eastAsia="宋体" w:cs="Times New Roman"/>
                <w:color w:val="auto"/>
                <w:kern w:val="2"/>
                <w:sz w:val="24"/>
                <w:szCs w:val="24"/>
                <w:highlight w:val="none"/>
                <w:lang w:val="en-US" w:eastAsia="zh-CN" w:bidi="ar-SA"/>
              </w:rPr>
              <w:t>环境影响评价工作。</w:t>
            </w:r>
            <w:r>
              <w:rPr>
                <w:rFonts w:hint="eastAsia" w:ascii="Times New Roman" w:hAnsi="Times New Roman" w:eastAsia="宋体" w:cs="Times New Roman"/>
                <w:color w:val="auto"/>
                <w:kern w:val="2"/>
                <w:sz w:val="24"/>
                <w:szCs w:val="24"/>
                <w:highlight w:val="none"/>
                <w:lang w:val="en-US" w:eastAsia="zh-CN" w:bidi="ar-SA"/>
              </w:rPr>
              <w:t>项目为C3489其他通用零部件制造工艺涉及C3360金属表面处理及热处理加工，</w:t>
            </w:r>
            <w:r>
              <w:rPr>
                <w:rFonts w:hint="default" w:ascii="Times New Roman" w:hAnsi="Times New Roman" w:eastAsia="宋体" w:cs="Times New Roman"/>
                <w:color w:val="auto"/>
                <w:kern w:val="2"/>
                <w:sz w:val="24"/>
                <w:szCs w:val="24"/>
                <w:highlight w:val="none"/>
                <w:lang w:val="en-US" w:eastAsia="zh-CN" w:bidi="ar-SA"/>
              </w:rPr>
              <w:t>对照《建设项目环境影响评价分类管理名录》（2021年版）</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本项目属于其中（</w:t>
            </w:r>
            <w:r>
              <w:rPr>
                <w:rFonts w:hint="eastAsia" w:ascii="Times New Roman" w:hAnsi="Times New Roman" w:eastAsia="宋体" w:cs="Times New Roman"/>
                <w:color w:val="auto"/>
                <w:kern w:val="2"/>
                <w:sz w:val="24"/>
                <w:szCs w:val="24"/>
                <w:highlight w:val="none"/>
                <w:lang w:val="en-US" w:eastAsia="zh-CN" w:bidi="ar-SA"/>
              </w:rPr>
              <w:t>三十</w:t>
            </w:r>
            <w:r>
              <w:rPr>
                <w:rFonts w:hint="default" w:ascii="Times New Roman" w:hAnsi="Times New Roman" w:eastAsia="宋体" w:cs="Times New Roman"/>
                <w:color w:val="auto"/>
                <w:kern w:val="2"/>
                <w:sz w:val="24"/>
                <w:szCs w:val="24"/>
                <w:highlight w:val="none"/>
                <w:lang w:val="en-US" w:eastAsia="zh-CN" w:bidi="ar-SA"/>
              </w:rPr>
              <w:t>、金属制品业 33</w:t>
            </w:r>
            <w:r>
              <w:rPr>
                <w:rFonts w:hint="eastAsia" w:ascii="Times New Roman" w:hAnsi="Times New Roman" w:eastAsia="宋体" w:cs="Times New Roman"/>
                <w:color w:val="auto"/>
                <w:kern w:val="2"/>
                <w:sz w:val="24"/>
                <w:szCs w:val="24"/>
                <w:highlight w:val="none"/>
                <w:lang w:val="en-US" w:eastAsia="zh-CN" w:bidi="ar-SA"/>
              </w:rPr>
              <w:t xml:space="preserve"> 金属表面处理及热处理加工 其他类；三十一、通用零部件制造 348 其他类）</w:t>
            </w:r>
            <w:r>
              <w:rPr>
                <w:rFonts w:hint="default" w:ascii="Times New Roman" w:hAnsi="Times New Roman" w:eastAsia="宋体" w:cs="Times New Roman"/>
                <w:color w:val="auto"/>
                <w:kern w:val="2"/>
                <w:sz w:val="24"/>
                <w:szCs w:val="24"/>
                <w:highlight w:val="none"/>
                <w:lang w:val="en-US" w:eastAsia="zh-CN" w:bidi="ar-SA"/>
              </w:rPr>
              <w:t>，应编制</w:t>
            </w:r>
            <w:r>
              <w:rPr>
                <w:rFonts w:hint="eastAsia" w:ascii="Times New Roman" w:hAnsi="Times New Roman" w:eastAsia="宋体" w:cs="Times New Roman"/>
                <w:color w:val="auto"/>
                <w:kern w:val="2"/>
                <w:sz w:val="24"/>
                <w:szCs w:val="24"/>
                <w:highlight w:val="none"/>
                <w:lang w:val="en-US" w:eastAsia="zh-CN" w:bidi="ar-SA"/>
              </w:rPr>
              <w:t>环境</w:t>
            </w:r>
            <w:r>
              <w:rPr>
                <w:rFonts w:hint="default" w:ascii="Times New Roman" w:hAnsi="Times New Roman" w:eastAsia="宋体" w:cs="Times New Roman"/>
                <w:color w:val="auto"/>
                <w:kern w:val="2"/>
                <w:sz w:val="24"/>
                <w:szCs w:val="24"/>
                <w:highlight w:val="none"/>
                <w:lang w:val="en-US" w:eastAsia="zh-CN" w:bidi="ar-SA"/>
              </w:rPr>
              <w:t>影响报告表。</w:t>
            </w:r>
            <w:r>
              <w:rPr>
                <w:rFonts w:hint="eastAsia" w:ascii="Times New Roman" w:hAnsi="Times New Roman" w:eastAsia="宋体" w:cs="Times New Roman"/>
                <w:color w:val="auto"/>
                <w:kern w:val="2"/>
                <w:sz w:val="24"/>
                <w:szCs w:val="24"/>
                <w:highlight w:val="none"/>
                <w:lang w:val="en-US" w:eastAsia="zh-CN" w:bidi="ar-SA"/>
              </w:rPr>
              <w:t>受湖南</w:t>
            </w:r>
            <w:r>
              <w:rPr>
                <w:rFonts w:hint="default" w:ascii="Times New Roman" w:hAnsi="Times New Roman" w:eastAsia="宋体" w:cs="Times New Roman"/>
                <w:color w:val="auto"/>
                <w:kern w:val="2"/>
                <w:sz w:val="24"/>
                <w:szCs w:val="24"/>
                <w:highlight w:val="none"/>
                <w:lang w:val="en-US" w:eastAsia="zh-CN" w:bidi="ar-SA"/>
              </w:rPr>
              <w:t>昊志传动</w:t>
            </w:r>
            <w:r>
              <w:rPr>
                <w:rFonts w:hint="eastAsia" w:ascii="Times New Roman" w:hAnsi="Times New Roman" w:eastAsia="宋体" w:cs="Times New Roman"/>
                <w:color w:val="auto"/>
                <w:kern w:val="2"/>
                <w:sz w:val="24"/>
                <w:szCs w:val="24"/>
                <w:highlight w:val="none"/>
                <w:lang w:val="en-US" w:eastAsia="zh-CN" w:bidi="ar-SA"/>
              </w:rPr>
              <w:t>机械有限公司</w:t>
            </w:r>
            <w:r>
              <w:rPr>
                <w:rFonts w:hint="default" w:ascii="Times New Roman" w:hAnsi="Times New Roman" w:eastAsia="宋体" w:cs="Times New Roman"/>
                <w:color w:val="auto"/>
                <w:kern w:val="2"/>
                <w:sz w:val="24"/>
                <w:szCs w:val="24"/>
                <w:highlight w:val="none"/>
                <w:lang w:val="en-US" w:eastAsia="zh-CN" w:bidi="ar-SA"/>
              </w:rPr>
              <w:t>委托</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湖南</w:t>
            </w:r>
            <w:r>
              <w:rPr>
                <w:rFonts w:hint="eastAsia" w:ascii="Times New Roman" w:hAnsi="Times New Roman" w:eastAsia="宋体" w:cs="Times New Roman"/>
                <w:color w:val="auto"/>
                <w:kern w:val="2"/>
                <w:sz w:val="24"/>
                <w:szCs w:val="24"/>
                <w:highlight w:val="none"/>
                <w:lang w:val="en-US" w:eastAsia="zh-CN" w:bidi="ar-SA"/>
              </w:rPr>
              <w:t>星瑾怡</w:t>
            </w:r>
            <w:r>
              <w:rPr>
                <w:rFonts w:hint="default" w:ascii="Times New Roman" w:hAnsi="Times New Roman" w:eastAsia="宋体" w:cs="Times New Roman"/>
                <w:color w:val="auto"/>
                <w:kern w:val="2"/>
                <w:sz w:val="24"/>
                <w:szCs w:val="24"/>
                <w:highlight w:val="none"/>
                <w:lang w:val="en-US" w:eastAsia="zh-CN" w:bidi="ar-SA"/>
              </w:rPr>
              <w:t>环保</w:t>
            </w:r>
            <w:r>
              <w:rPr>
                <w:rFonts w:hint="eastAsia" w:ascii="Times New Roman" w:hAnsi="Times New Roman" w:eastAsia="宋体" w:cs="Times New Roman"/>
                <w:color w:val="auto"/>
                <w:kern w:val="2"/>
                <w:sz w:val="24"/>
                <w:szCs w:val="24"/>
                <w:highlight w:val="none"/>
                <w:lang w:val="en-US" w:eastAsia="zh-CN" w:bidi="ar-SA"/>
              </w:rPr>
              <w:t>科技</w:t>
            </w:r>
            <w:r>
              <w:rPr>
                <w:rFonts w:hint="default" w:ascii="Times New Roman" w:hAnsi="Times New Roman" w:eastAsia="宋体" w:cs="Times New Roman"/>
                <w:color w:val="auto"/>
                <w:kern w:val="2"/>
                <w:sz w:val="24"/>
                <w:szCs w:val="24"/>
                <w:highlight w:val="none"/>
                <w:lang w:val="en-US" w:eastAsia="zh-CN" w:bidi="ar-SA"/>
              </w:rPr>
              <w:t>有限公司对</w:t>
            </w:r>
            <w:r>
              <w:rPr>
                <w:rFonts w:hint="eastAsia" w:ascii="Times New Roman" w:hAnsi="Times New Roman" w:eastAsia="宋体" w:cs="Times New Roman"/>
                <w:color w:val="auto"/>
                <w:kern w:val="2"/>
                <w:sz w:val="24"/>
                <w:szCs w:val="24"/>
                <w:highlight w:val="none"/>
                <w:lang w:val="en-US" w:eastAsia="zh-CN" w:bidi="ar-SA"/>
              </w:rPr>
              <w:t>“昊志高端装备智能制造项目</w:t>
            </w:r>
            <w:r>
              <w:rPr>
                <w:rFonts w:hint="eastAsia" w:cs="Times New Roman"/>
                <w:color w:val="auto"/>
                <w:kern w:val="2"/>
                <w:sz w:val="24"/>
                <w:szCs w:val="24"/>
                <w:highlight w:val="none"/>
                <w:lang w:val="en-US" w:eastAsia="zh-CN" w:bidi="ar-SA"/>
              </w:rPr>
              <w:t>（一期）重大变动</w:t>
            </w:r>
            <w:r>
              <w:rPr>
                <w:rFonts w:hint="eastAsia" w:ascii="Times New Roman" w:hAnsi="Times New Roman" w:eastAsia="宋体" w:cs="Times New Roman"/>
                <w:color w:val="auto"/>
                <w:kern w:val="2"/>
                <w:sz w:val="24"/>
                <w:szCs w:val="24"/>
                <w:highlight w:val="none"/>
                <w:lang w:val="en-US" w:eastAsia="zh-CN" w:bidi="ar-SA"/>
              </w:rPr>
              <w:t>”进</w:t>
            </w:r>
            <w:r>
              <w:rPr>
                <w:rFonts w:hint="default" w:ascii="Times New Roman" w:hAnsi="Times New Roman" w:eastAsia="宋体" w:cs="Times New Roman"/>
                <w:color w:val="auto"/>
                <w:kern w:val="2"/>
                <w:sz w:val="24"/>
                <w:szCs w:val="24"/>
                <w:highlight w:val="none"/>
                <w:lang w:val="en-US" w:eastAsia="zh-CN" w:bidi="ar-SA"/>
              </w:rPr>
              <w:t>行环境影响评价，编制环境影响报告表，作为环保部门管理该项目的依据。本单位接受委托后，组织技术人员进行了现场踏勘、资料收集等工作。我单位严格按照《建设项目环境影响报告表编制技术指南（污染影响类）（试行）》等相关要求编制完成了</w:t>
            </w:r>
            <w:r>
              <w:rPr>
                <w:rFonts w:hint="eastAsia" w:ascii="Times New Roman" w:hAnsi="Times New Roman" w:eastAsia="宋体" w:cs="Times New Roman"/>
                <w:color w:val="auto"/>
                <w:kern w:val="2"/>
                <w:sz w:val="24"/>
                <w:szCs w:val="24"/>
                <w:highlight w:val="none"/>
                <w:lang w:val="en-US" w:eastAsia="zh-CN" w:bidi="ar-SA"/>
              </w:rPr>
              <w:t>本</w:t>
            </w:r>
            <w:r>
              <w:rPr>
                <w:rFonts w:hint="default" w:ascii="Times New Roman" w:hAnsi="Times New Roman" w:eastAsia="宋体" w:cs="Times New Roman"/>
                <w:color w:val="auto"/>
                <w:kern w:val="2"/>
                <w:sz w:val="24"/>
                <w:szCs w:val="24"/>
                <w:highlight w:val="none"/>
                <w:lang w:val="en-US" w:eastAsia="zh-CN" w:bidi="ar-SA"/>
              </w:rPr>
              <w:t>项目的环境影响报告表报请生态环境主管部门审批，以期为项目的实施和管理提供依据。</w:t>
            </w:r>
          </w:p>
          <w:p w14:paraId="48D91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2、基本情况</w:t>
            </w:r>
          </w:p>
          <w:p w14:paraId="5FF09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项目名称：</w:t>
            </w:r>
            <w:r>
              <w:rPr>
                <w:rFonts w:hint="eastAsia" w:ascii="Times New Roman" w:hAnsi="Times New Roman" w:eastAsia="宋体" w:cs="Times New Roman"/>
                <w:color w:val="auto"/>
                <w:sz w:val="24"/>
                <w:szCs w:val="24"/>
                <w:highlight w:val="none"/>
                <w:lang w:val="en-US" w:eastAsia="zh-CN"/>
              </w:rPr>
              <w:t>昊志高端装备智能制造项目</w:t>
            </w:r>
            <w:r>
              <w:rPr>
                <w:rFonts w:hint="eastAsia" w:cs="Times New Roman"/>
                <w:color w:val="auto"/>
                <w:sz w:val="24"/>
                <w:szCs w:val="24"/>
                <w:highlight w:val="none"/>
                <w:lang w:val="en-US" w:eastAsia="zh-CN"/>
              </w:rPr>
              <w:t>（一期变更）</w:t>
            </w:r>
          </w:p>
          <w:p w14:paraId="6E9EF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建设单位：</w:t>
            </w:r>
            <w:r>
              <w:rPr>
                <w:rFonts w:hint="eastAsia" w:ascii="Times New Roman" w:hAnsi="Times New Roman" w:eastAsia="宋体" w:cs="Times New Roman"/>
                <w:color w:val="auto"/>
                <w:kern w:val="2"/>
                <w:sz w:val="24"/>
                <w:szCs w:val="24"/>
                <w:highlight w:val="none"/>
                <w:lang w:val="en-US" w:eastAsia="zh-CN" w:bidi="ar-SA"/>
              </w:rPr>
              <w:t>湖南昊志传动机械有限公司</w:t>
            </w:r>
          </w:p>
          <w:p w14:paraId="76D473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建设地点：</w:t>
            </w:r>
            <w:r>
              <w:rPr>
                <w:rFonts w:hint="eastAsia" w:ascii="Times New Roman" w:hAnsi="Times New Roman" w:eastAsia="宋体" w:cs="Times New Roman"/>
                <w:color w:val="auto"/>
                <w:kern w:val="0"/>
                <w:sz w:val="24"/>
                <w:szCs w:val="24"/>
                <w:u w:val="none" w:color="auto"/>
                <w:lang w:val="en-US" w:eastAsia="zh-CN"/>
              </w:rPr>
              <w:t>湘阴县湘阴高新技术产业开发区洋沙湖片区</w:t>
            </w:r>
            <w:r>
              <w:rPr>
                <w:rFonts w:hint="eastAsia" w:ascii="Times New Roman" w:hAnsi="Times New Roman" w:eastAsia="宋体" w:cs="Times New Roman"/>
                <w:color w:val="auto"/>
                <w:sz w:val="24"/>
                <w:szCs w:val="24"/>
                <w:highlight w:val="none"/>
                <w:lang w:val="en-US" w:eastAsia="zh-CN"/>
              </w:rPr>
              <w:t>健铭大道198</w:t>
            </w:r>
            <w:r>
              <w:rPr>
                <w:rFonts w:hint="eastAsia" w:ascii="Times New Roman" w:hAnsi="Times New Roman" w:eastAsia="宋体" w:cs="Times New Roman"/>
                <w:color w:val="auto"/>
                <w:sz w:val="24"/>
                <w:szCs w:val="24"/>
                <w:highlight w:val="none"/>
                <w:lang w:val="en-US" w:eastAsia="en-US"/>
              </w:rPr>
              <w:t>号</w:t>
            </w:r>
          </w:p>
          <w:p w14:paraId="66EA9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建设性质：</w:t>
            </w:r>
            <w:r>
              <w:rPr>
                <w:rFonts w:hint="eastAsia" w:ascii="Times New Roman" w:hAnsi="Times New Roman" w:eastAsia="宋体" w:cs="Times New Roman"/>
                <w:color w:val="auto"/>
                <w:kern w:val="2"/>
                <w:sz w:val="24"/>
                <w:szCs w:val="24"/>
                <w:highlight w:val="none"/>
                <w:lang w:val="en-US" w:eastAsia="zh-CN" w:bidi="ar-SA"/>
              </w:rPr>
              <w:t>新建</w:t>
            </w:r>
            <w:r>
              <w:rPr>
                <w:rFonts w:hint="eastAsia" w:cs="Times New Roman"/>
                <w:color w:val="auto"/>
                <w:kern w:val="2"/>
                <w:sz w:val="24"/>
                <w:szCs w:val="24"/>
                <w:highlight w:val="none"/>
                <w:lang w:val="en-US" w:eastAsia="zh-CN" w:bidi="ar-SA"/>
              </w:rPr>
              <w:t>（变更环评）</w:t>
            </w:r>
          </w:p>
          <w:p w14:paraId="70817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占地面积：</w:t>
            </w:r>
            <w:r>
              <w:rPr>
                <w:rFonts w:hint="eastAsia" w:cs="Times New Roman"/>
                <w:color w:val="auto"/>
                <w:kern w:val="2"/>
                <w:sz w:val="24"/>
                <w:szCs w:val="24"/>
                <w:highlight w:val="none"/>
                <w:lang w:val="en-US" w:eastAsia="zh-CN" w:bidi="ar-SA"/>
              </w:rPr>
              <w:t>项目投资备案为总用地面积为</w:t>
            </w:r>
            <w:r>
              <w:rPr>
                <w:rFonts w:hint="eastAsia" w:ascii="Times New Roman" w:hAnsi="Times New Roman" w:cs="Times New Roman"/>
                <w:color w:val="000000" w:themeColor="text1"/>
                <w:spacing w:val="-6"/>
                <w:sz w:val="24"/>
                <w:szCs w:val="24"/>
                <w:highlight w:val="none"/>
                <w:lang w:val="en-US" w:eastAsia="en-US"/>
                <w14:textFill>
                  <w14:solidFill>
                    <w14:schemeClr w14:val="tx1"/>
                  </w14:solidFill>
                </w14:textFill>
              </w:rPr>
              <w:t>66</w:t>
            </w:r>
            <w:r>
              <w:rPr>
                <w:rFonts w:hint="eastAsia" w:cs="Times New Roman"/>
                <w:color w:val="000000" w:themeColor="text1"/>
                <w:spacing w:val="-6"/>
                <w:sz w:val="24"/>
                <w:szCs w:val="24"/>
                <w:highlight w:val="none"/>
                <w:lang w:val="en-US" w:eastAsia="zh-CN"/>
                <w14:textFill>
                  <w14:solidFill>
                    <w14:schemeClr w14:val="tx1"/>
                  </w14:solidFill>
                </w14:textFill>
              </w:rPr>
              <w:t>349.34</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vertAlign w:val="baseline"/>
                <w:lang w:val="en-US" w:eastAsia="zh-CN" w:bidi="ar-SA"/>
              </w:rPr>
              <w:t>（包括一期和二期建设用地面积以及相关绿化面积）本次次评价为一期，一期用地面积为49349.34</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vertAlign w:val="baseline"/>
                <w:lang w:val="en-US" w:eastAsia="zh-CN" w:bidi="ar-SA"/>
              </w:rPr>
              <w:t>。</w:t>
            </w:r>
          </w:p>
          <w:p w14:paraId="6A607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项目总投资：</w:t>
            </w:r>
            <w:r>
              <w:rPr>
                <w:rFonts w:hint="eastAsia" w:cs="Times New Roman"/>
                <w:color w:val="auto"/>
                <w:sz w:val="24"/>
                <w:szCs w:val="24"/>
                <w:highlight w:val="none"/>
                <w:lang w:val="en-US" w:eastAsia="zh-CN"/>
              </w:rPr>
              <w:t>23226</w:t>
            </w:r>
            <w:r>
              <w:rPr>
                <w:rFonts w:hint="default" w:ascii="Times New Roman" w:hAnsi="Times New Roman" w:eastAsia="宋体" w:cs="Times New Roman"/>
                <w:color w:val="auto"/>
                <w:kern w:val="2"/>
                <w:sz w:val="24"/>
                <w:szCs w:val="24"/>
                <w:highlight w:val="none"/>
                <w:lang w:val="en-US" w:eastAsia="zh-CN" w:bidi="ar-SA"/>
              </w:rPr>
              <w:t>万元</w:t>
            </w:r>
            <w:r>
              <w:rPr>
                <w:rFonts w:hint="eastAsia" w:cs="Times New Roman"/>
                <w:color w:val="auto"/>
                <w:kern w:val="2"/>
                <w:sz w:val="24"/>
                <w:szCs w:val="24"/>
                <w:highlight w:val="none"/>
                <w:lang w:val="en-US" w:eastAsia="zh-CN" w:bidi="ar-SA"/>
              </w:rPr>
              <w:t>，其中环保投资110万元。</w:t>
            </w:r>
          </w:p>
          <w:p w14:paraId="634760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3、主要建设内容及规模</w:t>
            </w:r>
          </w:p>
          <w:p w14:paraId="63591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0"/>
                <w:sz w:val="24"/>
                <w:highlight w:val="none"/>
                <w:lang w:val="en-US" w:eastAsia="zh-CN"/>
              </w:rPr>
              <w:t>本项目总共建设25条机械导轨生产线，</w:t>
            </w:r>
            <w:r>
              <w:rPr>
                <w:rFonts w:hint="eastAsia" w:cs="Times New Roman"/>
                <w:color w:val="auto"/>
                <w:kern w:val="2"/>
                <w:sz w:val="24"/>
                <w:szCs w:val="24"/>
                <w:highlight w:val="none"/>
                <w:lang w:val="en-US" w:eastAsia="zh-CN" w:bidi="ar-SA"/>
              </w:rPr>
              <w:t>变更前后</w:t>
            </w:r>
            <w:r>
              <w:rPr>
                <w:rFonts w:hint="default" w:ascii="Times New Roman" w:hAnsi="Times New Roman" w:eastAsia="宋体" w:cs="Times New Roman"/>
                <w:color w:val="auto"/>
                <w:kern w:val="2"/>
                <w:sz w:val="24"/>
                <w:szCs w:val="24"/>
                <w:highlight w:val="none"/>
                <w:lang w:val="en-US" w:eastAsia="zh-CN" w:bidi="ar-SA"/>
              </w:rPr>
              <w:t>建设内容及规模</w:t>
            </w:r>
            <w:r>
              <w:rPr>
                <w:rFonts w:hint="eastAsia" w:cs="Times New Roman"/>
                <w:color w:val="auto"/>
                <w:kern w:val="2"/>
                <w:sz w:val="24"/>
                <w:szCs w:val="24"/>
                <w:highlight w:val="none"/>
                <w:lang w:val="en-US" w:eastAsia="zh-CN" w:bidi="ar-SA"/>
              </w:rPr>
              <w:t>对比</w:t>
            </w:r>
            <w:r>
              <w:rPr>
                <w:rFonts w:hint="default" w:ascii="Times New Roman" w:hAnsi="Times New Roman" w:eastAsia="宋体" w:cs="Times New Roman"/>
                <w:color w:val="auto"/>
                <w:kern w:val="2"/>
                <w:sz w:val="24"/>
                <w:szCs w:val="24"/>
                <w:highlight w:val="none"/>
                <w:lang w:val="en-US" w:eastAsia="zh-CN" w:bidi="ar-SA"/>
              </w:rPr>
              <w:t>详见下表：</w:t>
            </w:r>
          </w:p>
          <w:p w14:paraId="74696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kern w:val="2"/>
                <w:sz w:val="24"/>
                <w:szCs w:val="24"/>
                <w:highlight w:val="none"/>
                <w:lang w:val="en-US" w:eastAsia="zh-CN" w:bidi="ar-SA"/>
              </w:rPr>
              <w:t xml:space="preserve">  项目主要建设内容及规模一览表</w:t>
            </w:r>
          </w:p>
          <w:tbl>
            <w:tblPr>
              <w:tblStyle w:val="33"/>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709"/>
              <w:gridCol w:w="772"/>
              <w:gridCol w:w="2344"/>
              <w:gridCol w:w="2359"/>
              <w:gridCol w:w="1536"/>
            </w:tblGrid>
            <w:tr w14:paraId="7913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blHeader/>
              </w:trPr>
              <w:tc>
                <w:tcPr>
                  <w:tcW w:w="1281" w:type="pct"/>
                  <w:gridSpan w:val="3"/>
                  <w:tcBorders>
                    <w:tl2br w:val="nil"/>
                    <w:tr2bl w:val="nil"/>
                  </w:tcBorders>
                  <w:shd w:val="clear" w:color="auto" w:fill="auto"/>
                  <w:noWrap w:val="0"/>
                  <w:vAlign w:val="center"/>
                </w:tcPr>
                <w:p w14:paraId="1CA21B1D">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bookmarkStart w:id="4" w:name="_Hlk6584351"/>
                  <w:r>
                    <w:rPr>
                      <w:rFonts w:hint="eastAsia" w:ascii="Times New Roman" w:hAnsi="Times New Roman" w:eastAsia="宋体" w:cs="Times New Roman"/>
                      <w:color w:val="auto"/>
                      <w:kern w:val="2"/>
                      <w:sz w:val="21"/>
                      <w:szCs w:val="21"/>
                      <w:highlight w:val="none"/>
                      <w:u w:val="none"/>
                      <w:lang w:val="en-US" w:eastAsia="zh-CN" w:bidi="ar-SA"/>
                    </w:rPr>
                    <w:t>工程内容</w:t>
                  </w:r>
                </w:p>
              </w:tc>
              <w:tc>
                <w:tcPr>
                  <w:tcW w:w="1396" w:type="pct"/>
                  <w:tcBorders>
                    <w:tl2br w:val="nil"/>
                    <w:tr2bl w:val="nil"/>
                  </w:tcBorders>
                  <w:shd w:val="clear" w:color="auto" w:fill="auto"/>
                  <w:noWrap w:val="0"/>
                  <w:vAlign w:val="center"/>
                </w:tcPr>
                <w:p w14:paraId="5DDE6CD3">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变更前</w:t>
                  </w:r>
                  <w:r>
                    <w:rPr>
                      <w:rFonts w:hint="eastAsia" w:ascii="Times New Roman" w:hAnsi="Times New Roman" w:eastAsia="宋体" w:cs="Times New Roman"/>
                      <w:color w:val="auto"/>
                      <w:kern w:val="2"/>
                      <w:sz w:val="21"/>
                      <w:szCs w:val="21"/>
                      <w:highlight w:val="none"/>
                      <w:u w:val="none"/>
                      <w:lang w:val="en-US" w:eastAsia="zh-CN" w:bidi="ar-SA"/>
                    </w:rPr>
                    <w:t>建设内容</w:t>
                  </w:r>
                </w:p>
              </w:tc>
              <w:tc>
                <w:tcPr>
                  <w:tcW w:w="1405" w:type="pct"/>
                  <w:tcBorders>
                    <w:tl2br w:val="nil"/>
                    <w:tr2bl w:val="nil"/>
                  </w:tcBorders>
                  <w:shd w:val="clear" w:color="auto" w:fill="auto"/>
                  <w:noWrap w:val="0"/>
                  <w:vAlign w:val="center"/>
                </w:tcPr>
                <w:p w14:paraId="57DE2E17">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变更后建设内容</w:t>
                  </w:r>
                </w:p>
              </w:tc>
              <w:tc>
                <w:tcPr>
                  <w:tcW w:w="915" w:type="pct"/>
                  <w:tcBorders>
                    <w:tl2br w:val="nil"/>
                    <w:tr2bl w:val="nil"/>
                  </w:tcBorders>
                  <w:shd w:val="clear" w:color="auto" w:fill="auto"/>
                  <w:noWrap w:val="0"/>
                  <w:vAlign w:val="center"/>
                </w:tcPr>
                <w:p w14:paraId="69B1761F">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备注</w:t>
                  </w:r>
                </w:p>
              </w:tc>
            </w:tr>
            <w:tr w14:paraId="7DCA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99" w:type="pct"/>
                  <w:vMerge w:val="restart"/>
                  <w:tcBorders>
                    <w:tl2br w:val="nil"/>
                    <w:tr2bl w:val="nil"/>
                  </w:tcBorders>
                  <w:noWrap w:val="0"/>
                  <w:vAlign w:val="center"/>
                </w:tcPr>
                <w:p w14:paraId="3C7A5054">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主体</w:t>
                  </w:r>
                </w:p>
                <w:p w14:paraId="2E0D25A5">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工程</w:t>
                  </w:r>
                </w:p>
              </w:tc>
              <w:tc>
                <w:tcPr>
                  <w:tcW w:w="882" w:type="pct"/>
                  <w:gridSpan w:val="2"/>
                  <w:tcBorders>
                    <w:tl2br w:val="nil"/>
                    <w:tr2bl w:val="nil"/>
                  </w:tcBorders>
                  <w:noWrap w:val="0"/>
                  <w:vAlign w:val="center"/>
                </w:tcPr>
                <w:p w14:paraId="543E6F69">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高频淬火区</w:t>
                  </w:r>
                </w:p>
              </w:tc>
              <w:tc>
                <w:tcPr>
                  <w:tcW w:w="1396" w:type="pct"/>
                  <w:tcBorders>
                    <w:tl2br w:val="nil"/>
                    <w:tr2bl w:val="nil"/>
                  </w:tcBorders>
                  <w:noWrap w:val="0"/>
                  <w:vAlign w:val="center"/>
                </w:tcPr>
                <w:p w14:paraId="7B101EEB">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钢架结构，位于1#栋厂房内北侧，占地面积约960m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vertAlign w:val="baseline"/>
                      <w:lang w:val="en-US" w:eastAsia="zh-CN" w:bidi="ar-SA"/>
                    </w:rPr>
                    <w:t>，</w:t>
                  </w:r>
                  <w:r>
                    <w:rPr>
                      <w:rFonts w:hint="eastAsia" w:cs="Times New Roman"/>
                      <w:color w:val="auto"/>
                      <w:kern w:val="2"/>
                      <w:sz w:val="21"/>
                      <w:szCs w:val="21"/>
                      <w:highlight w:val="none"/>
                      <w:u w:val="none"/>
                      <w:lang w:val="en-US" w:eastAsia="zh-CN" w:bidi="ar-SA"/>
                    </w:rPr>
                    <w:t>布置4台高频淬火机及相关物料车</w:t>
                  </w:r>
                </w:p>
              </w:tc>
              <w:tc>
                <w:tcPr>
                  <w:tcW w:w="1405" w:type="pct"/>
                  <w:tcBorders>
                    <w:tl2br w:val="nil"/>
                    <w:tr2bl w:val="nil"/>
                  </w:tcBorders>
                  <w:shd w:val="clear" w:color="auto" w:fill="auto"/>
                  <w:noWrap w:val="0"/>
                  <w:vAlign w:val="center"/>
                </w:tcPr>
                <w:p w14:paraId="58195E87">
                  <w:pPr>
                    <w:pStyle w:val="125"/>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钢架结构，位于1#栋厂房内北侧，占地面积约960m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vertAlign w:val="baseline"/>
                      <w:lang w:val="en-US" w:eastAsia="zh-CN" w:bidi="ar-SA"/>
                    </w:rPr>
                    <w:t>，</w:t>
                  </w:r>
                  <w:r>
                    <w:rPr>
                      <w:rFonts w:hint="eastAsia" w:cs="Times New Roman"/>
                      <w:color w:val="auto"/>
                      <w:kern w:val="2"/>
                      <w:sz w:val="21"/>
                      <w:szCs w:val="21"/>
                      <w:highlight w:val="none"/>
                      <w:u w:val="none"/>
                      <w:lang w:val="en-US" w:eastAsia="zh-CN" w:bidi="ar-SA"/>
                    </w:rPr>
                    <w:t>布置4台高频淬火机及相关物料车</w:t>
                  </w:r>
                </w:p>
              </w:tc>
              <w:tc>
                <w:tcPr>
                  <w:tcW w:w="915" w:type="pct"/>
                  <w:tcBorders>
                    <w:tl2br w:val="nil"/>
                    <w:tr2bl w:val="nil"/>
                  </w:tcBorders>
                  <w:noWrap w:val="0"/>
                  <w:vAlign w:val="center"/>
                </w:tcPr>
                <w:p w14:paraId="75DBFB0B">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变更物料装夹方式，由人工装夹变更为机械手半自动装夹，提升工作效率</w:t>
                  </w:r>
                </w:p>
              </w:tc>
            </w:tr>
            <w:tr w14:paraId="496C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99" w:type="pct"/>
                  <w:vMerge w:val="continue"/>
                  <w:tcBorders>
                    <w:tl2br w:val="nil"/>
                    <w:tr2bl w:val="nil"/>
                  </w:tcBorders>
                  <w:noWrap w:val="0"/>
                  <w:vAlign w:val="center"/>
                </w:tcPr>
                <w:p w14:paraId="15E1A4DE">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4035B14A">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热处理后时效放置区</w:t>
                  </w:r>
                </w:p>
              </w:tc>
              <w:tc>
                <w:tcPr>
                  <w:tcW w:w="1396" w:type="pct"/>
                  <w:tcBorders>
                    <w:tl2br w:val="nil"/>
                    <w:tr2bl w:val="nil"/>
                  </w:tcBorders>
                  <w:noWrap w:val="0"/>
                  <w:vAlign w:val="center"/>
                </w:tcPr>
                <w:p w14:paraId="42835EA7">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钢架结构，1#栋厂房内北侧，占地面积约320m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vertAlign w:val="baseline"/>
                      <w:lang w:val="en-US" w:eastAsia="zh-CN" w:bidi="ar-SA"/>
                    </w:rPr>
                    <w:t>，布置若干置物架</w:t>
                  </w:r>
                </w:p>
              </w:tc>
              <w:tc>
                <w:tcPr>
                  <w:tcW w:w="1405" w:type="pct"/>
                  <w:tcBorders>
                    <w:tl2br w:val="nil"/>
                    <w:tr2bl w:val="nil"/>
                  </w:tcBorders>
                  <w:shd w:val="clear" w:color="auto" w:fill="auto"/>
                  <w:noWrap w:val="0"/>
                  <w:vAlign w:val="center"/>
                </w:tcPr>
                <w:p w14:paraId="20BFECE7">
                  <w:pPr>
                    <w:pStyle w:val="125"/>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钢架结构，1#栋厂房内北侧，占地面积约640m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vertAlign w:val="baseline"/>
                      <w:lang w:val="en-US" w:eastAsia="zh-CN" w:bidi="ar-SA"/>
                    </w:rPr>
                    <w:t>，布置若干置物架</w:t>
                  </w:r>
                </w:p>
              </w:tc>
              <w:tc>
                <w:tcPr>
                  <w:tcW w:w="915" w:type="pct"/>
                  <w:tcBorders>
                    <w:tl2br w:val="nil"/>
                    <w:tr2bl w:val="nil"/>
                  </w:tcBorders>
                  <w:noWrap w:val="0"/>
                  <w:vAlign w:val="center"/>
                </w:tcPr>
                <w:p w14:paraId="7F11EA58">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新增320m</w:t>
                  </w:r>
                  <w:r>
                    <w:rPr>
                      <w:rFonts w:hint="eastAsia" w:cs="Times New Roman"/>
                      <w:color w:val="auto"/>
                      <w:kern w:val="2"/>
                      <w:sz w:val="21"/>
                      <w:szCs w:val="21"/>
                      <w:highlight w:val="none"/>
                      <w:u w:val="none"/>
                      <w:vertAlign w:val="superscript"/>
                      <w:lang w:val="en-US" w:eastAsia="zh-CN" w:bidi="ar-SA"/>
                    </w:rPr>
                    <w:t>2</w:t>
                  </w:r>
                </w:p>
              </w:tc>
            </w:tr>
            <w:tr w14:paraId="0890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99" w:type="pct"/>
                  <w:vMerge w:val="continue"/>
                  <w:tcBorders>
                    <w:tl2br w:val="nil"/>
                    <w:tr2bl w:val="nil"/>
                  </w:tcBorders>
                  <w:noWrap w:val="0"/>
                  <w:vAlign w:val="center"/>
                </w:tcPr>
                <w:p w14:paraId="7800D4D3">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69A1C896">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校直区</w:t>
                  </w:r>
                </w:p>
              </w:tc>
              <w:tc>
                <w:tcPr>
                  <w:tcW w:w="1396" w:type="pct"/>
                  <w:tcBorders>
                    <w:tl2br w:val="nil"/>
                    <w:tr2bl w:val="nil"/>
                  </w:tcBorders>
                  <w:noWrap w:val="0"/>
                  <w:vAlign w:val="center"/>
                </w:tcPr>
                <w:p w14:paraId="6B479AB9">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钢架结构，布置在1#栋厂房内中央偏西侧，占地面积约420m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，布置校直机</w:t>
                  </w:r>
                </w:p>
              </w:tc>
              <w:tc>
                <w:tcPr>
                  <w:tcW w:w="1405" w:type="pct"/>
                  <w:tcBorders>
                    <w:tl2br w:val="nil"/>
                    <w:tr2bl w:val="nil"/>
                  </w:tcBorders>
                  <w:shd w:val="clear" w:color="auto" w:fill="auto"/>
                  <w:noWrap w:val="0"/>
                  <w:vAlign w:val="center"/>
                </w:tcPr>
                <w:p w14:paraId="0E1EE2E1">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钢架结构，布置在1#栋厂房内中央偏西侧，占地面积约420m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，布置校直机</w:t>
                  </w:r>
                </w:p>
              </w:tc>
              <w:tc>
                <w:tcPr>
                  <w:tcW w:w="915" w:type="pct"/>
                  <w:tcBorders>
                    <w:tl2br w:val="nil"/>
                    <w:tr2bl w:val="nil"/>
                  </w:tcBorders>
                  <w:noWrap w:val="0"/>
                  <w:vAlign w:val="center"/>
                </w:tcPr>
                <w:p w14:paraId="4481136C">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1626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99" w:type="pct"/>
                  <w:vMerge w:val="continue"/>
                  <w:tcBorders>
                    <w:tl2br w:val="nil"/>
                    <w:tr2bl w:val="nil"/>
                  </w:tcBorders>
                  <w:noWrap w:val="0"/>
                  <w:vAlign w:val="center"/>
                </w:tcPr>
                <w:p w14:paraId="4D7E7C7B">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085500D7">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线轨机加工区</w:t>
                  </w:r>
                </w:p>
              </w:tc>
              <w:tc>
                <w:tcPr>
                  <w:tcW w:w="1396" w:type="pct"/>
                  <w:tcBorders>
                    <w:tl2br w:val="nil"/>
                    <w:tr2bl w:val="nil"/>
                  </w:tcBorders>
                  <w:noWrap w:val="0"/>
                  <w:vAlign w:val="center"/>
                </w:tcPr>
                <w:p w14:paraId="13E0D22C">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钢架结构，布置在1#栋厂房内中央区域，占地面积约2160m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，布置有表面喷砂处理机、钻铣机、磨床以及相关物料车</w:t>
                  </w:r>
                </w:p>
              </w:tc>
              <w:tc>
                <w:tcPr>
                  <w:tcW w:w="1405" w:type="pct"/>
                  <w:tcBorders>
                    <w:tl2br w:val="nil"/>
                    <w:tr2bl w:val="nil"/>
                  </w:tcBorders>
                  <w:shd w:val="clear" w:color="auto" w:fill="auto"/>
                  <w:noWrap w:val="0"/>
                  <w:vAlign w:val="center"/>
                </w:tcPr>
                <w:p w14:paraId="0151CBB4">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钢架结构，布置在1#栋厂房内中央区域，占地面积约2160m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，布置有表面喷砂处理机、钻铣机、磨床以及相关物料车</w:t>
                  </w:r>
                </w:p>
              </w:tc>
              <w:tc>
                <w:tcPr>
                  <w:tcW w:w="915" w:type="pct"/>
                  <w:tcBorders>
                    <w:tl2br w:val="nil"/>
                    <w:tr2bl w:val="nil"/>
                  </w:tcBorders>
                  <w:noWrap w:val="0"/>
                  <w:vAlign w:val="center"/>
                </w:tcPr>
                <w:p w14:paraId="79758E52">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变更物料装夹方式，由人工装夹变更为机械手半自动装夹，提升工作效率</w:t>
                  </w:r>
                </w:p>
              </w:tc>
            </w:tr>
            <w:tr w14:paraId="7C3E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99" w:type="pct"/>
                  <w:vMerge w:val="continue"/>
                  <w:tcBorders>
                    <w:tl2br w:val="nil"/>
                    <w:tr2bl w:val="nil"/>
                  </w:tcBorders>
                  <w:noWrap w:val="0"/>
                  <w:vAlign w:val="center"/>
                </w:tcPr>
                <w:p w14:paraId="16BAC6AB">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661D4360">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轨道球道磨区</w:t>
                  </w:r>
                </w:p>
              </w:tc>
              <w:tc>
                <w:tcPr>
                  <w:tcW w:w="1396" w:type="pct"/>
                  <w:tcBorders>
                    <w:tl2br w:val="nil"/>
                    <w:tr2bl w:val="nil"/>
                  </w:tcBorders>
                  <w:noWrap w:val="0"/>
                  <w:vAlign w:val="center"/>
                </w:tcPr>
                <w:p w14:paraId="3C79F3AF">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钢架结构，位于1#栋厂房内西侧，占地面积约3580m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，布置有球道磨机床及相关物料车</w:t>
                  </w:r>
                </w:p>
              </w:tc>
              <w:tc>
                <w:tcPr>
                  <w:tcW w:w="1405" w:type="pct"/>
                  <w:tcBorders>
                    <w:tl2br w:val="nil"/>
                    <w:tr2bl w:val="nil"/>
                  </w:tcBorders>
                  <w:shd w:val="clear" w:color="auto" w:fill="auto"/>
                  <w:noWrap w:val="0"/>
                  <w:vAlign w:val="center"/>
                </w:tcPr>
                <w:p w14:paraId="70A21D1A">
                  <w:pPr>
                    <w:keepNext w:val="0"/>
                    <w:keepLines w:val="0"/>
                    <w:widowControl/>
                    <w:suppressLineNumbers w:val="0"/>
                    <w:spacing w:before="0" w:beforeAutospacing="0" w:after="0" w:afterAutospacing="0"/>
                    <w:ind w:left="0" w:leftChars="0" w:right="0" w:rightChars="0"/>
                    <w:jc w:val="both"/>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钢架结构，位于1#栋厂房内西侧，占地面积约3580m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，布置有球道磨机床及相关物料车</w:t>
                  </w:r>
                </w:p>
              </w:tc>
              <w:tc>
                <w:tcPr>
                  <w:tcW w:w="915" w:type="pct"/>
                  <w:tcBorders>
                    <w:tl2br w:val="nil"/>
                    <w:tr2bl w:val="nil"/>
                  </w:tcBorders>
                  <w:noWrap w:val="0"/>
                  <w:vAlign w:val="center"/>
                </w:tcPr>
                <w:p w14:paraId="691FED4C">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变更物料装夹方式，由人工装夹变更为机械手半自动装夹，提升工作效率</w:t>
                  </w:r>
                </w:p>
              </w:tc>
            </w:tr>
            <w:tr w14:paraId="0CBB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99" w:type="pct"/>
                  <w:vMerge w:val="continue"/>
                  <w:tcBorders>
                    <w:tl2br w:val="nil"/>
                    <w:tr2bl w:val="nil"/>
                  </w:tcBorders>
                  <w:noWrap w:val="0"/>
                  <w:vAlign w:val="center"/>
                </w:tcPr>
                <w:p w14:paraId="786F35DD">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2987B605">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滑块机加工区</w:t>
                  </w:r>
                </w:p>
              </w:tc>
              <w:tc>
                <w:tcPr>
                  <w:tcW w:w="1396" w:type="pct"/>
                  <w:tcBorders>
                    <w:tl2br w:val="nil"/>
                    <w:tr2bl w:val="nil"/>
                  </w:tcBorders>
                  <w:noWrap w:val="0"/>
                  <w:vAlign w:val="center"/>
                </w:tcPr>
                <w:p w14:paraId="5AD06D31">
                  <w:pPr>
                    <w:keepNext w:val="0"/>
                    <w:keepLines w:val="0"/>
                    <w:widowControl/>
                    <w:suppressLineNumbers w:val="0"/>
                    <w:spacing w:before="0" w:beforeAutospacing="0" w:after="0" w:afterAutospacing="0"/>
                    <w:ind w:left="0" w:right="0"/>
                    <w:jc w:val="both"/>
                    <w:rPr>
                      <w:rFonts w:hint="default"/>
                      <w:color w:val="auto"/>
                      <w:sz w:val="21"/>
                      <w:szCs w:val="21"/>
                      <w:u w:val="none"/>
                      <w:lang w:val="en-US" w:eastAsia="zh-CN"/>
                    </w:rPr>
                  </w:pPr>
                  <w:r>
                    <w:rPr>
                      <w:rFonts w:hint="eastAsia" w:cs="Times New Roman"/>
                      <w:color w:val="auto"/>
                      <w:kern w:val="2"/>
                      <w:sz w:val="21"/>
                      <w:szCs w:val="21"/>
                      <w:highlight w:val="none"/>
                      <w:u w:val="none"/>
                      <w:lang w:val="en-US" w:eastAsia="zh-CN" w:bidi="ar-SA"/>
                    </w:rPr>
                    <w:t>钢架结构，位于1#栋厂房内东侧，占地面积1045m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，布置钻铣床。</w:t>
                  </w:r>
                </w:p>
              </w:tc>
              <w:tc>
                <w:tcPr>
                  <w:tcW w:w="1405" w:type="pct"/>
                  <w:tcBorders>
                    <w:tl2br w:val="nil"/>
                    <w:tr2bl w:val="nil"/>
                  </w:tcBorders>
                  <w:shd w:val="clear" w:color="auto" w:fill="auto"/>
                  <w:noWrap w:val="0"/>
                  <w:vAlign w:val="center"/>
                </w:tcPr>
                <w:p w14:paraId="516303A2">
                  <w:pPr>
                    <w:keepNext w:val="0"/>
                    <w:keepLines w:val="0"/>
                    <w:widowControl/>
                    <w:suppressLineNumbers w:val="0"/>
                    <w:spacing w:before="0" w:beforeAutospacing="0" w:after="0" w:afterAutospacing="0"/>
                    <w:ind w:left="0" w:leftChars="0" w:right="0" w:rightChars="0"/>
                    <w:jc w:val="both"/>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highlight w:val="none"/>
                      <w:u w:val="none"/>
                      <w:lang w:val="en-US" w:eastAsia="zh-CN" w:bidi="ar-SA"/>
                    </w:rPr>
                    <w:t>钢架结构，位于1#栋厂房内东侧，占地面积1045m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，布置钻铣床。</w:t>
                  </w:r>
                </w:p>
              </w:tc>
              <w:tc>
                <w:tcPr>
                  <w:tcW w:w="915" w:type="pct"/>
                  <w:tcBorders>
                    <w:tl2br w:val="nil"/>
                    <w:tr2bl w:val="nil"/>
                  </w:tcBorders>
                  <w:noWrap w:val="0"/>
                  <w:vAlign w:val="center"/>
                </w:tcPr>
                <w:p w14:paraId="74D6697E">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3014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99" w:type="pct"/>
                  <w:vMerge w:val="continue"/>
                  <w:tcBorders>
                    <w:tl2br w:val="nil"/>
                    <w:tr2bl w:val="nil"/>
                  </w:tcBorders>
                  <w:noWrap w:val="0"/>
                  <w:vAlign w:val="center"/>
                </w:tcPr>
                <w:p w14:paraId="4EE6575A">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793E0122">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滑块磨床区</w:t>
                  </w:r>
                </w:p>
              </w:tc>
              <w:tc>
                <w:tcPr>
                  <w:tcW w:w="1396" w:type="pct"/>
                  <w:tcBorders>
                    <w:tl2br w:val="nil"/>
                    <w:tr2bl w:val="nil"/>
                  </w:tcBorders>
                  <w:noWrap w:val="0"/>
                  <w:vAlign w:val="center"/>
                </w:tcPr>
                <w:p w14:paraId="709C874C">
                  <w:pPr>
                    <w:keepNext w:val="0"/>
                    <w:keepLines w:val="0"/>
                    <w:widowControl/>
                    <w:suppressLineNumbers w:val="0"/>
                    <w:spacing w:before="0" w:beforeAutospacing="0" w:after="0" w:afterAutospacing="0"/>
                    <w:ind w:left="0" w:right="0"/>
                    <w:jc w:val="both"/>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钢架结构，位于1#栋厂房内北偏东侧，占地面积1656m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vertAlign w:val="baseline"/>
                      <w:lang w:val="en-US" w:eastAsia="zh-CN" w:bidi="ar-SA"/>
                    </w:rPr>
                    <w:t>，布置有磨床等设备</w:t>
                  </w:r>
                </w:p>
              </w:tc>
              <w:tc>
                <w:tcPr>
                  <w:tcW w:w="1405" w:type="pct"/>
                  <w:tcBorders>
                    <w:tl2br w:val="nil"/>
                    <w:tr2bl w:val="nil"/>
                  </w:tcBorders>
                  <w:shd w:val="clear" w:color="auto" w:fill="auto"/>
                  <w:noWrap w:val="0"/>
                  <w:vAlign w:val="center"/>
                </w:tcPr>
                <w:p w14:paraId="3B80F0FD">
                  <w:pPr>
                    <w:keepNext w:val="0"/>
                    <w:keepLines w:val="0"/>
                    <w:widowControl/>
                    <w:suppressLineNumbers w:val="0"/>
                    <w:spacing w:before="0" w:beforeAutospacing="0" w:after="0" w:afterAutospacing="0"/>
                    <w:ind w:left="0" w:leftChars="0" w:right="0" w:rightChars="0"/>
                    <w:jc w:val="both"/>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钢架结构，位于1#栋厂房内北偏东侧，占地面积1656m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vertAlign w:val="baseline"/>
                      <w:lang w:val="en-US" w:eastAsia="zh-CN" w:bidi="ar-SA"/>
                    </w:rPr>
                    <w:t>，布置有磨床等设备</w:t>
                  </w:r>
                </w:p>
              </w:tc>
              <w:tc>
                <w:tcPr>
                  <w:tcW w:w="915" w:type="pct"/>
                  <w:tcBorders>
                    <w:tl2br w:val="nil"/>
                    <w:tr2bl w:val="nil"/>
                  </w:tcBorders>
                  <w:noWrap w:val="0"/>
                  <w:vAlign w:val="center"/>
                </w:tcPr>
                <w:p w14:paraId="4964756A">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2CD1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99" w:type="pct"/>
                  <w:vMerge w:val="continue"/>
                  <w:tcBorders>
                    <w:tl2br w:val="nil"/>
                    <w:tr2bl w:val="nil"/>
                  </w:tcBorders>
                  <w:noWrap w:val="0"/>
                  <w:vAlign w:val="center"/>
                </w:tcPr>
                <w:p w14:paraId="5F5F185E">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74F019CD">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清洗区</w:t>
                  </w:r>
                </w:p>
              </w:tc>
              <w:tc>
                <w:tcPr>
                  <w:tcW w:w="1396" w:type="pct"/>
                  <w:tcBorders>
                    <w:tl2br w:val="nil"/>
                    <w:tr2bl w:val="nil"/>
                  </w:tcBorders>
                  <w:noWrap w:val="0"/>
                  <w:vAlign w:val="center"/>
                </w:tcPr>
                <w:p w14:paraId="61017862">
                  <w:pPr>
                    <w:keepNext w:val="0"/>
                    <w:keepLines w:val="0"/>
                    <w:widowControl/>
                    <w:suppressLineNumbers w:val="0"/>
                    <w:spacing w:before="0" w:beforeAutospacing="0" w:after="0" w:afterAutospacing="0"/>
                    <w:ind w:left="0" w:right="0"/>
                    <w:jc w:val="both"/>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w:t>
                  </w:r>
                </w:p>
              </w:tc>
              <w:tc>
                <w:tcPr>
                  <w:tcW w:w="1405" w:type="pct"/>
                  <w:tcBorders>
                    <w:tl2br w:val="nil"/>
                    <w:tr2bl w:val="nil"/>
                  </w:tcBorders>
                  <w:shd w:val="clear" w:color="auto" w:fill="auto"/>
                  <w:noWrap w:val="0"/>
                  <w:vAlign w:val="center"/>
                </w:tcPr>
                <w:p w14:paraId="75A5B74B">
                  <w:pPr>
                    <w:keepNext w:val="0"/>
                    <w:keepLines w:val="0"/>
                    <w:widowControl/>
                    <w:suppressLineNumbers w:val="0"/>
                    <w:spacing w:before="0" w:beforeAutospacing="0" w:after="0" w:afterAutospacing="0"/>
                    <w:ind w:left="0" w:leftChars="0" w:right="0" w:rightChars="0"/>
                    <w:jc w:val="both"/>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钢架结构，位于位于1#栋厂房内南侧，占地面积60m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vertAlign w:val="baseline"/>
                      <w:lang w:val="en-US" w:eastAsia="zh-CN" w:bidi="ar-SA"/>
                    </w:rPr>
                    <w:t>，布置有2台清洗机</w:t>
                  </w:r>
                </w:p>
              </w:tc>
              <w:tc>
                <w:tcPr>
                  <w:tcW w:w="915" w:type="pct"/>
                  <w:tcBorders>
                    <w:tl2br w:val="nil"/>
                    <w:tr2bl w:val="nil"/>
                  </w:tcBorders>
                  <w:noWrap w:val="0"/>
                  <w:vAlign w:val="center"/>
                </w:tcPr>
                <w:p w14:paraId="601E5D74">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新增清洗工序</w:t>
                  </w:r>
                </w:p>
              </w:tc>
            </w:tr>
            <w:tr w14:paraId="7242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99" w:type="pct"/>
                  <w:vMerge w:val="restart"/>
                  <w:tcBorders>
                    <w:tl2br w:val="nil"/>
                    <w:tr2bl w:val="nil"/>
                  </w:tcBorders>
                  <w:noWrap w:val="0"/>
                  <w:vAlign w:val="center"/>
                </w:tcPr>
                <w:p w14:paraId="7B982294">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储运</w:t>
                  </w:r>
                </w:p>
                <w:p w14:paraId="79BBEF8C">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工程</w:t>
                  </w:r>
                </w:p>
              </w:tc>
              <w:tc>
                <w:tcPr>
                  <w:tcW w:w="882" w:type="pct"/>
                  <w:gridSpan w:val="2"/>
                  <w:tcBorders>
                    <w:tl2br w:val="nil"/>
                    <w:tr2bl w:val="nil"/>
                  </w:tcBorders>
                  <w:noWrap w:val="0"/>
                  <w:vAlign w:val="center"/>
                </w:tcPr>
                <w:p w14:paraId="2E4B183C">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线轨原料存放区</w:t>
                  </w:r>
                </w:p>
              </w:tc>
              <w:tc>
                <w:tcPr>
                  <w:tcW w:w="1396" w:type="pct"/>
                  <w:tcBorders>
                    <w:tl2br w:val="nil"/>
                    <w:tr2bl w:val="nil"/>
                  </w:tcBorders>
                  <w:noWrap w:val="0"/>
                  <w:vAlign w:val="center"/>
                </w:tcPr>
                <w:p w14:paraId="7AADD31D">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位置</w:t>
                  </w:r>
                  <w:r>
                    <w:rPr>
                      <w:rFonts w:hint="eastAsia" w:cs="Times New Roman"/>
                      <w:color w:val="auto"/>
                      <w:kern w:val="2"/>
                      <w:sz w:val="21"/>
                      <w:szCs w:val="21"/>
                      <w:highlight w:val="none"/>
                      <w:u w:val="none"/>
                      <w:lang w:val="en-US" w:eastAsia="zh-CN" w:bidi="ar-SA"/>
                    </w:rPr>
                    <w:t>1#栋厂房内北侧</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靠近高频淬火机，</w:t>
                  </w:r>
                  <w:r>
                    <w:rPr>
                      <w:rFonts w:hint="eastAsia" w:ascii="Times New Roman" w:hAnsi="Times New Roman" w:eastAsia="宋体" w:cs="Times New Roman"/>
                      <w:color w:val="auto"/>
                      <w:kern w:val="2"/>
                      <w:sz w:val="21"/>
                      <w:szCs w:val="21"/>
                      <w:highlight w:val="none"/>
                      <w:u w:val="none"/>
                      <w:lang w:val="en-US" w:eastAsia="zh-CN" w:bidi="ar-SA"/>
                    </w:rPr>
                    <w:t>面积约</w:t>
                  </w:r>
                  <w:r>
                    <w:rPr>
                      <w:rFonts w:hint="eastAsia" w:cs="Times New Roman"/>
                      <w:color w:val="auto"/>
                      <w:kern w:val="2"/>
                      <w:sz w:val="21"/>
                      <w:szCs w:val="21"/>
                      <w:highlight w:val="none"/>
                      <w:u w:val="none"/>
                      <w:lang w:val="en-US" w:eastAsia="zh-CN" w:bidi="ar-SA"/>
                    </w:rPr>
                    <w:t>3</w:t>
                  </w:r>
                  <w:r>
                    <w:rPr>
                      <w:rFonts w:hint="eastAsia" w:ascii="Times New Roman" w:hAnsi="Times New Roman" w:eastAsia="宋体" w:cs="Times New Roman"/>
                      <w:color w:val="auto"/>
                      <w:kern w:val="2"/>
                      <w:sz w:val="21"/>
                      <w:szCs w:val="21"/>
                      <w:highlight w:val="none"/>
                      <w:u w:val="none"/>
                      <w:lang w:val="en-US" w:eastAsia="zh-CN" w:bidi="ar-SA"/>
                    </w:rPr>
                    <w:t>20m</w:t>
                  </w:r>
                  <w:r>
                    <w:rPr>
                      <w:rFonts w:hint="eastAsia" w:ascii="Times New Roman" w:hAnsi="Times New Roman" w:eastAsia="宋体"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，布置置物架若干</w:t>
                  </w:r>
                </w:p>
              </w:tc>
              <w:tc>
                <w:tcPr>
                  <w:tcW w:w="1405" w:type="pct"/>
                  <w:tcBorders>
                    <w:tl2br w:val="nil"/>
                    <w:tr2bl w:val="nil"/>
                  </w:tcBorders>
                  <w:noWrap w:val="0"/>
                  <w:vAlign w:val="center"/>
                </w:tcPr>
                <w:p w14:paraId="7EAADE40">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位置</w:t>
                  </w:r>
                  <w:r>
                    <w:rPr>
                      <w:rFonts w:hint="eastAsia" w:cs="Times New Roman"/>
                      <w:color w:val="auto"/>
                      <w:kern w:val="2"/>
                      <w:sz w:val="21"/>
                      <w:szCs w:val="21"/>
                      <w:highlight w:val="none"/>
                      <w:u w:val="none"/>
                      <w:lang w:val="en-US" w:eastAsia="zh-CN" w:bidi="ar-SA"/>
                    </w:rPr>
                    <w:t>1#栋厂房内北侧</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靠近高频淬火机，</w:t>
                  </w:r>
                  <w:r>
                    <w:rPr>
                      <w:rFonts w:hint="eastAsia" w:ascii="Times New Roman" w:hAnsi="Times New Roman" w:eastAsia="宋体" w:cs="Times New Roman"/>
                      <w:color w:val="auto"/>
                      <w:kern w:val="2"/>
                      <w:sz w:val="21"/>
                      <w:szCs w:val="21"/>
                      <w:highlight w:val="none"/>
                      <w:u w:val="none"/>
                      <w:lang w:val="en-US" w:eastAsia="zh-CN" w:bidi="ar-SA"/>
                    </w:rPr>
                    <w:t>面积约</w:t>
                  </w:r>
                  <w:r>
                    <w:rPr>
                      <w:rFonts w:hint="eastAsia" w:cs="Times New Roman"/>
                      <w:color w:val="auto"/>
                      <w:kern w:val="2"/>
                      <w:sz w:val="21"/>
                      <w:szCs w:val="21"/>
                      <w:highlight w:val="none"/>
                      <w:u w:val="none"/>
                      <w:lang w:val="en-US" w:eastAsia="zh-CN" w:bidi="ar-SA"/>
                    </w:rPr>
                    <w:t>640</w:t>
                  </w:r>
                  <w:r>
                    <w:rPr>
                      <w:rFonts w:hint="eastAsia" w:ascii="Times New Roman" w:hAnsi="Times New Roman" w:eastAsia="宋体" w:cs="Times New Roman"/>
                      <w:color w:val="auto"/>
                      <w:kern w:val="2"/>
                      <w:sz w:val="21"/>
                      <w:szCs w:val="21"/>
                      <w:highlight w:val="none"/>
                      <w:u w:val="none"/>
                      <w:lang w:val="en-US" w:eastAsia="zh-CN" w:bidi="ar-SA"/>
                    </w:rPr>
                    <w:t>m</w:t>
                  </w:r>
                  <w:r>
                    <w:rPr>
                      <w:rFonts w:hint="eastAsia" w:ascii="Times New Roman" w:hAnsi="Times New Roman" w:eastAsia="宋体"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，布置置物架若干</w:t>
                  </w:r>
                </w:p>
              </w:tc>
              <w:tc>
                <w:tcPr>
                  <w:tcW w:w="915" w:type="pct"/>
                  <w:tcBorders>
                    <w:tl2br w:val="nil"/>
                    <w:tr2bl w:val="nil"/>
                  </w:tcBorders>
                  <w:noWrap w:val="0"/>
                  <w:vAlign w:val="center"/>
                </w:tcPr>
                <w:p w14:paraId="73EC6C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新增320m</w:t>
                  </w:r>
                  <w:r>
                    <w:rPr>
                      <w:rFonts w:hint="eastAsia" w:cs="Times New Roman"/>
                      <w:color w:val="auto"/>
                      <w:kern w:val="2"/>
                      <w:sz w:val="21"/>
                      <w:szCs w:val="21"/>
                      <w:highlight w:val="none"/>
                      <w:u w:val="none"/>
                      <w:vertAlign w:val="superscript"/>
                      <w:lang w:val="en-US" w:eastAsia="zh-CN" w:bidi="ar-SA"/>
                    </w:rPr>
                    <w:t>2</w:t>
                  </w:r>
                </w:p>
              </w:tc>
            </w:tr>
            <w:tr w14:paraId="756F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9" w:type="pct"/>
                  <w:vMerge w:val="continue"/>
                  <w:tcBorders>
                    <w:tl2br w:val="nil"/>
                    <w:tr2bl w:val="nil"/>
                  </w:tcBorders>
                  <w:noWrap w:val="0"/>
                  <w:vAlign w:val="center"/>
                </w:tcPr>
                <w:p w14:paraId="15BFE30D">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3411C1B3">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滑块原料存放区</w:t>
                  </w:r>
                </w:p>
              </w:tc>
              <w:tc>
                <w:tcPr>
                  <w:tcW w:w="1396" w:type="pct"/>
                  <w:tcBorders>
                    <w:tl2br w:val="nil"/>
                    <w:tr2bl w:val="nil"/>
                  </w:tcBorders>
                  <w:noWrap w:val="0"/>
                  <w:vAlign w:val="center"/>
                </w:tcPr>
                <w:p w14:paraId="56069BF7">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钢架结构，位于1#栋厂房内北侧，占地面积220m</w:t>
                  </w:r>
                  <w:r>
                    <w:rPr>
                      <w:rFonts w:hint="eastAsia" w:cs="Times New Roman"/>
                      <w:color w:val="auto"/>
                      <w:kern w:val="2"/>
                      <w:sz w:val="21"/>
                      <w:szCs w:val="21"/>
                      <w:highlight w:val="none"/>
                      <w:u w:val="none"/>
                      <w:vertAlign w:val="superscript"/>
                      <w:lang w:val="en-US" w:eastAsia="zh-CN" w:bidi="ar-SA"/>
                    </w:rPr>
                    <w:t>2</w:t>
                  </w:r>
                </w:p>
              </w:tc>
              <w:tc>
                <w:tcPr>
                  <w:tcW w:w="1405" w:type="pct"/>
                  <w:tcBorders>
                    <w:tl2br w:val="nil"/>
                    <w:tr2bl w:val="nil"/>
                  </w:tcBorders>
                  <w:shd w:val="clear" w:color="auto" w:fill="auto"/>
                  <w:noWrap w:val="0"/>
                  <w:vAlign w:val="center"/>
                </w:tcPr>
                <w:p w14:paraId="77807450">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钢架结构，位于1#栋厂房内北侧，占地面积220m</w:t>
                  </w:r>
                  <w:r>
                    <w:rPr>
                      <w:rFonts w:hint="eastAsia" w:cs="Times New Roman"/>
                      <w:color w:val="auto"/>
                      <w:kern w:val="2"/>
                      <w:sz w:val="21"/>
                      <w:szCs w:val="21"/>
                      <w:highlight w:val="none"/>
                      <w:u w:val="none"/>
                      <w:vertAlign w:val="superscript"/>
                      <w:lang w:val="en-US" w:eastAsia="zh-CN" w:bidi="ar-SA"/>
                    </w:rPr>
                    <w:t>2</w:t>
                  </w:r>
                </w:p>
              </w:tc>
              <w:tc>
                <w:tcPr>
                  <w:tcW w:w="915" w:type="pct"/>
                  <w:tcBorders>
                    <w:tl2br w:val="nil"/>
                    <w:tr2bl w:val="nil"/>
                  </w:tcBorders>
                  <w:noWrap w:val="0"/>
                  <w:vAlign w:val="center"/>
                </w:tcPr>
                <w:p w14:paraId="19139B4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354E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99" w:type="pct"/>
                  <w:vMerge w:val="continue"/>
                  <w:tcBorders>
                    <w:tl2br w:val="nil"/>
                    <w:tr2bl w:val="nil"/>
                  </w:tcBorders>
                  <w:noWrap w:val="0"/>
                  <w:vAlign w:val="center"/>
                </w:tcPr>
                <w:p w14:paraId="030ECBEB">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474DA818">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成品存放区</w:t>
                  </w:r>
                </w:p>
              </w:tc>
              <w:tc>
                <w:tcPr>
                  <w:tcW w:w="1396" w:type="pct"/>
                  <w:tcBorders>
                    <w:tl2br w:val="nil"/>
                    <w:tr2bl w:val="nil"/>
                  </w:tcBorders>
                  <w:noWrap w:val="0"/>
                  <w:vAlign w:val="center"/>
                </w:tcPr>
                <w:p w14:paraId="0B964450">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钢架结构，位于1#栋厂房内房东侧占地面积2500m</w:t>
                  </w:r>
                  <w:r>
                    <w:rPr>
                      <w:rFonts w:hint="eastAsia" w:cs="Times New Roman"/>
                      <w:color w:val="auto"/>
                      <w:kern w:val="2"/>
                      <w:sz w:val="21"/>
                      <w:szCs w:val="21"/>
                      <w:highlight w:val="none"/>
                      <w:u w:val="none"/>
                      <w:vertAlign w:val="superscript"/>
                      <w:lang w:val="en-US" w:eastAsia="zh-CN" w:bidi="ar-SA"/>
                    </w:rPr>
                    <w:t>2</w:t>
                  </w:r>
                </w:p>
              </w:tc>
              <w:tc>
                <w:tcPr>
                  <w:tcW w:w="1405" w:type="pct"/>
                  <w:tcBorders>
                    <w:tl2br w:val="nil"/>
                    <w:tr2bl w:val="nil"/>
                  </w:tcBorders>
                  <w:shd w:val="clear" w:color="auto" w:fill="auto"/>
                  <w:noWrap w:val="0"/>
                  <w:vAlign w:val="center"/>
                </w:tcPr>
                <w:p w14:paraId="1A02861A">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钢架结构，位于1#栋厂房内房东侧占地面积2500m</w:t>
                  </w:r>
                  <w:r>
                    <w:rPr>
                      <w:rFonts w:hint="eastAsia" w:cs="Times New Roman"/>
                      <w:color w:val="auto"/>
                      <w:kern w:val="2"/>
                      <w:sz w:val="21"/>
                      <w:szCs w:val="21"/>
                      <w:highlight w:val="none"/>
                      <w:u w:val="none"/>
                      <w:vertAlign w:val="superscript"/>
                      <w:lang w:val="en-US" w:eastAsia="zh-CN" w:bidi="ar-SA"/>
                    </w:rPr>
                    <w:t>2</w:t>
                  </w:r>
                </w:p>
              </w:tc>
              <w:tc>
                <w:tcPr>
                  <w:tcW w:w="915" w:type="pct"/>
                  <w:tcBorders>
                    <w:tl2br w:val="nil"/>
                    <w:tr2bl w:val="nil"/>
                  </w:tcBorders>
                  <w:noWrap w:val="0"/>
                  <w:vAlign w:val="center"/>
                </w:tcPr>
                <w:p w14:paraId="5F454B9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4C69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99" w:type="pct"/>
                  <w:vMerge w:val="continue"/>
                  <w:tcBorders>
                    <w:tl2br w:val="nil"/>
                    <w:tr2bl w:val="nil"/>
                  </w:tcBorders>
                  <w:noWrap w:val="0"/>
                  <w:vAlign w:val="center"/>
                </w:tcPr>
                <w:p w14:paraId="29E27883">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1AD99C1D">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油品仓</w:t>
                  </w:r>
                </w:p>
              </w:tc>
              <w:tc>
                <w:tcPr>
                  <w:tcW w:w="1396" w:type="pct"/>
                  <w:tcBorders>
                    <w:tl2br w:val="nil"/>
                    <w:tr2bl w:val="nil"/>
                  </w:tcBorders>
                  <w:noWrap w:val="0"/>
                  <w:vAlign w:val="center"/>
                </w:tcPr>
                <w:p w14:paraId="35C2A981">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钢架结构，位于1#厂房外东侧，占地面积57m</w:t>
                  </w:r>
                  <w:r>
                    <w:rPr>
                      <w:rFonts w:hint="eastAsia" w:cs="Times New Roman"/>
                      <w:color w:val="auto"/>
                      <w:kern w:val="2"/>
                      <w:sz w:val="21"/>
                      <w:szCs w:val="21"/>
                      <w:highlight w:val="none"/>
                      <w:u w:val="none"/>
                      <w:vertAlign w:val="superscript"/>
                      <w:lang w:val="en-US" w:eastAsia="zh-CN" w:bidi="ar-SA"/>
                    </w:rPr>
                    <w:t>2</w:t>
                  </w:r>
                </w:p>
              </w:tc>
              <w:tc>
                <w:tcPr>
                  <w:tcW w:w="1405" w:type="pct"/>
                  <w:tcBorders>
                    <w:tl2br w:val="nil"/>
                    <w:tr2bl w:val="nil"/>
                  </w:tcBorders>
                  <w:shd w:val="clear" w:color="auto" w:fill="auto"/>
                  <w:noWrap w:val="0"/>
                  <w:vAlign w:val="center"/>
                </w:tcPr>
                <w:p w14:paraId="61DBEFFF">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钢架结构，位于1#厂房外东侧，占地面积57m</w:t>
                  </w:r>
                  <w:r>
                    <w:rPr>
                      <w:rFonts w:hint="eastAsia" w:cs="Times New Roman"/>
                      <w:color w:val="auto"/>
                      <w:kern w:val="2"/>
                      <w:sz w:val="21"/>
                      <w:szCs w:val="21"/>
                      <w:highlight w:val="none"/>
                      <w:u w:val="none"/>
                      <w:vertAlign w:val="superscript"/>
                      <w:lang w:val="en-US" w:eastAsia="zh-CN" w:bidi="ar-SA"/>
                    </w:rPr>
                    <w:t>2</w:t>
                  </w:r>
                </w:p>
              </w:tc>
              <w:tc>
                <w:tcPr>
                  <w:tcW w:w="915" w:type="pct"/>
                  <w:tcBorders>
                    <w:tl2br w:val="nil"/>
                    <w:tr2bl w:val="nil"/>
                  </w:tcBorders>
                  <w:noWrap w:val="0"/>
                  <w:vAlign w:val="center"/>
                </w:tcPr>
                <w:p w14:paraId="43FF373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3828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99" w:type="pct"/>
                  <w:vMerge w:val="continue"/>
                  <w:tcBorders>
                    <w:tl2br w:val="nil"/>
                    <w:tr2bl w:val="nil"/>
                  </w:tcBorders>
                  <w:noWrap w:val="0"/>
                  <w:vAlign w:val="center"/>
                </w:tcPr>
                <w:p w14:paraId="16144052">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62DE6198">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铁屑固废仓</w:t>
                  </w:r>
                </w:p>
              </w:tc>
              <w:tc>
                <w:tcPr>
                  <w:tcW w:w="1396" w:type="pct"/>
                  <w:tcBorders>
                    <w:tl2br w:val="nil"/>
                    <w:tr2bl w:val="nil"/>
                  </w:tcBorders>
                  <w:noWrap w:val="0"/>
                  <w:vAlign w:val="center"/>
                </w:tcPr>
                <w:p w14:paraId="2B786CE8">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钢架结构，位于1#厂房外东侧，占地面积57m</w:t>
                  </w:r>
                  <w:r>
                    <w:rPr>
                      <w:rFonts w:hint="eastAsia" w:cs="Times New Roman"/>
                      <w:color w:val="auto"/>
                      <w:kern w:val="2"/>
                      <w:sz w:val="21"/>
                      <w:szCs w:val="21"/>
                      <w:highlight w:val="none"/>
                      <w:u w:val="none"/>
                      <w:vertAlign w:val="superscript"/>
                      <w:lang w:val="en-US" w:eastAsia="zh-CN" w:bidi="ar-SA"/>
                    </w:rPr>
                    <w:t>2</w:t>
                  </w:r>
                </w:p>
              </w:tc>
              <w:tc>
                <w:tcPr>
                  <w:tcW w:w="1405" w:type="pct"/>
                  <w:tcBorders>
                    <w:tl2br w:val="nil"/>
                    <w:tr2bl w:val="nil"/>
                  </w:tcBorders>
                  <w:shd w:val="clear" w:color="auto" w:fill="auto"/>
                  <w:noWrap w:val="0"/>
                  <w:vAlign w:val="center"/>
                </w:tcPr>
                <w:p w14:paraId="727BFCEB">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钢架结构，位于1#厂房外东侧，占地面积57m</w:t>
                  </w:r>
                  <w:r>
                    <w:rPr>
                      <w:rFonts w:hint="eastAsia" w:cs="Times New Roman"/>
                      <w:color w:val="auto"/>
                      <w:kern w:val="2"/>
                      <w:sz w:val="21"/>
                      <w:szCs w:val="21"/>
                      <w:highlight w:val="none"/>
                      <w:u w:val="none"/>
                      <w:vertAlign w:val="superscript"/>
                      <w:lang w:val="en-US" w:eastAsia="zh-CN" w:bidi="ar-SA"/>
                    </w:rPr>
                    <w:t>2</w:t>
                  </w:r>
                </w:p>
              </w:tc>
              <w:tc>
                <w:tcPr>
                  <w:tcW w:w="915" w:type="pct"/>
                  <w:tcBorders>
                    <w:tl2br w:val="nil"/>
                    <w:tr2bl w:val="nil"/>
                  </w:tcBorders>
                  <w:noWrap w:val="0"/>
                  <w:vAlign w:val="center"/>
                </w:tcPr>
                <w:p w14:paraId="05D543C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1165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99" w:type="pct"/>
                  <w:vMerge w:val="continue"/>
                  <w:tcBorders>
                    <w:tl2br w:val="nil"/>
                    <w:tr2bl w:val="nil"/>
                  </w:tcBorders>
                  <w:noWrap w:val="0"/>
                  <w:vAlign w:val="center"/>
                </w:tcPr>
                <w:p w14:paraId="2DDAF985">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585393FB">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一般固废间</w:t>
                  </w:r>
                </w:p>
              </w:tc>
              <w:tc>
                <w:tcPr>
                  <w:tcW w:w="1396" w:type="pct"/>
                  <w:tcBorders>
                    <w:tl2br w:val="nil"/>
                    <w:tr2bl w:val="nil"/>
                  </w:tcBorders>
                  <w:noWrap w:val="0"/>
                  <w:vAlign w:val="center"/>
                </w:tcPr>
                <w:p w14:paraId="75008372">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钢架结构，位于1#厂房外东侧，占地面积57m</w:t>
                  </w:r>
                  <w:r>
                    <w:rPr>
                      <w:rFonts w:hint="eastAsia" w:cs="Times New Roman"/>
                      <w:color w:val="auto"/>
                      <w:kern w:val="2"/>
                      <w:sz w:val="21"/>
                      <w:szCs w:val="21"/>
                      <w:highlight w:val="none"/>
                      <w:u w:val="none"/>
                      <w:vertAlign w:val="superscript"/>
                      <w:lang w:val="en-US" w:eastAsia="zh-CN" w:bidi="ar-SA"/>
                    </w:rPr>
                    <w:t>2</w:t>
                  </w:r>
                </w:p>
              </w:tc>
              <w:tc>
                <w:tcPr>
                  <w:tcW w:w="1405" w:type="pct"/>
                  <w:tcBorders>
                    <w:tl2br w:val="nil"/>
                    <w:tr2bl w:val="nil"/>
                  </w:tcBorders>
                  <w:shd w:val="clear" w:color="auto" w:fill="auto"/>
                  <w:noWrap w:val="0"/>
                  <w:vAlign w:val="center"/>
                </w:tcPr>
                <w:p w14:paraId="6A982863">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钢架结构，位于1#厂房外东侧，占地面积57m</w:t>
                  </w:r>
                  <w:r>
                    <w:rPr>
                      <w:rFonts w:hint="eastAsia" w:cs="Times New Roman"/>
                      <w:color w:val="auto"/>
                      <w:kern w:val="2"/>
                      <w:sz w:val="21"/>
                      <w:szCs w:val="21"/>
                      <w:highlight w:val="none"/>
                      <w:u w:val="none"/>
                      <w:vertAlign w:val="superscript"/>
                      <w:lang w:val="en-US" w:eastAsia="zh-CN" w:bidi="ar-SA"/>
                    </w:rPr>
                    <w:t>2</w:t>
                  </w:r>
                </w:p>
              </w:tc>
              <w:tc>
                <w:tcPr>
                  <w:tcW w:w="915" w:type="pct"/>
                  <w:tcBorders>
                    <w:tl2br w:val="nil"/>
                    <w:tr2bl w:val="nil"/>
                  </w:tcBorders>
                  <w:noWrap w:val="0"/>
                  <w:vAlign w:val="center"/>
                </w:tcPr>
                <w:p w14:paraId="68332CF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4160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99" w:type="pct"/>
                  <w:vMerge w:val="continue"/>
                  <w:tcBorders>
                    <w:tl2br w:val="nil"/>
                    <w:tr2bl w:val="nil"/>
                  </w:tcBorders>
                  <w:noWrap w:val="0"/>
                  <w:vAlign w:val="center"/>
                </w:tcPr>
                <w:p w14:paraId="2874E717">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1D05C347">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危废暂存间</w:t>
                  </w:r>
                </w:p>
              </w:tc>
              <w:tc>
                <w:tcPr>
                  <w:tcW w:w="1396" w:type="pct"/>
                  <w:tcBorders>
                    <w:tl2br w:val="nil"/>
                    <w:tr2bl w:val="nil"/>
                  </w:tcBorders>
                  <w:noWrap w:val="0"/>
                  <w:vAlign w:val="center"/>
                </w:tcPr>
                <w:p w14:paraId="2D39F504">
                  <w:pPr>
                    <w:pStyle w:val="125"/>
                    <w:keepNext w:val="0"/>
                    <w:keepLines w:val="0"/>
                    <w:suppressLineNumbers w:val="0"/>
                    <w:spacing w:before="0" w:beforeAutospacing="0" w:after="0" w:afterAutospacing="0"/>
                    <w:ind w:left="0" w:right="0"/>
                    <w:jc w:val="left"/>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钢架结构，位于1#厂房外东侧，占地面积20m</w:t>
                  </w:r>
                  <w:r>
                    <w:rPr>
                      <w:rFonts w:hint="eastAsia" w:cs="Times New Roman"/>
                      <w:color w:val="auto"/>
                      <w:kern w:val="2"/>
                      <w:sz w:val="21"/>
                      <w:szCs w:val="21"/>
                      <w:highlight w:val="none"/>
                      <w:u w:val="none"/>
                      <w:vertAlign w:val="superscript"/>
                      <w:lang w:val="en-US" w:eastAsia="zh-CN" w:bidi="ar-SA"/>
                    </w:rPr>
                    <w:t>2</w:t>
                  </w:r>
                </w:p>
              </w:tc>
              <w:tc>
                <w:tcPr>
                  <w:tcW w:w="1405" w:type="pct"/>
                  <w:tcBorders>
                    <w:tl2br w:val="nil"/>
                    <w:tr2bl w:val="nil"/>
                  </w:tcBorders>
                  <w:shd w:val="clear" w:color="auto" w:fill="auto"/>
                  <w:noWrap w:val="0"/>
                  <w:vAlign w:val="center"/>
                </w:tcPr>
                <w:p w14:paraId="796D5078">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钢架结构，位于1#厂房外东侧，占地面积20m</w:t>
                  </w:r>
                  <w:r>
                    <w:rPr>
                      <w:rFonts w:hint="eastAsia" w:cs="Times New Roman"/>
                      <w:color w:val="auto"/>
                      <w:kern w:val="2"/>
                      <w:sz w:val="21"/>
                      <w:szCs w:val="21"/>
                      <w:highlight w:val="none"/>
                      <w:u w:val="none"/>
                      <w:vertAlign w:val="superscript"/>
                      <w:lang w:val="en-US" w:eastAsia="zh-CN" w:bidi="ar-SA"/>
                    </w:rPr>
                    <w:t>2</w:t>
                  </w:r>
                </w:p>
              </w:tc>
              <w:tc>
                <w:tcPr>
                  <w:tcW w:w="915" w:type="pct"/>
                  <w:tcBorders>
                    <w:tl2br w:val="nil"/>
                    <w:tr2bl w:val="nil"/>
                  </w:tcBorders>
                  <w:noWrap w:val="0"/>
                  <w:vAlign w:val="center"/>
                </w:tcPr>
                <w:p w14:paraId="71A1CB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5B62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99" w:type="pct"/>
                  <w:vMerge w:val="restart"/>
                  <w:tcBorders>
                    <w:tl2br w:val="nil"/>
                    <w:tr2bl w:val="nil"/>
                  </w:tcBorders>
                  <w:noWrap w:val="0"/>
                  <w:vAlign w:val="center"/>
                </w:tcPr>
                <w:p w14:paraId="554695DE">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辅助</w:t>
                  </w:r>
                  <w:r>
                    <w:rPr>
                      <w:rFonts w:hint="eastAsia" w:ascii="Times New Roman" w:hAnsi="Times New Roman" w:eastAsia="宋体" w:cs="Times New Roman"/>
                      <w:color w:val="auto"/>
                      <w:kern w:val="2"/>
                      <w:sz w:val="21"/>
                      <w:szCs w:val="21"/>
                      <w:highlight w:val="none"/>
                      <w:u w:val="none"/>
                      <w:lang w:val="en-US" w:eastAsia="zh-CN" w:bidi="ar-SA"/>
                    </w:rPr>
                    <w:t>工程</w:t>
                  </w:r>
                </w:p>
              </w:tc>
              <w:tc>
                <w:tcPr>
                  <w:tcW w:w="882" w:type="pct"/>
                  <w:gridSpan w:val="2"/>
                  <w:tcBorders>
                    <w:tl2br w:val="nil"/>
                    <w:tr2bl w:val="nil"/>
                  </w:tcBorders>
                  <w:noWrap w:val="0"/>
                  <w:vAlign w:val="center"/>
                </w:tcPr>
                <w:p w14:paraId="682ED90A">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办公区</w:t>
                  </w:r>
                </w:p>
              </w:tc>
              <w:tc>
                <w:tcPr>
                  <w:tcW w:w="1396" w:type="pct"/>
                  <w:tcBorders>
                    <w:tl2br w:val="nil"/>
                    <w:tr2bl w:val="nil"/>
                  </w:tcBorders>
                  <w:noWrap w:val="0"/>
                  <w:vAlign w:val="center"/>
                </w:tcPr>
                <w:p w14:paraId="47392491">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占地面积720m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位于</w:t>
                  </w:r>
                  <w:r>
                    <w:rPr>
                      <w:rFonts w:hint="eastAsia" w:cs="Times New Roman"/>
                      <w:color w:val="auto"/>
                      <w:kern w:val="2"/>
                      <w:sz w:val="21"/>
                      <w:szCs w:val="21"/>
                      <w:highlight w:val="none"/>
                      <w:u w:val="none"/>
                      <w:lang w:val="en-US" w:eastAsia="zh-CN" w:bidi="ar-SA"/>
                    </w:rPr>
                    <w:t>1#厂房内南侧，2层，第一层主要为办公会客展览区，第二层主要为检测、试验室</w:t>
                  </w:r>
                </w:p>
              </w:tc>
              <w:tc>
                <w:tcPr>
                  <w:tcW w:w="1405" w:type="pct"/>
                  <w:tcBorders>
                    <w:tl2br w:val="nil"/>
                    <w:tr2bl w:val="nil"/>
                  </w:tcBorders>
                  <w:noWrap w:val="0"/>
                  <w:vAlign w:val="center"/>
                </w:tcPr>
                <w:p w14:paraId="2AEA1600">
                  <w:pPr>
                    <w:pStyle w:val="125"/>
                    <w:keepNext w:val="0"/>
                    <w:keepLines w:val="0"/>
                    <w:suppressLineNumbers w:val="0"/>
                    <w:spacing w:before="0" w:beforeAutospacing="0" w:after="0" w:afterAutospacing="0"/>
                    <w:ind w:left="0" w:right="0"/>
                    <w:jc w:val="left"/>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占地面积720m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位于</w:t>
                  </w:r>
                  <w:r>
                    <w:rPr>
                      <w:rFonts w:hint="eastAsia" w:cs="Times New Roman"/>
                      <w:color w:val="auto"/>
                      <w:kern w:val="2"/>
                      <w:sz w:val="21"/>
                      <w:szCs w:val="21"/>
                      <w:highlight w:val="none"/>
                      <w:u w:val="none"/>
                      <w:lang w:val="en-US" w:eastAsia="zh-CN" w:bidi="ar-SA"/>
                    </w:rPr>
                    <w:t>1#厂房内南侧，2层，第一层主要为办公会客展览区，第二层主要为检测、试验室</w:t>
                  </w:r>
                </w:p>
              </w:tc>
              <w:tc>
                <w:tcPr>
                  <w:tcW w:w="915" w:type="pct"/>
                  <w:tcBorders>
                    <w:tl2br w:val="nil"/>
                    <w:tr2bl w:val="nil"/>
                  </w:tcBorders>
                  <w:noWrap w:val="0"/>
                  <w:vAlign w:val="center"/>
                </w:tcPr>
                <w:p w14:paraId="4EE82F6E">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5DEF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99" w:type="pct"/>
                  <w:vMerge w:val="continue"/>
                  <w:tcBorders>
                    <w:tl2br w:val="nil"/>
                    <w:tr2bl w:val="nil"/>
                  </w:tcBorders>
                  <w:noWrap w:val="0"/>
                  <w:vAlign w:val="center"/>
                </w:tcPr>
                <w:p w14:paraId="6C54A8AB">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1759EED8">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空调机房</w:t>
                  </w:r>
                </w:p>
              </w:tc>
              <w:tc>
                <w:tcPr>
                  <w:tcW w:w="1396" w:type="pct"/>
                  <w:tcBorders>
                    <w:tl2br w:val="nil"/>
                    <w:tr2bl w:val="nil"/>
                  </w:tcBorders>
                  <w:noWrap w:val="0"/>
                  <w:vAlign w:val="center"/>
                </w:tcPr>
                <w:p w14:paraId="210FB7E3">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钢架结构，占地面积75m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1405" w:type="pct"/>
                  <w:tcBorders>
                    <w:tl2br w:val="nil"/>
                    <w:tr2bl w:val="nil"/>
                  </w:tcBorders>
                  <w:noWrap w:val="0"/>
                  <w:vAlign w:val="center"/>
                </w:tcPr>
                <w:p w14:paraId="583BCD43">
                  <w:pPr>
                    <w:pStyle w:val="125"/>
                    <w:keepNext w:val="0"/>
                    <w:keepLines w:val="0"/>
                    <w:suppressLineNumbers w:val="0"/>
                    <w:spacing w:before="0" w:beforeAutospacing="0" w:after="0" w:afterAutospacing="0"/>
                    <w:ind w:left="0" w:right="0"/>
                    <w:jc w:val="left"/>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钢架结构，占地面积75m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915" w:type="pct"/>
                  <w:tcBorders>
                    <w:tl2br w:val="nil"/>
                    <w:tr2bl w:val="nil"/>
                  </w:tcBorders>
                  <w:noWrap w:val="0"/>
                  <w:vAlign w:val="center"/>
                </w:tcPr>
                <w:p w14:paraId="2E8945B6">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6950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99" w:type="pct"/>
                  <w:vMerge w:val="continue"/>
                  <w:tcBorders>
                    <w:tl2br w:val="nil"/>
                    <w:tr2bl w:val="nil"/>
                  </w:tcBorders>
                  <w:noWrap w:val="0"/>
                  <w:vAlign w:val="center"/>
                </w:tcPr>
                <w:p w14:paraId="1ECB1477">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2612358D">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1#配电间</w:t>
                  </w:r>
                </w:p>
              </w:tc>
              <w:tc>
                <w:tcPr>
                  <w:tcW w:w="1396" w:type="pct"/>
                  <w:tcBorders>
                    <w:tl2br w:val="nil"/>
                    <w:tr2bl w:val="nil"/>
                  </w:tcBorders>
                  <w:noWrap w:val="0"/>
                  <w:vAlign w:val="center"/>
                </w:tcPr>
                <w:p w14:paraId="0D1A9811">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钢架结构，占地面积257m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1405" w:type="pct"/>
                  <w:tcBorders>
                    <w:tl2br w:val="nil"/>
                    <w:tr2bl w:val="nil"/>
                  </w:tcBorders>
                  <w:shd w:val="clear" w:color="auto" w:fill="auto"/>
                  <w:noWrap w:val="0"/>
                  <w:vAlign w:val="center"/>
                </w:tcPr>
                <w:p w14:paraId="29F9CA2D">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钢架结构，占地面积257m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915" w:type="pct"/>
                  <w:tcBorders>
                    <w:tl2br w:val="nil"/>
                    <w:tr2bl w:val="nil"/>
                  </w:tcBorders>
                  <w:noWrap w:val="0"/>
                  <w:vAlign w:val="center"/>
                </w:tcPr>
                <w:p w14:paraId="1E7AF05D">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7432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99" w:type="pct"/>
                  <w:vMerge w:val="continue"/>
                  <w:tcBorders>
                    <w:tl2br w:val="nil"/>
                    <w:tr2bl w:val="nil"/>
                  </w:tcBorders>
                  <w:noWrap w:val="0"/>
                  <w:vAlign w:val="center"/>
                </w:tcPr>
                <w:p w14:paraId="14BB00FB">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58FCA7F5">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2#配电间</w:t>
                  </w:r>
                </w:p>
              </w:tc>
              <w:tc>
                <w:tcPr>
                  <w:tcW w:w="1396" w:type="pct"/>
                  <w:tcBorders>
                    <w:tl2br w:val="nil"/>
                    <w:tr2bl w:val="nil"/>
                  </w:tcBorders>
                  <w:noWrap w:val="0"/>
                  <w:vAlign w:val="center"/>
                </w:tcPr>
                <w:p w14:paraId="4519B007">
                  <w:pPr>
                    <w:pStyle w:val="125"/>
                    <w:keepNext w:val="0"/>
                    <w:keepLines w:val="0"/>
                    <w:suppressLineNumbers w:val="0"/>
                    <w:spacing w:before="0" w:beforeAutospacing="0" w:after="0" w:afterAutospacing="0"/>
                    <w:ind w:left="0" w:right="0"/>
                    <w:jc w:val="left"/>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钢架结构，占地面积257m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1405" w:type="pct"/>
                  <w:tcBorders>
                    <w:tl2br w:val="nil"/>
                    <w:tr2bl w:val="nil"/>
                  </w:tcBorders>
                  <w:shd w:val="clear" w:color="auto" w:fill="auto"/>
                  <w:noWrap w:val="0"/>
                  <w:vAlign w:val="center"/>
                </w:tcPr>
                <w:p w14:paraId="47D29E3F">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钢架结构，占地面积257m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915" w:type="pct"/>
                  <w:tcBorders>
                    <w:tl2br w:val="nil"/>
                    <w:tr2bl w:val="nil"/>
                  </w:tcBorders>
                  <w:noWrap w:val="0"/>
                  <w:vAlign w:val="center"/>
                </w:tcPr>
                <w:p w14:paraId="752173AC">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1F1F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99" w:type="pct"/>
                  <w:vMerge w:val="continue"/>
                  <w:tcBorders>
                    <w:tl2br w:val="nil"/>
                    <w:tr2bl w:val="nil"/>
                  </w:tcBorders>
                  <w:noWrap w:val="0"/>
                  <w:vAlign w:val="center"/>
                </w:tcPr>
                <w:p w14:paraId="1551CA8A">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4238511D">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空压机房</w:t>
                  </w:r>
                </w:p>
              </w:tc>
              <w:tc>
                <w:tcPr>
                  <w:tcW w:w="1396" w:type="pct"/>
                  <w:tcBorders>
                    <w:tl2br w:val="nil"/>
                    <w:tr2bl w:val="nil"/>
                  </w:tcBorders>
                  <w:noWrap w:val="0"/>
                  <w:vAlign w:val="center"/>
                </w:tcPr>
                <w:p w14:paraId="65AF8F52">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钢架结构，占地面积75m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1405" w:type="pct"/>
                  <w:tcBorders>
                    <w:tl2br w:val="nil"/>
                    <w:tr2bl w:val="nil"/>
                  </w:tcBorders>
                  <w:shd w:val="clear" w:color="auto" w:fill="auto"/>
                  <w:noWrap w:val="0"/>
                  <w:vAlign w:val="center"/>
                </w:tcPr>
                <w:p w14:paraId="25FF663A">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钢架结构，占地面积75m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915" w:type="pct"/>
                  <w:tcBorders>
                    <w:tl2br w:val="nil"/>
                    <w:tr2bl w:val="nil"/>
                  </w:tcBorders>
                  <w:noWrap w:val="0"/>
                  <w:vAlign w:val="center"/>
                </w:tcPr>
                <w:p w14:paraId="18CE94F8">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5159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99" w:type="pct"/>
                  <w:vMerge w:val="continue"/>
                  <w:tcBorders>
                    <w:tl2br w:val="nil"/>
                    <w:tr2bl w:val="nil"/>
                  </w:tcBorders>
                  <w:noWrap w:val="0"/>
                  <w:vAlign w:val="center"/>
                </w:tcPr>
                <w:p w14:paraId="6340F8F5">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738A6C09">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过道就其他</w:t>
                  </w:r>
                </w:p>
              </w:tc>
              <w:tc>
                <w:tcPr>
                  <w:tcW w:w="1396" w:type="pct"/>
                  <w:tcBorders>
                    <w:tl2br w:val="nil"/>
                    <w:tr2bl w:val="nil"/>
                  </w:tcBorders>
                  <w:noWrap w:val="0"/>
                  <w:vAlign w:val="center"/>
                </w:tcPr>
                <w:p w14:paraId="264F9032">
                  <w:pPr>
                    <w:pStyle w:val="125"/>
                    <w:keepNext w:val="0"/>
                    <w:keepLines w:val="0"/>
                    <w:suppressLineNumbers w:val="0"/>
                    <w:spacing w:before="0" w:beforeAutospacing="0" w:after="0" w:afterAutospacing="0"/>
                    <w:ind w:left="0" w:right="0"/>
                    <w:jc w:val="left"/>
                    <w:rPr>
                      <w:rFonts w:hint="default"/>
                      <w:u w:val="none"/>
                      <w:lang w:val="en-US"/>
                    </w:rPr>
                  </w:pPr>
                  <w:r>
                    <w:rPr>
                      <w:rFonts w:hint="eastAsia" w:cs="Times New Roman"/>
                      <w:color w:val="auto"/>
                      <w:kern w:val="2"/>
                      <w:sz w:val="21"/>
                      <w:szCs w:val="21"/>
                      <w:highlight w:val="none"/>
                      <w:u w:val="none"/>
                      <w:lang w:val="en-US" w:eastAsia="zh-CN" w:bidi="ar-SA"/>
                    </w:rPr>
                    <w:t>用于人流和物流的通道，其他包括厕所、楼梯间等，占地面积9543m</w:t>
                  </w:r>
                  <w:r>
                    <w:rPr>
                      <w:rFonts w:hint="eastAsia" w:cs="Times New Roman"/>
                      <w:color w:val="auto"/>
                      <w:kern w:val="2"/>
                      <w:sz w:val="21"/>
                      <w:szCs w:val="21"/>
                      <w:highlight w:val="none"/>
                      <w:u w:val="none"/>
                      <w:vertAlign w:val="superscript"/>
                      <w:lang w:val="en-US" w:eastAsia="zh-CN" w:bidi="ar-SA"/>
                    </w:rPr>
                    <w:t>2</w:t>
                  </w:r>
                </w:p>
              </w:tc>
              <w:tc>
                <w:tcPr>
                  <w:tcW w:w="1405" w:type="pct"/>
                  <w:tcBorders>
                    <w:tl2br w:val="nil"/>
                    <w:tr2bl w:val="nil"/>
                  </w:tcBorders>
                  <w:shd w:val="clear" w:color="auto" w:fill="auto"/>
                  <w:noWrap w:val="0"/>
                  <w:vAlign w:val="center"/>
                </w:tcPr>
                <w:p w14:paraId="693B24B7">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kern w:val="2"/>
                      <w:sz w:val="21"/>
                      <w:szCs w:val="21"/>
                      <w:u w:val="none"/>
                      <w:lang w:val="en-US" w:eastAsia="zh-CN" w:bidi="ar-SA"/>
                    </w:rPr>
                  </w:pPr>
                  <w:r>
                    <w:rPr>
                      <w:rFonts w:hint="eastAsia" w:cs="Times New Roman"/>
                      <w:color w:val="auto"/>
                      <w:kern w:val="2"/>
                      <w:sz w:val="21"/>
                      <w:szCs w:val="21"/>
                      <w:highlight w:val="none"/>
                      <w:u w:val="none"/>
                      <w:lang w:val="en-US" w:eastAsia="zh-CN" w:bidi="ar-SA"/>
                    </w:rPr>
                    <w:t>用于人流和物流的通道，其他包括厕所、楼梯间等，占地面积8843m</w:t>
                  </w:r>
                  <w:r>
                    <w:rPr>
                      <w:rFonts w:hint="eastAsia" w:cs="Times New Roman"/>
                      <w:color w:val="auto"/>
                      <w:kern w:val="2"/>
                      <w:sz w:val="21"/>
                      <w:szCs w:val="21"/>
                      <w:highlight w:val="none"/>
                      <w:u w:val="none"/>
                      <w:vertAlign w:val="superscript"/>
                      <w:lang w:val="en-US" w:eastAsia="zh-CN" w:bidi="ar-SA"/>
                    </w:rPr>
                    <w:t>2</w:t>
                  </w:r>
                </w:p>
              </w:tc>
              <w:tc>
                <w:tcPr>
                  <w:tcW w:w="915" w:type="pct"/>
                  <w:tcBorders>
                    <w:tl2br w:val="nil"/>
                    <w:tr2bl w:val="nil"/>
                  </w:tcBorders>
                  <w:noWrap w:val="0"/>
                  <w:vAlign w:val="center"/>
                </w:tcPr>
                <w:p w14:paraId="17110885">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减少700m</w:t>
                  </w:r>
                  <w:r>
                    <w:rPr>
                      <w:rFonts w:hint="eastAsia" w:cs="Times New Roman"/>
                      <w:color w:val="auto"/>
                      <w:kern w:val="2"/>
                      <w:sz w:val="21"/>
                      <w:szCs w:val="21"/>
                      <w:highlight w:val="none"/>
                      <w:u w:val="none"/>
                      <w:vertAlign w:val="superscript"/>
                      <w:lang w:val="en-US" w:eastAsia="zh-CN" w:bidi="ar-SA"/>
                    </w:rPr>
                    <w:t>2</w:t>
                  </w:r>
                </w:p>
              </w:tc>
            </w:tr>
            <w:tr w14:paraId="0A80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99" w:type="pct"/>
                  <w:vMerge w:val="continue"/>
                  <w:tcBorders>
                    <w:tl2br w:val="nil"/>
                    <w:tr2bl w:val="nil"/>
                  </w:tcBorders>
                  <w:noWrap w:val="0"/>
                  <w:vAlign w:val="center"/>
                </w:tcPr>
                <w:p w14:paraId="3FBBCDE6">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30F15D96">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柴油发电机房</w:t>
                  </w:r>
                </w:p>
              </w:tc>
              <w:tc>
                <w:tcPr>
                  <w:tcW w:w="1396" w:type="pct"/>
                  <w:tcBorders>
                    <w:tl2br w:val="nil"/>
                    <w:tr2bl w:val="nil"/>
                  </w:tcBorders>
                  <w:noWrap w:val="0"/>
                  <w:vAlign w:val="center"/>
                </w:tcPr>
                <w:p w14:paraId="6F95A79E">
                  <w:pPr>
                    <w:pStyle w:val="125"/>
                    <w:keepNext w:val="0"/>
                    <w:keepLines w:val="0"/>
                    <w:suppressLineNumbers w:val="0"/>
                    <w:spacing w:before="0" w:beforeAutospacing="0" w:after="0" w:afterAutospacing="0"/>
                    <w:ind w:left="0" w:right="0"/>
                    <w:jc w:val="left"/>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钢架结构，占地面积35m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1405" w:type="pct"/>
                  <w:tcBorders>
                    <w:tl2br w:val="nil"/>
                    <w:tr2bl w:val="nil"/>
                  </w:tcBorders>
                  <w:shd w:val="clear" w:color="auto" w:fill="auto"/>
                  <w:noWrap w:val="0"/>
                  <w:vAlign w:val="center"/>
                </w:tcPr>
                <w:p w14:paraId="52688FF8">
                  <w:pPr>
                    <w:pStyle w:val="12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w:t>
                  </w:r>
                </w:p>
              </w:tc>
              <w:tc>
                <w:tcPr>
                  <w:tcW w:w="915" w:type="pct"/>
                  <w:tcBorders>
                    <w:tl2br w:val="nil"/>
                    <w:tr2bl w:val="nil"/>
                  </w:tcBorders>
                  <w:noWrap w:val="0"/>
                  <w:vAlign w:val="center"/>
                </w:tcPr>
                <w:p w14:paraId="526503B4">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取消柴油发电</w:t>
                  </w:r>
                </w:p>
              </w:tc>
            </w:tr>
            <w:tr w14:paraId="4AFA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99" w:type="pct"/>
                  <w:vMerge w:val="continue"/>
                  <w:tcBorders>
                    <w:tl2br w:val="nil"/>
                    <w:tr2bl w:val="nil"/>
                  </w:tcBorders>
                  <w:noWrap w:val="0"/>
                  <w:vAlign w:val="center"/>
                </w:tcPr>
                <w:p w14:paraId="52A51136">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186B35D5">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员工宿舍及食堂</w:t>
                  </w:r>
                </w:p>
              </w:tc>
              <w:tc>
                <w:tcPr>
                  <w:tcW w:w="1396" w:type="pct"/>
                  <w:tcBorders>
                    <w:tl2br w:val="nil"/>
                    <w:tr2bl w:val="nil"/>
                  </w:tcBorders>
                  <w:noWrap w:val="0"/>
                  <w:vAlign w:val="center"/>
                </w:tcPr>
                <w:p w14:paraId="54F2BB88">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位于厂区西南角，砖混结构，占地面积1098m</w:t>
                  </w:r>
                  <w:r>
                    <w:rPr>
                      <w:rFonts w:hint="eastAsia" w:cs="Times New Roman"/>
                      <w:color w:val="auto"/>
                      <w:kern w:val="2"/>
                      <w:sz w:val="21"/>
                      <w:szCs w:val="21"/>
                      <w:highlight w:val="none"/>
                      <w:u w:val="none"/>
                      <w:vertAlign w:val="superscript"/>
                      <w:lang w:val="en-US" w:eastAsia="zh-CN" w:bidi="ar-SA"/>
                    </w:rPr>
                    <w:t>2</w:t>
                  </w:r>
                </w:p>
              </w:tc>
              <w:tc>
                <w:tcPr>
                  <w:tcW w:w="1405" w:type="pct"/>
                  <w:tcBorders>
                    <w:tl2br w:val="nil"/>
                    <w:tr2bl w:val="nil"/>
                  </w:tcBorders>
                  <w:shd w:val="clear" w:color="auto" w:fill="auto"/>
                  <w:noWrap w:val="0"/>
                  <w:vAlign w:val="center"/>
                </w:tcPr>
                <w:p w14:paraId="08DAC190">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位于厂区西南角，砖混结构，占地面积1098m</w:t>
                  </w:r>
                  <w:r>
                    <w:rPr>
                      <w:rFonts w:hint="eastAsia" w:cs="Times New Roman"/>
                      <w:color w:val="auto"/>
                      <w:kern w:val="2"/>
                      <w:sz w:val="21"/>
                      <w:szCs w:val="21"/>
                      <w:highlight w:val="none"/>
                      <w:u w:val="none"/>
                      <w:vertAlign w:val="superscript"/>
                      <w:lang w:val="en-US" w:eastAsia="zh-CN" w:bidi="ar-SA"/>
                    </w:rPr>
                    <w:t>2</w:t>
                  </w:r>
                </w:p>
              </w:tc>
              <w:tc>
                <w:tcPr>
                  <w:tcW w:w="915" w:type="pct"/>
                  <w:tcBorders>
                    <w:tl2br w:val="nil"/>
                    <w:tr2bl w:val="nil"/>
                  </w:tcBorders>
                  <w:noWrap w:val="0"/>
                  <w:vAlign w:val="center"/>
                </w:tcPr>
                <w:p w14:paraId="2968C0F4">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5C83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99" w:type="pct"/>
                  <w:vMerge w:val="continue"/>
                  <w:tcBorders>
                    <w:tl2br w:val="nil"/>
                    <w:tr2bl w:val="nil"/>
                  </w:tcBorders>
                  <w:noWrap w:val="0"/>
                  <w:vAlign w:val="center"/>
                </w:tcPr>
                <w:p w14:paraId="18EAD7A3">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197D5038">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厂内道路</w:t>
                  </w:r>
                </w:p>
              </w:tc>
              <w:tc>
                <w:tcPr>
                  <w:tcW w:w="1396" w:type="pct"/>
                  <w:tcBorders>
                    <w:tl2br w:val="nil"/>
                    <w:tr2bl w:val="nil"/>
                  </w:tcBorders>
                  <w:noWrap w:val="0"/>
                  <w:vAlign w:val="center"/>
                </w:tcPr>
                <w:p w14:paraId="4DCD9BAC">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厂内设置宽6m，长度约600m的物流车道，占地面积约为3600m</w:t>
                  </w:r>
                  <w:r>
                    <w:rPr>
                      <w:rFonts w:hint="eastAsia" w:cs="Times New Roman"/>
                      <w:color w:val="auto"/>
                      <w:kern w:val="2"/>
                      <w:sz w:val="21"/>
                      <w:szCs w:val="21"/>
                      <w:highlight w:val="none"/>
                      <w:u w:val="none"/>
                      <w:vertAlign w:val="superscript"/>
                      <w:lang w:val="en-US" w:eastAsia="zh-CN" w:bidi="ar-SA"/>
                    </w:rPr>
                    <w:t>2</w:t>
                  </w:r>
                </w:p>
              </w:tc>
              <w:tc>
                <w:tcPr>
                  <w:tcW w:w="1405" w:type="pct"/>
                  <w:tcBorders>
                    <w:tl2br w:val="nil"/>
                    <w:tr2bl w:val="nil"/>
                  </w:tcBorders>
                  <w:shd w:val="clear" w:color="auto" w:fill="auto"/>
                  <w:noWrap w:val="0"/>
                  <w:vAlign w:val="center"/>
                </w:tcPr>
                <w:p w14:paraId="5FE538B0">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厂内设置宽6m，长度约600m的物流车道，占地面积约为3600m</w:t>
                  </w:r>
                  <w:r>
                    <w:rPr>
                      <w:rFonts w:hint="eastAsia" w:cs="Times New Roman"/>
                      <w:color w:val="auto"/>
                      <w:kern w:val="2"/>
                      <w:sz w:val="21"/>
                      <w:szCs w:val="21"/>
                      <w:highlight w:val="none"/>
                      <w:u w:val="none"/>
                      <w:vertAlign w:val="superscript"/>
                      <w:lang w:val="en-US" w:eastAsia="zh-CN" w:bidi="ar-SA"/>
                    </w:rPr>
                    <w:t>2</w:t>
                  </w:r>
                </w:p>
              </w:tc>
              <w:tc>
                <w:tcPr>
                  <w:tcW w:w="915" w:type="pct"/>
                  <w:tcBorders>
                    <w:tl2br w:val="nil"/>
                    <w:tr2bl w:val="nil"/>
                  </w:tcBorders>
                  <w:noWrap w:val="0"/>
                  <w:vAlign w:val="center"/>
                </w:tcPr>
                <w:p w14:paraId="6B8D02A0">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5EA8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99" w:type="pct"/>
                  <w:vMerge w:val="continue"/>
                  <w:tcBorders>
                    <w:tl2br w:val="nil"/>
                    <w:tr2bl w:val="nil"/>
                  </w:tcBorders>
                  <w:noWrap w:val="0"/>
                  <w:vAlign w:val="center"/>
                </w:tcPr>
                <w:p w14:paraId="44E5462B">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20F50DA1">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绿化</w:t>
                  </w:r>
                </w:p>
              </w:tc>
              <w:tc>
                <w:tcPr>
                  <w:tcW w:w="1396" w:type="pct"/>
                  <w:tcBorders>
                    <w:tl2br w:val="nil"/>
                    <w:tr2bl w:val="nil"/>
                  </w:tcBorders>
                  <w:noWrap w:val="0"/>
                  <w:vAlign w:val="center"/>
                </w:tcPr>
                <w:p w14:paraId="1397103C">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占地面积5317.34m</w:t>
                  </w:r>
                  <w:r>
                    <w:rPr>
                      <w:rFonts w:hint="eastAsia" w:cs="Times New Roman"/>
                      <w:color w:val="auto"/>
                      <w:kern w:val="2"/>
                      <w:sz w:val="21"/>
                      <w:szCs w:val="21"/>
                      <w:highlight w:val="none"/>
                      <w:u w:val="none"/>
                      <w:vertAlign w:val="superscript"/>
                      <w:lang w:val="en-US" w:eastAsia="zh-CN" w:bidi="ar-SA"/>
                    </w:rPr>
                    <w:t>2</w:t>
                  </w:r>
                </w:p>
              </w:tc>
              <w:tc>
                <w:tcPr>
                  <w:tcW w:w="1405" w:type="pct"/>
                  <w:tcBorders>
                    <w:tl2br w:val="nil"/>
                    <w:tr2bl w:val="nil"/>
                  </w:tcBorders>
                  <w:shd w:val="clear" w:color="auto" w:fill="auto"/>
                  <w:noWrap w:val="0"/>
                  <w:vAlign w:val="center"/>
                </w:tcPr>
                <w:p w14:paraId="23EFDE35">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占地面积5317.34m</w:t>
                  </w:r>
                  <w:r>
                    <w:rPr>
                      <w:rFonts w:hint="eastAsia" w:cs="Times New Roman"/>
                      <w:color w:val="auto"/>
                      <w:kern w:val="2"/>
                      <w:sz w:val="21"/>
                      <w:szCs w:val="21"/>
                      <w:highlight w:val="none"/>
                      <w:u w:val="none"/>
                      <w:vertAlign w:val="superscript"/>
                      <w:lang w:val="en-US" w:eastAsia="zh-CN" w:bidi="ar-SA"/>
                    </w:rPr>
                    <w:t>2</w:t>
                  </w:r>
                </w:p>
              </w:tc>
              <w:tc>
                <w:tcPr>
                  <w:tcW w:w="915" w:type="pct"/>
                  <w:tcBorders>
                    <w:tl2br w:val="nil"/>
                    <w:tr2bl w:val="nil"/>
                  </w:tcBorders>
                  <w:noWrap w:val="0"/>
                  <w:vAlign w:val="center"/>
                </w:tcPr>
                <w:p w14:paraId="1BEB853B">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58C6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99" w:type="pct"/>
                  <w:vMerge w:val="restart"/>
                  <w:tcBorders>
                    <w:tl2br w:val="nil"/>
                    <w:tr2bl w:val="nil"/>
                  </w:tcBorders>
                  <w:noWrap w:val="0"/>
                  <w:vAlign w:val="center"/>
                </w:tcPr>
                <w:p w14:paraId="11F152DC">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公用</w:t>
                  </w:r>
                </w:p>
                <w:p w14:paraId="14B84A6E">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工程</w:t>
                  </w:r>
                </w:p>
              </w:tc>
              <w:tc>
                <w:tcPr>
                  <w:tcW w:w="882" w:type="pct"/>
                  <w:gridSpan w:val="2"/>
                  <w:tcBorders>
                    <w:tl2br w:val="nil"/>
                    <w:tr2bl w:val="nil"/>
                  </w:tcBorders>
                  <w:noWrap w:val="0"/>
                  <w:vAlign w:val="center"/>
                </w:tcPr>
                <w:p w14:paraId="20F400E5">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给水</w:t>
                  </w:r>
                </w:p>
              </w:tc>
              <w:tc>
                <w:tcPr>
                  <w:tcW w:w="1396" w:type="pct"/>
                  <w:tcBorders>
                    <w:tl2br w:val="nil"/>
                    <w:tr2bl w:val="nil"/>
                  </w:tcBorders>
                  <w:noWrap w:val="0"/>
                  <w:vAlign w:val="center"/>
                </w:tcPr>
                <w:p w14:paraId="5B6289A8">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市政供水管网接入</w:t>
                  </w:r>
                </w:p>
              </w:tc>
              <w:tc>
                <w:tcPr>
                  <w:tcW w:w="1405" w:type="pct"/>
                  <w:tcBorders>
                    <w:tl2br w:val="nil"/>
                    <w:tr2bl w:val="nil"/>
                  </w:tcBorders>
                  <w:noWrap w:val="0"/>
                  <w:vAlign w:val="center"/>
                </w:tcPr>
                <w:p w14:paraId="13459875">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市政供水管网接入</w:t>
                  </w:r>
                </w:p>
              </w:tc>
              <w:tc>
                <w:tcPr>
                  <w:tcW w:w="915" w:type="pct"/>
                  <w:tcBorders>
                    <w:tl2br w:val="nil"/>
                    <w:tr2bl w:val="nil"/>
                  </w:tcBorders>
                  <w:noWrap w:val="0"/>
                  <w:vAlign w:val="center"/>
                </w:tcPr>
                <w:p w14:paraId="5AF238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依托</w:t>
                  </w:r>
                </w:p>
              </w:tc>
            </w:tr>
            <w:tr w14:paraId="098C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399" w:type="pct"/>
                  <w:vMerge w:val="continue"/>
                  <w:tcBorders>
                    <w:tl2br w:val="nil"/>
                    <w:tr2bl w:val="nil"/>
                  </w:tcBorders>
                  <w:noWrap w:val="0"/>
                  <w:vAlign w:val="center"/>
                </w:tcPr>
                <w:p w14:paraId="3D3E1FE0">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58443678">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排水</w:t>
                  </w:r>
                </w:p>
              </w:tc>
              <w:tc>
                <w:tcPr>
                  <w:tcW w:w="1396" w:type="pct"/>
                  <w:tcBorders>
                    <w:tl2br w:val="nil"/>
                    <w:tr2bl w:val="nil"/>
                  </w:tcBorders>
                  <w:noWrap w:val="0"/>
                  <w:vAlign w:val="center"/>
                </w:tcPr>
                <w:p w14:paraId="4B578FA7">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雨污分流，污水管网</w:t>
                  </w:r>
                </w:p>
              </w:tc>
              <w:tc>
                <w:tcPr>
                  <w:tcW w:w="1405" w:type="pct"/>
                  <w:tcBorders>
                    <w:tl2br w:val="nil"/>
                    <w:tr2bl w:val="nil"/>
                  </w:tcBorders>
                  <w:noWrap w:val="0"/>
                  <w:vAlign w:val="center"/>
                </w:tcPr>
                <w:p w14:paraId="7EA065B1">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雨污分流，污水管网</w:t>
                  </w:r>
                </w:p>
              </w:tc>
              <w:tc>
                <w:tcPr>
                  <w:tcW w:w="915" w:type="pct"/>
                  <w:tcBorders>
                    <w:tl2br w:val="nil"/>
                    <w:tr2bl w:val="nil"/>
                  </w:tcBorders>
                  <w:noWrap w:val="0"/>
                  <w:vAlign w:val="center"/>
                </w:tcPr>
                <w:p w14:paraId="5B31D4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依托</w:t>
                  </w:r>
                </w:p>
              </w:tc>
            </w:tr>
            <w:tr w14:paraId="3794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9" w:type="pct"/>
                  <w:vMerge w:val="continue"/>
                  <w:tcBorders>
                    <w:tl2br w:val="nil"/>
                    <w:tr2bl w:val="nil"/>
                  </w:tcBorders>
                  <w:noWrap w:val="0"/>
                  <w:vAlign w:val="center"/>
                </w:tcPr>
                <w:p w14:paraId="764071D2">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364AF1D7">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供</w:t>
                  </w:r>
                  <w:r>
                    <w:rPr>
                      <w:rFonts w:hint="default" w:ascii="Times New Roman" w:hAnsi="Times New Roman" w:eastAsia="宋体" w:cs="Times New Roman"/>
                      <w:color w:val="auto"/>
                      <w:kern w:val="2"/>
                      <w:sz w:val="21"/>
                      <w:szCs w:val="21"/>
                      <w:highlight w:val="none"/>
                      <w:u w:val="none"/>
                      <w:lang w:val="en-US" w:eastAsia="zh-CN" w:bidi="ar-SA"/>
                    </w:rPr>
                    <w:t>电</w:t>
                  </w:r>
                </w:p>
              </w:tc>
              <w:tc>
                <w:tcPr>
                  <w:tcW w:w="1396" w:type="pct"/>
                  <w:tcBorders>
                    <w:tl2br w:val="nil"/>
                    <w:tr2bl w:val="nil"/>
                  </w:tcBorders>
                  <w:noWrap w:val="0"/>
                  <w:vAlign w:val="center"/>
                </w:tcPr>
                <w:p w14:paraId="07CC0981">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由</w:t>
                  </w:r>
                  <w:r>
                    <w:rPr>
                      <w:rFonts w:hint="eastAsia" w:ascii="Times New Roman" w:hAnsi="Times New Roman" w:eastAsia="宋体" w:cs="Times New Roman"/>
                      <w:color w:val="auto"/>
                      <w:kern w:val="2"/>
                      <w:sz w:val="21"/>
                      <w:szCs w:val="21"/>
                      <w:highlight w:val="none"/>
                      <w:u w:val="none"/>
                      <w:lang w:val="en-US" w:eastAsia="zh-CN" w:bidi="ar-SA"/>
                    </w:rPr>
                    <w:t>市政</w:t>
                  </w:r>
                  <w:r>
                    <w:rPr>
                      <w:rFonts w:hint="default" w:ascii="Times New Roman" w:hAnsi="Times New Roman" w:eastAsia="宋体" w:cs="Times New Roman"/>
                      <w:color w:val="auto"/>
                      <w:kern w:val="2"/>
                      <w:sz w:val="21"/>
                      <w:szCs w:val="21"/>
                      <w:highlight w:val="none"/>
                      <w:u w:val="none"/>
                      <w:lang w:val="en-US" w:eastAsia="zh-CN" w:bidi="ar-SA"/>
                    </w:rPr>
                    <w:t>电网提供</w:t>
                  </w:r>
                </w:p>
              </w:tc>
              <w:tc>
                <w:tcPr>
                  <w:tcW w:w="1405" w:type="pct"/>
                  <w:tcBorders>
                    <w:tl2br w:val="nil"/>
                    <w:tr2bl w:val="nil"/>
                  </w:tcBorders>
                  <w:noWrap w:val="0"/>
                  <w:vAlign w:val="center"/>
                </w:tcPr>
                <w:p w14:paraId="26FE5D1B">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由</w:t>
                  </w:r>
                  <w:r>
                    <w:rPr>
                      <w:rFonts w:hint="eastAsia" w:ascii="Times New Roman" w:hAnsi="Times New Roman" w:eastAsia="宋体" w:cs="Times New Roman"/>
                      <w:color w:val="auto"/>
                      <w:kern w:val="2"/>
                      <w:sz w:val="21"/>
                      <w:szCs w:val="21"/>
                      <w:highlight w:val="none"/>
                      <w:u w:val="none"/>
                      <w:lang w:val="en-US" w:eastAsia="zh-CN" w:bidi="ar-SA"/>
                    </w:rPr>
                    <w:t>市政</w:t>
                  </w:r>
                  <w:r>
                    <w:rPr>
                      <w:rFonts w:hint="default" w:ascii="Times New Roman" w:hAnsi="Times New Roman" w:eastAsia="宋体" w:cs="Times New Roman"/>
                      <w:color w:val="auto"/>
                      <w:kern w:val="2"/>
                      <w:sz w:val="21"/>
                      <w:szCs w:val="21"/>
                      <w:highlight w:val="none"/>
                      <w:u w:val="none"/>
                      <w:lang w:val="en-US" w:eastAsia="zh-CN" w:bidi="ar-SA"/>
                    </w:rPr>
                    <w:t>电网提供</w:t>
                  </w:r>
                </w:p>
              </w:tc>
              <w:tc>
                <w:tcPr>
                  <w:tcW w:w="915" w:type="pct"/>
                  <w:tcBorders>
                    <w:tl2br w:val="nil"/>
                    <w:tr2bl w:val="nil"/>
                  </w:tcBorders>
                  <w:noWrap w:val="0"/>
                  <w:vAlign w:val="center"/>
                </w:tcPr>
                <w:p w14:paraId="5495D3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依托</w:t>
                  </w:r>
                </w:p>
              </w:tc>
            </w:tr>
            <w:tr w14:paraId="5336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9" w:type="pct"/>
                  <w:vMerge w:val="restart"/>
                  <w:tcBorders>
                    <w:tl2br w:val="nil"/>
                    <w:tr2bl w:val="nil"/>
                  </w:tcBorders>
                  <w:noWrap w:val="0"/>
                  <w:vAlign w:val="center"/>
                </w:tcPr>
                <w:p w14:paraId="7F6C5A2A">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环保</w:t>
                  </w:r>
                </w:p>
                <w:p w14:paraId="65F8E39A">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工程</w:t>
                  </w:r>
                </w:p>
              </w:tc>
              <w:tc>
                <w:tcPr>
                  <w:tcW w:w="422" w:type="pct"/>
                  <w:vMerge w:val="restart"/>
                  <w:tcBorders>
                    <w:tl2br w:val="nil"/>
                    <w:tr2bl w:val="nil"/>
                  </w:tcBorders>
                  <w:noWrap w:val="0"/>
                  <w:vAlign w:val="center"/>
                </w:tcPr>
                <w:p w14:paraId="3D0C8F03">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废气防治措施</w:t>
                  </w:r>
                </w:p>
              </w:tc>
              <w:tc>
                <w:tcPr>
                  <w:tcW w:w="460" w:type="pct"/>
                  <w:tcBorders>
                    <w:tl2br w:val="nil"/>
                    <w:tr2bl w:val="nil"/>
                  </w:tcBorders>
                  <w:noWrap w:val="0"/>
                  <w:vAlign w:val="center"/>
                </w:tcPr>
                <w:p w14:paraId="1B1C07E4">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高频淬火油烟</w:t>
                  </w:r>
                </w:p>
              </w:tc>
              <w:tc>
                <w:tcPr>
                  <w:tcW w:w="1396" w:type="pct"/>
                  <w:tcBorders>
                    <w:tl2br w:val="nil"/>
                    <w:tr2bl w:val="nil"/>
                  </w:tcBorders>
                  <w:noWrap w:val="0"/>
                  <w:vAlign w:val="center"/>
                </w:tcPr>
                <w:p w14:paraId="1C9DE3D7">
                  <w:pPr>
                    <w:pStyle w:val="125"/>
                    <w:keepNext w:val="0"/>
                    <w:keepLines w:val="0"/>
                    <w:numPr>
                      <w:ilvl w:val="0"/>
                      <w:numId w:val="0"/>
                    </w:numPr>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使用水性水性淬火剂，无组织排放</w:t>
                  </w:r>
                </w:p>
              </w:tc>
              <w:tc>
                <w:tcPr>
                  <w:tcW w:w="1405" w:type="pct"/>
                  <w:tcBorders>
                    <w:tl2br w:val="nil"/>
                    <w:tr2bl w:val="nil"/>
                  </w:tcBorders>
                  <w:shd w:val="clear" w:color="auto" w:fill="auto"/>
                  <w:noWrap w:val="0"/>
                  <w:vAlign w:val="center"/>
                </w:tcPr>
                <w:p w14:paraId="1676DA1D">
                  <w:pPr>
                    <w:pStyle w:val="125"/>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使用水性水性淬火剂，无组织排放</w:t>
                  </w:r>
                </w:p>
              </w:tc>
              <w:tc>
                <w:tcPr>
                  <w:tcW w:w="915" w:type="pct"/>
                  <w:tcBorders>
                    <w:tl2br w:val="nil"/>
                    <w:tr2bl w:val="nil"/>
                  </w:tcBorders>
                  <w:noWrap w:val="0"/>
                  <w:vAlign w:val="center"/>
                </w:tcPr>
                <w:p w14:paraId="7D0881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1F61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99" w:type="pct"/>
                  <w:vMerge w:val="continue"/>
                  <w:tcBorders>
                    <w:tl2br w:val="nil"/>
                    <w:tr2bl w:val="nil"/>
                  </w:tcBorders>
                  <w:noWrap w:val="0"/>
                  <w:vAlign w:val="center"/>
                </w:tcPr>
                <w:p w14:paraId="6D305A48">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422" w:type="pct"/>
                  <w:vMerge w:val="continue"/>
                  <w:tcBorders>
                    <w:tl2br w:val="nil"/>
                    <w:tr2bl w:val="nil"/>
                  </w:tcBorders>
                  <w:noWrap w:val="0"/>
                  <w:vAlign w:val="center"/>
                </w:tcPr>
                <w:p w14:paraId="5ED58708">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460" w:type="pct"/>
                  <w:tcBorders>
                    <w:tl2br w:val="nil"/>
                    <w:tr2bl w:val="nil"/>
                  </w:tcBorders>
                  <w:noWrap w:val="0"/>
                  <w:vAlign w:val="center"/>
                </w:tcPr>
                <w:p w14:paraId="19F819DB">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机加工废气</w:t>
                  </w:r>
                </w:p>
              </w:tc>
              <w:tc>
                <w:tcPr>
                  <w:tcW w:w="1396" w:type="pct"/>
                  <w:tcBorders>
                    <w:tl2br w:val="nil"/>
                    <w:tr2bl w:val="nil"/>
                  </w:tcBorders>
                  <w:noWrap w:val="0"/>
                  <w:vAlign w:val="center"/>
                </w:tcPr>
                <w:p w14:paraId="3BB02C2F">
                  <w:pPr>
                    <w:pStyle w:val="125"/>
                    <w:keepNext w:val="0"/>
                    <w:keepLines w:val="0"/>
                    <w:numPr>
                      <w:ilvl w:val="0"/>
                      <w:numId w:val="0"/>
                    </w:numPr>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密闭机床加工+负压收集+机械过滤</w:t>
                  </w:r>
                </w:p>
              </w:tc>
              <w:tc>
                <w:tcPr>
                  <w:tcW w:w="1405" w:type="pct"/>
                  <w:tcBorders>
                    <w:tl2br w:val="nil"/>
                    <w:tr2bl w:val="nil"/>
                  </w:tcBorders>
                  <w:shd w:val="clear" w:color="auto" w:fill="auto"/>
                  <w:noWrap w:val="0"/>
                  <w:vAlign w:val="center"/>
                </w:tcPr>
                <w:p w14:paraId="5118F6E4">
                  <w:pPr>
                    <w:pStyle w:val="125"/>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密闭机床加工+负压收集+机械过滤</w:t>
                  </w:r>
                </w:p>
              </w:tc>
              <w:tc>
                <w:tcPr>
                  <w:tcW w:w="915" w:type="pct"/>
                  <w:tcBorders>
                    <w:tl2br w:val="nil"/>
                    <w:tr2bl w:val="nil"/>
                  </w:tcBorders>
                  <w:noWrap w:val="0"/>
                  <w:vAlign w:val="center"/>
                </w:tcPr>
                <w:p w14:paraId="39361A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3E39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99" w:type="pct"/>
                  <w:vMerge w:val="continue"/>
                  <w:tcBorders>
                    <w:tl2br w:val="nil"/>
                    <w:tr2bl w:val="nil"/>
                  </w:tcBorders>
                  <w:noWrap w:val="0"/>
                  <w:vAlign w:val="center"/>
                </w:tcPr>
                <w:p w14:paraId="7336AEB4">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422" w:type="pct"/>
                  <w:vMerge w:val="continue"/>
                  <w:tcBorders>
                    <w:tl2br w:val="nil"/>
                    <w:tr2bl w:val="nil"/>
                  </w:tcBorders>
                  <w:noWrap w:val="0"/>
                  <w:vAlign w:val="center"/>
                </w:tcPr>
                <w:p w14:paraId="6C3903DD">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460" w:type="pct"/>
                  <w:tcBorders>
                    <w:tl2br w:val="nil"/>
                    <w:tr2bl w:val="nil"/>
                  </w:tcBorders>
                  <w:noWrap w:val="0"/>
                  <w:vAlign w:val="center"/>
                </w:tcPr>
                <w:p w14:paraId="66A0D77D">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表面喷砂处理废气</w:t>
                  </w:r>
                </w:p>
              </w:tc>
              <w:tc>
                <w:tcPr>
                  <w:tcW w:w="1396" w:type="pct"/>
                  <w:tcBorders>
                    <w:tl2br w:val="nil"/>
                    <w:tr2bl w:val="nil"/>
                  </w:tcBorders>
                  <w:noWrap w:val="0"/>
                  <w:vAlign w:val="center"/>
                </w:tcPr>
                <w:p w14:paraId="0DFCF201">
                  <w:pPr>
                    <w:pStyle w:val="125"/>
                    <w:keepNext w:val="0"/>
                    <w:keepLines w:val="0"/>
                    <w:numPr>
                      <w:ilvl w:val="0"/>
                      <w:numId w:val="0"/>
                    </w:numPr>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密闭机床加工+设备自带收集处理装置（布袋除尘）+15m高排气筒</w:t>
                  </w:r>
                </w:p>
              </w:tc>
              <w:tc>
                <w:tcPr>
                  <w:tcW w:w="1405" w:type="pct"/>
                  <w:tcBorders>
                    <w:tl2br w:val="nil"/>
                    <w:tr2bl w:val="nil"/>
                  </w:tcBorders>
                  <w:shd w:val="clear" w:color="auto" w:fill="auto"/>
                  <w:noWrap w:val="0"/>
                  <w:vAlign w:val="center"/>
                </w:tcPr>
                <w:p w14:paraId="330D3E57">
                  <w:pPr>
                    <w:pStyle w:val="125"/>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密闭机床加工+设备自带收集处理装置（布袋除尘）+15m高排气筒</w:t>
                  </w:r>
                </w:p>
              </w:tc>
              <w:tc>
                <w:tcPr>
                  <w:tcW w:w="915" w:type="pct"/>
                  <w:tcBorders>
                    <w:tl2br w:val="nil"/>
                    <w:tr2bl w:val="nil"/>
                  </w:tcBorders>
                  <w:noWrap w:val="0"/>
                  <w:vAlign w:val="center"/>
                </w:tcPr>
                <w:p w14:paraId="3CAE5A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0BAA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99" w:type="pct"/>
                  <w:vMerge w:val="continue"/>
                  <w:tcBorders>
                    <w:tl2br w:val="nil"/>
                    <w:tr2bl w:val="nil"/>
                  </w:tcBorders>
                  <w:noWrap w:val="0"/>
                  <w:vAlign w:val="center"/>
                </w:tcPr>
                <w:p w14:paraId="1DCD8D62">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422" w:type="pct"/>
                  <w:vMerge w:val="continue"/>
                  <w:tcBorders>
                    <w:tl2br w:val="nil"/>
                    <w:tr2bl w:val="nil"/>
                  </w:tcBorders>
                  <w:noWrap w:val="0"/>
                  <w:vAlign w:val="center"/>
                </w:tcPr>
                <w:p w14:paraId="59226266">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460" w:type="pct"/>
                  <w:tcBorders>
                    <w:tl2br w:val="nil"/>
                    <w:tr2bl w:val="nil"/>
                  </w:tcBorders>
                  <w:noWrap w:val="0"/>
                  <w:vAlign w:val="center"/>
                </w:tcPr>
                <w:p w14:paraId="7AF0E364">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食堂油烟</w:t>
                  </w:r>
                </w:p>
              </w:tc>
              <w:tc>
                <w:tcPr>
                  <w:tcW w:w="1396" w:type="pct"/>
                  <w:tcBorders>
                    <w:tl2br w:val="nil"/>
                    <w:tr2bl w:val="nil"/>
                  </w:tcBorders>
                  <w:noWrap w:val="0"/>
                  <w:vAlign w:val="center"/>
                </w:tcPr>
                <w:p w14:paraId="2647AFDD">
                  <w:pPr>
                    <w:pStyle w:val="125"/>
                    <w:keepNext w:val="0"/>
                    <w:keepLines w:val="0"/>
                    <w:numPr>
                      <w:ilvl w:val="0"/>
                      <w:numId w:val="0"/>
                    </w:numPr>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油烟净化器+排气筒高空排放</w:t>
                  </w:r>
                </w:p>
              </w:tc>
              <w:tc>
                <w:tcPr>
                  <w:tcW w:w="1405" w:type="pct"/>
                  <w:tcBorders>
                    <w:tl2br w:val="nil"/>
                    <w:tr2bl w:val="nil"/>
                  </w:tcBorders>
                  <w:shd w:val="clear" w:color="auto" w:fill="auto"/>
                  <w:noWrap w:val="0"/>
                  <w:vAlign w:val="center"/>
                </w:tcPr>
                <w:p w14:paraId="24B357CD">
                  <w:pPr>
                    <w:pStyle w:val="125"/>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油烟净化器+排气筒高空排放</w:t>
                  </w:r>
                </w:p>
              </w:tc>
              <w:tc>
                <w:tcPr>
                  <w:tcW w:w="915" w:type="pct"/>
                  <w:tcBorders>
                    <w:tl2br w:val="nil"/>
                    <w:tr2bl w:val="nil"/>
                  </w:tcBorders>
                  <w:noWrap w:val="0"/>
                  <w:vAlign w:val="center"/>
                </w:tcPr>
                <w:p w14:paraId="25422327">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20F8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99" w:type="pct"/>
                  <w:vMerge w:val="continue"/>
                  <w:tcBorders>
                    <w:tl2br w:val="nil"/>
                    <w:tr2bl w:val="nil"/>
                  </w:tcBorders>
                  <w:noWrap w:val="0"/>
                  <w:vAlign w:val="center"/>
                </w:tcPr>
                <w:p w14:paraId="3162A403">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422" w:type="pct"/>
                  <w:vMerge w:val="restart"/>
                  <w:tcBorders>
                    <w:tl2br w:val="nil"/>
                    <w:tr2bl w:val="nil"/>
                  </w:tcBorders>
                  <w:noWrap w:val="0"/>
                  <w:vAlign w:val="center"/>
                </w:tcPr>
                <w:p w14:paraId="2863677B">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废水治理措施</w:t>
                  </w:r>
                </w:p>
              </w:tc>
              <w:tc>
                <w:tcPr>
                  <w:tcW w:w="460" w:type="pct"/>
                  <w:tcBorders>
                    <w:tl2br w:val="nil"/>
                    <w:tr2bl w:val="nil"/>
                  </w:tcBorders>
                  <w:noWrap w:val="0"/>
                  <w:vAlign w:val="center"/>
                </w:tcPr>
                <w:p w14:paraId="6D6A19AB">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生活污水</w:t>
                  </w:r>
                </w:p>
              </w:tc>
              <w:tc>
                <w:tcPr>
                  <w:tcW w:w="1396" w:type="pct"/>
                  <w:tcBorders>
                    <w:tl2br w:val="nil"/>
                    <w:tr2bl w:val="nil"/>
                  </w:tcBorders>
                  <w:noWrap w:val="0"/>
                  <w:vAlign w:val="center"/>
                </w:tcPr>
                <w:p w14:paraId="0AACD2D5">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经化粪池处理后排入园区管网，进入湘阴县第二污水处理厂深度处理；</w:t>
                  </w:r>
                </w:p>
              </w:tc>
              <w:tc>
                <w:tcPr>
                  <w:tcW w:w="1405" w:type="pct"/>
                  <w:tcBorders>
                    <w:tl2br w:val="nil"/>
                    <w:tr2bl w:val="nil"/>
                  </w:tcBorders>
                  <w:noWrap w:val="0"/>
                  <w:vAlign w:val="center"/>
                </w:tcPr>
                <w:p w14:paraId="0505E91C">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经化粪池处理后排入园区管网，进入湘阴县第二污水处理厂深度处理；</w:t>
                  </w:r>
                </w:p>
              </w:tc>
              <w:tc>
                <w:tcPr>
                  <w:tcW w:w="915" w:type="pct"/>
                  <w:tcBorders>
                    <w:tl2br w:val="nil"/>
                    <w:tr2bl w:val="nil"/>
                  </w:tcBorders>
                  <w:noWrap w:val="0"/>
                  <w:vAlign w:val="center"/>
                </w:tcPr>
                <w:p w14:paraId="193C61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4616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99" w:type="pct"/>
                  <w:vMerge w:val="continue"/>
                  <w:tcBorders>
                    <w:tl2br w:val="nil"/>
                    <w:tr2bl w:val="nil"/>
                  </w:tcBorders>
                  <w:noWrap w:val="0"/>
                  <w:vAlign w:val="center"/>
                </w:tcPr>
                <w:p w14:paraId="2F924BD2">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422" w:type="pct"/>
                  <w:vMerge w:val="continue"/>
                  <w:tcBorders>
                    <w:tl2br w:val="nil"/>
                    <w:tr2bl w:val="nil"/>
                  </w:tcBorders>
                  <w:noWrap w:val="0"/>
                  <w:vAlign w:val="center"/>
                </w:tcPr>
                <w:p w14:paraId="1B71DDAF">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460" w:type="pct"/>
                  <w:tcBorders>
                    <w:tl2br w:val="nil"/>
                    <w:tr2bl w:val="nil"/>
                  </w:tcBorders>
                  <w:noWrap w:val="0"/>
                  <w:vAlign w:val="center"/>
                </w:tcPr>
                <w:p w14:paraId="42238C02">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清洗废水</w:t>
                  </w:r>
                </w:p>
              </w:tc>
              <w:tc>
                <w:tcPr>
                  <w:tcW w:w="1396" w:type="pct"/>
                  <w:tcBorders>
                    <w:tl2br w:val="nil"/>
                    <w:tr2bl w:val="nil"/>
                  </w:tcBorders>
                  <w:noWrap w:val="0"/>
                  <w:vAlign w:val="center"/>
                </w:tcPr>
                <w:p w14:paraId="28F4BE2E">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w:t>
                  </w:r>
                </w:p>
              </w:tc>
              <w:tc>
                <w:tcPr>
                  <w:tcW w:w="1405" w:type="pct"/>
                  <w:tcBorders>
                    <w:tl2br w:val="nil"/>
                    <w:tr2bl w:val="nil"/>
                  </w:tcBorders>
                  <w:noWrap w:val="0"/>
                  <w:vAlign w:val="center"/>
                </w:tcPr>
                <w:p w14:paraId="1ED641D9">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经隔油沉淀后，循环使用，每月做危废处理一次</w:t>
                  </w:r>
                </w:p>
              </w:tc>
              <w:tc>
                <w:tcPr>
                  <w:tcW w:w="915" w:type="pct"/>
                  <w:tcBorders>
                    <w:tl2br w:val="nil"/>
                    <w:tr2bl w:val="nil"/>
                  </w:tcBorders>
                  <w:noWrap w:val="0"/>
                  <w:vAlign w:val="center"/>
                </w:tcPr>
                <w:p w14:paraId="30EEFF28">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新增</w:t>
                  </w:r>
                </w:p>
              </w:tc>
            </w:tr>
            <w:tr w14:paraId="4398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99" w:type="pct"/>
                  <w:vMerge w:val="continue"/>
                  <w:tcBorders>
                    <w:tl2br w:val="nil"/>
                    <w:tr2bl w:val="nil"/>
                  </w:tcBorders>
                  <w:noWrap w:val="0"/>
                  <w:vAlign w:val="center"/>
                </w:tcPr>
                <w:p w14:paraId="5CC4E560">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718F4151">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噪声防治措施</w:t>
                  </w:r>
                </w:p>
              </w:tc>
              <w:tc>
                <w:tcPr>
                  <w:tcW w:w="1396" w:type="pct"/>
                  <w:tcBorders>
                    <w:tl2br w:val="nil"/>
                    <w:tr2bl w:val="nil"/>
                  </w:tcBorders>
                  <w:noWrap w:val="0"/>
                  <w:vAlign w:val="center"/>
                </w:tcPr>
                <w:p w14:paraId="13911306">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优先选用低噪声设备，合理布局高噪声设备，</w:t>
                  </w:r>
                  <w:r>
                    <w:rPr>
                      <w:rFonts w:hint="eastAsia" w:cs="Times New Roman"/>
                      <w:color w:val="auto"/>
                      <w:kern w:val="2"/>
                      <w:sz w:val="21"/>
                      <w:szCs w:val="21"/>
                      <w:highlight w:val="none"/>
                      <w:u w:val="none"/>
                      <w:lang w:val="en-US" w:eastAsia="zh-CN" w:bidi="ar-SA"/>
                    </w:rPr>
                    <w:t>厂房</w:t>
                  </w:r>
                  <w:r>
                    <w:rPr>
                      <w:rFonts w:hint="default" w:ascii="Times New Roman" w:hAnsi="Times New Roman" w:eastAsia="宋体" w:cs="Times New Roman"/>
                      <w:color w:val="auto"/>
                      <w:kern w:val="2"/>
                      <w:sz w:val="21"/>
                      <w:szCs w:val="21"/>
                      <w:highlight w:val="none"/>
                      <w:u w:val="none"/>
                      <w:lang w:val="en-US" w:eastAsia="zh-CN" w:bidi="ar-SA"/>
                    </w:rPr>
                    <w:t>隔声等降噪措施。</w:t>
                  </w:r>
                </w:p>
              </w:tc>
              <w:tc>
                <w:tcPr>
                  <w:tcW w:w="1405" w:type="pct"/>
                  <w:tcBorders>
                    <w:tl2br w:val="nil"/>
                    <w:tr2bl w:val="nil"/>
                  </w:tcBorders>
                  <w:shd w:val="clear" w:color="auto" w:fill="auto"/>
                  <w:noWrap w:val="0"/>
                  <w:vAlign w:val="center"/>
                </w:tcPr>
                <w:p w14:paraId="66196ACA">
                  <w:pPr>
                    <w:pStyle w:val="125"/>
                    <w:keepNext w:val="0"/>
                    <w:keepLines w:val="0"/>
                    <w:suppressLineNumbers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优先选用低噪声设备，合理布局高噪声设备，</w:t>
                  </w:r>
                  <w:r>
                    <w:rPr>
                      <w:rFonts w:hint="eastAsia" w:cs="Times New Roman"/>
                      <w:color w:val="auto"/>
                      <w:kern w:val="2"/>
                      <w:sz w:val="21"/>
                      <w:szCs w:val="21"/>
                      <w:highlight w:val="none"/>
                      <w:u w:val="none"/>
                      <w:lang w:val="en-US" w:eastAsia="zh-CN" w:bidi="ar-SA"/>
                    </w:rPr>
                    <w:t>厂房</w:t>
                  </w:r>
                  <w:r>
                    <w:rPr>
                      <w:rFonts w:hint="default" w:ascii="Times New Roman" w:hAnsi="Times New Roman" w:eastAsia="宋体" w:cs="Times New Roman"/>
                      <w:color w:val="auto"/>
                      <w:kern w:val="2"/>
                      <w:sz w:val="21"/>
                      <w:szCs w:val="21"/>
                      <w:highlight w:val="none"/>
                      <w:u w:val="none"/>
                      <w:lang w:val="en-US" w:eastAsia="zh-CN" w:bidi="ar-SA"/>
                    </w:rPr>
                    <w:t>隔声等降噪措施。</w:t>
                  </w:r>
                </w:p>
              </w:tc>
              <w:tc>
                <w:tcPr>
                  <w:tcW w:w="915" w:type="pct"/>
                  <w:tcBorders>
                    <w:tl2br w:val="nil"/>
                    <w:tr2bl w:val="nil"/>
                  </w:tcBorders>
                  <w:noWrap w:val="0"/>
                  <w:vAlign w:val="center"/>
                </w:tcPr>
                <w:p w14:paraId="4D6CA2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1F87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99" w:type="pct"/>
                  <w:vMerge w:val="continue"/>
                  <w:tcBorders>
                    <w:tl2br w:val="nil"/>
                    <w:tr2bl w:val="nil"/>
                  </w:tcBorders>
                  <w:noWrap w:val="0"/>
                  <w:vAlign w:val="center"/>
                </w:tcPr>
                <w:p w14:paraId="5C9835AF">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736D4ABD">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固废防治措施</w:t>
                  </w:r>
                </w:p>
              </w:tc>
              <w:tc>
                <w:tcPr>
                  <w:tcW w:w="1396" w:type="pct"/>
                  <w:tcBorders>
                    <w:tl2br w:val="nil"/>
                    <w:tr2bl w:val="nil"/>
                  </w:tcBorders>
                  <w:noWrap w:val="0"/>
                  <w:vAlign w:val="center"/>
                </w:tcPr>
                <w:p w14:paraId="3EF4E4F7">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一般</w:t>
                  </w:r>
                  <w:r>
                    <w:rPr>
                      <w:rFonts w:hint="default" w:ascii="Times New Roman" w:hAnsi="Times New Roman" w:eastAsia="宋体" w:cs="Times New Roman"/>
                      <w:color w:val="auto"/>
                      <w:kern w:val="2"/>
                      <w:sz w:val="21"/>
                      <w:szCs w:val="21"/>
                      <w:highlight w:val="none"/>
                      <w:u w:val="none"/>
                      <w:lang w:val="en-US" w:eastAsia="zh-CN" w:bidi="ar-SA"/>
                    </w:rPr>
                    <w:t>工业固废</w:t>
                  </w:r>
                  <w:r>
                    <w:rPr>
                      <w:rFonts w:hint="eastAsia" w:cs="Times New Roman"/>
                      <w:color w:val="auto"/>
                      <w:kern w:val="2"/>
                      <w:sz w:val="21"/>
                      <w:szCs w:val="21"/>
                      <w:highlight w:val="none"/>
                      <w:u w:val="none"/>
                      <w:lang w:val="en-US" w:eastAsia="zh-CN" w:bidi="ar-SA"/>
                    </w:rPr>
                    <w:t>（建设一般固废暂存间位于厂房外占地面积57m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w:t>
                  </w:r>
                  <w:r>
                    <w:rPr>
                      <w:rFonts w:hint="eastAsia"/>
                      <w:u w:val="none"/>
                      <w:lang w:val="en-US" w:eastAsia="zh-CN"/>
                    </w:rPr>
                    <w:t>有利用价值的由废品回收站回收再利用；危废主要为含油废铁屑、废润滑油等，建设有两个危废暂存间，一个为含油废铁屑暂存间（57m</w:t>
                  </w:r>
                  <w:r>
                    <w:rPr>
                      <w:rFonts w:hint="eastAsia"/>
                      <w:u w:val="none"/>
                      <w:vertAlign w:val="superscript"/>
                      <w:lang w:val="en-US" w:eastAsia="zh-CN"/>
                    </w:rPr>
                    <w:t>2</w:t>
                  </w:r>
                  <w:r>
                    <w:rPr>
                      <w:rFonts w:hint="eastAsia"/>
                      <w:u w:val="none"/>
                      <w:lang w:val="en-US" w:eastAsia="zh-CN"/>
                    </w:rPr>
                    <w:t>）、另一个为其他危废暂存间（57m</w:t>
                  </w:r>
                  <w:r>
                    <w:rPr>
                      <w:rFonts w:hint="eastAsia"/>
                      <w:u w:val="none"/>
                      <w:vertAlign w:val="superscript"/>
                      <w:lang w:val="en-US" w:eastAsia="zh-CN"/>
                    </w:rPr>
                    <w:t>2</w:t>
                  </w:r>
                  <w:r>
                    <w:rPr>
                      <w:rFonts w:hint="eastAsia"/>
                      <w:u w:val="none"/>
                      <w:lang w:val="en-US" w:eastAsia="zh-CN"/>
                    </w:rPr>
                    <w:t>），危废集中收集后由有资质单位回收处置</w:t>
                  </w:r>
                  <w:r>
                    <w:rPr>
                      <w:rFonts w:hint="eastAsia" w:ascii="Times New Roman" w:hAnsi="Times New Roman" w:eastAsia="宋体" w:cs="Times New Roman"/>
                      <w:color w:val="auto"/>
                      <w:kern w:val="2"/>
                      <w:sz w:val="21"/>
                      <w:szCs w:val="21"/>
                      <w:highlight w:val="none"/>
                      <w:u w:val="none"/>
                      <w:lang w:val="en-US" w:eastAsia="zh-CN" w:bidi="ar-SA"/>
                    </w:rPr>
                    <w:t>。</w:t>
                  </w:r>
                </w:p>
              </w:tc>
              <w:tc>
                <w:tcPr>
                  <w:tcW w:w="1405" w:type="pct"/>
                  <w:tcBorders>
                    <w:tl2br w:val="nil"/>
                    <w:tr2bl w:val="nil"/>
                  </w:tcBorders>
                  <w:shd w:val="clear" w:color="auto" w:fill="auto"/>
                  <w:noWrap w:val="0"/>
                  <w:vAlign w:val="center"/>
                </w:tcPr>
                <w:p w14:paraId="76F4185A">
                  <w:pPr>
                    <w:pStyle w:val="125"/>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一般</w:t>
                  </w:r>
                  <w:r>
                    <w:rPr>
                      <w:rFonts w:hint="default" w:ascii="Times New Roman" w:hAnsi="Times New Roman" w:eastAsia="宋体" w:cs="Times New Roman"/>
                      <w:color w:val="auto"/>
                      <w:kern w:val="2"/>
                      <w:sz w:val="21"/>
                      <w:szCs w:val="21"/>
                      <w:highlight w:val="none"/>
                      <w:u w:val="none"/>
                      <w:lang w:val="en-US" w:eastAsia="zh-CN" w:bidi="ar-SA"/>
                    </w:rPr>
                    <w:t>工业固废</w:t>
                  </w:r>
                  <w:r>
                    <w:rPr>
                      <w:rFonts w:hint="eastAsia" w:cs="Times New Roman"/>
                      <w:color w:val="auto"/>
                      <w:kern w:val="2"/>
                      <w:sz w:val="21"/>
                      <w:szCs w:val="21"/>
                      <w:highlight w:val="none"/>
                      <w:u w:val="none"/>
                      <w:lang w:val="en-US" w:eastAsia="zh-CN" w:bidi="ar-SA"/>
                    </w:rPr>
                    <w:t>（建设一般固废暂存间位于厂房外占地面积57m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w:t>
                  </w:r>
                  <w:r>
                    <w:rPr>
                      <w:rFonts w:hint="eastAsia"/>
                      <w:u w:val="none"/>
                      <w:lang w:val="en-US" w:eastAsia="zh-CN"/>
                    </w:rPr>
                    <w:t>有利用价值的由废品回收站回收再利用；危废主要为含油废铁屑、废润滑油等，建设有两个危废暂存间，一个为含油废铁屑暂存间（57m</w:t>
                  </w:r>
                  <w:r>
                    <w:rPr>
                      <w:rFonts w:hint="eastAsia"/>
                      <w:u w:val="none"/>
                      <w:vertAlign w:val="superscript"/>
                      <w:lang w:val="en-US" w:eastAsia="zh-CN"/>
                    </w:rPr>
                    <w:t>2</w:t>
                  </w:r>
                  <w:r>
                    <w:rPr>
                      <w:rFonts w:hint="eastAsia"/>
                      <w:u w:val="none"/>
                      <w:lang w:val="en-US" w:eastAsia="zh-CN"/>
                    </w:rPr>
                    <w:t>）、另一个为其他危废暂存间（57m</w:t>
                  </w:r>
                  <w:r>
                    <w:rPr>
                      <w:rFonts w:hint="eastAsia"/>
                      <w:u w:val="none"/>
                      <w:vertAlign w:val="superscript"/>
                      <w:lang w:val="en-US" w:eastAsia="zh-CN"/>
                    </w:rPr>
                    <w:t>2</w:t>
                  </w:r>
                  <w:r>
                    <w:rPr>
                      <w:rFonts w:hint="eastAsia"/>
                      <w:u w:val="none"/>
                      <w:lang w:val="en-US" w:eastAsia="zh-CN"/>
                    </w:rPr>
                    <w:t>），危废集中收集后由有资质单位回收处置</w:t>
                  </w:r>
                  <w:r>
                    <w:rPr>
                      <w:rFonts w:hint="eastAsia" w:ascii="Times New Roman" w:hAnsi="Times New Roman" w:eastAsia="宋体" w:cs="Times New Roman"/>
                      <w:color w:val="auto"/>
                      <w:kern w:val="2"/>
                      <w:sz w:val="21"/>
                      <w:szCs w:val="21"/>
                      <w:highlight w:val="none"/>
                      <w:u w:val="none"/>
                      <w:lang w:val="en-US" w:eastAsia="zh-CN" w:bidi="ar-SA"/>
                    </w:rPr>
                    <w:t>。</w:t>
                  </w:r>
                </w:p>
              </w:tc>
              <w:tc>
                <w:tcPr>
                  <w:tcW w:w="915" w:type="pct"/>
                  <w:tcBorders>
                    <w:tl2br w:val="nil"/>
                    <w:tr2bl w:val="nil"/>
                  </w:tcBorders>
                  <w:noWrap w:val="0"/>
                  <w:vAlign w:val="center"/>
                </w:tcPr>
                <w:p w14:paraId="4F07F4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tr w14:paraId="075A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399" w:type="pct"/>
                  <w:vMerge w:val="continue"/>
                  <w:tcBorders>
                    <w:tl2br w:val="nil"/>
                    <w:tr2bl w:val="nil"/>
                  </w:tcBorders>
                  <w:noWrap w:val="0"/>
                  <w:vAlign w:val="center"/>
                </w:tcPr>
                <w:p w14:paraId="21033689">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882" w:type="pct"/>
                  <w:gridSpan w:val="2"/>
                  <w:tcBorders>
                    <w:tl2br w:val="nil"/>
                    <w:tr2bl w:val="nil"/>
                  </w:tcBorders>
                  <w:noWrap w:val="0"/>
                  <w:vAlign w:val="center"/>
                </w:tcPr>
                <w:p w14:paraId="235B0CF8">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风险防范</w:t>
                  </w:r>
                </w:p>
              </w:tc>
              <w:tc>
                <w:tcPr>
                  <w:tcW w:w="1396" w:type="pct"/>
                  <w:tcBorders>
                    <w:tl2br w:val="nil"/>
                    <w:tr2bl w:val="nil"/>
                  </w:tcBorders>
                  <w:noWrap w:val="0"/>
                  <w:vAlign w:val="center"/>
                </w:tcPr>
                <w:p w14:paraId="4D7BB0AA">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加强对固废及危废的管理，建立台账管理制度。</w:t>
                  </w:r>
                </w:p>
              </w:tc>
              <w:tc>
                <w:tcPr>
                  <w:tcW w:w="1405" w:type="pct"/>
                  <w:tcBorders>
                    <w:tl2br w:val="nil"/>
                    <w:tr2bl w:val="nil"/>
                  </w:tcBorders>
                  <w:shd w:val="clear" w:color="auto" w:fill="auto"/>
                  <w:noWrap w:val="0"/>
                  <w:vAlign w:val="center"/>
                </w:tcPr>
                <w:p w14:paraId="484A0F93">
                  <w:pPr>
                    <w:pStyle w:val="125"/>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加强对固废及危废的管理，建立台账管理制度。</w:t>
                  </w:r>
                </w:p>
              </w:tc>
              <w:tc>
                <w:tcPr>
                  <w:tcW w:w="915" w:type="pct"/>
                  <w:tcBorders>
                    <w:tl2br w:val="nil"/>
                    <w:tr2bl w:val="nil"/>
                  </w:tcBorders>
                  <w:noWrap w:val="0"/>
                  <w:vAlign w:val="center"/>
                </w:tcPr>
                <w:p w14:paraId="0CE938EE">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保持不变</w:t>
                  </w:r>
                </w:p>
              </w:tc>
            </w:tr>
            <w:bookmarkEnd w:id="4"/>
          </w:tbl>
          <w:p w14:paraId="12506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生产规模</w:t>
            </w:r>
          </w:p>
          <w:p w14:paraId="55A55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本项目主要产品为线轨和滑块，</w:t>
            </w:r>
            <w:r>
              <w:rPr>
                <w:rFonts w:hint="default" w:ascii="Times New Roman" w:hAnsi="Times New Roman" w:eastAsia="宋体" w:cs="Times New Roman"/>
                <w:color w:val="auto"/>
                <w:kern w:val="2"/>
                <w:sz w:val="24"/>
                <w:szCs w:val="24"/>
                <w:highlight w:val="none"/>
                <w:lang w:val="en-US" w:eastAsia="zh-CN" w:bidi="ar-SA"/>
              </w:rPr>
              <w:t>项目产品方案见表2-</w:t>
            </w:r>
            <w:r>
              <w:rPr>
                <w:rFonts w:hint="eastAsia"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p>
          <w:p w14:paraId="30367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 xml:space="preserve">  项目产品生产方案</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1245"/>
              <w:gridCol w:w="1568"/>
              <w:gridCol w:w="1818"/>
              <w:gridCol w:w="1819"/>
            </w:tblGrid>
            <w:tr w14:paraId="21EB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0" w:type="dxa"/>
                  <w:vMerge w:val="restart"/>
                  <w:vAlign w:val="center"/>
                </w:tcPr>
                <w:p w14:paraId="394D67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产品类型、规格及生产规模（年产量）</w:t>
                  </w:r>
                </w:p>
              </w:tc>
              <w:tc>
                <w:tcPr>
                  <w:tcW w:w="1572" w:type="dxa"/>
                  <w:vAlign w:val="center"/>
                </w:tcPr>
                <w:p w14:paraId="2D4553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产品</w:t>
                  </w:r>
                </w:p>
              </w:tc>
              <w:tc>
                <w:tcPr>
                  <w:tcW w:w="1999" w:type="dxa"/>
                  <w:vAlign w:val="center"/>
                </w:tcPr>
                <w:p w14:paraId="29D0F8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变更前设计产能</w:t>
                  </w:r>
                </w:p>
              </w:tc>
              <w:tc>
                <w:tcPr>
                  <w:tcW w:w="2329" w:type="dxa"/>
                  <w:vAlign w:val="center"/>
                </w:tcPr>
                <w:p w14:paraId="6806AD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变更后设计产能</w:t>
                  </w:r>
                </w:p>
              </w:tc>
              <w:tc>
                <w:tcPr>
                  <w:tcW w:w="2329" w:type="dxa"/>
                  <w:vAlign w:val="center"/>
                </w:tcPr>
                <w:p w14:paraId="7087BF47">
                  <w:pPr>
                    <w:keepNext w:val="0"/>
                    <w:keepLines w:val="0"/>
                    <w:suppressLineNumbers w:val="0"/>
                    <w:adjustRightInd w:val="0"/>
                    <w:snapToGrid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新增产能</w:t>
                  </w:r>
                </w:p>
              </w:tc>
            </w:tr>
            <w:tr w14:paraId="1794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90" w:type="dxa"/>
                  <w:vMerge w:val="continue"/>
                  <w:vAlign w:val="center"/>
                </w:tcPr>
                <w:p w14:paraId="0ABC35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572" w:type="dxa"/>
                  <w:vAlign w:val="center"/>
                </w:tcPr>
                <w:p w14:paraId="79BEE8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线轨</w:t>
                  </w:r>
                </w:p>
              </w:tc>
              <w:tc>
                <w:tcPr>
                  <w:tcW w:w="1999" w:type="dxa"/>
                  <w:vAlign w:val="center"/>
                </w:tcPr>
                <w:p w14:paraId="6DE331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w:t>
                  </w:r>
                  <w:r>
                    <w:rPr>
                      <w:rFonts w:hint="eastAsia" w:cs="Times New Roman"/>
                      <w:color w:val="auto"/>
                      <w:kern w:val="2"/>
                      <w:sz w:val="21"/>
                      <w:szCs w:val="21"/>
                      <w:highlight w:val="none"/>
                      <w:lang w:val="en-US" w:eastAsia="zh-CN" w:bidi="ar-SA"/>
                    </w:rPr>
                    <w:t>万</w:t>
                  </w:r>
                  <w:r>
                    <w:rPr>
                      <w:rFonts w:hint="eastAsia" w:ascii="Times New Roman" w:hAnsi="Times New Roman" w:eastAsia="宋体" w:cs="Times New Roman"/>
                      <w:color w:val="auto"/>
                      <w:kern w:val="2"/>
                      <w:sz w:val="21"/>
                      <w:szCs w:val="21"/>
                      <w:highlight w:val="none"/>
                      <w:lang w:val="en-US" w:eastAsia="zh-CN" w:bidi="ar-SA"/>
                    </w:rPr>
                    <w:t>条</w:t>
                  </w:r>
                </w:p>
              </w:tc>
              <w:tc>
                <w:tcPr>
                  <w:tcW w:w="2329" w:type="dxa"/>
                  <w:vAlign w:val="center"/>
                </w:tcPr>
                <w:p w14:paraId="51E621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33万条</w:t>
                  </w:r>
                </w:p>
              </w:tc>
              <w:tc>
                <w:tcPr>
                  <w:tcW w:w="2329" w:type="dxa"/>
                  <w:vAlign w:val="center"/>
                </w:tcPr>
                <w:p w14:paraId="65ABD11E">
                  <w:pPr>
                    <w:keepNext w:val="0"/>
                    <w:keepLines w:val="0"/>
                    <w:suppressLineNumbers w:val="0"/>
                    <w:adjustRightInd w:val="0"/>
                    <w:snapToGrid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17万条</w:t>
                  </w:r>
                </w:p>
              </w:tc>
            </w:tr>
            <w:tr w14:paraId="332A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490" w:type="dxa"/>
                  <w:vMerge w:val="continue"/>
                  <w:vAlign w:val="center"/>
                </w:tcPr>
                <w:p w14:paraId="4D0673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572" w:type="dxa"/>
                  <w:vAlign w:val="center"/>
                </w:tcPr>
                <w:p w14:paraId="7CAC8D2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滑块</w:t>
                  </w:r>
                </w:p>
              </w:tc>
              <w:tc>
                <w:tcPr>
                  <w:tcW w:w="1999" w:type="dxa"/>
                  <w:vAlign w:val="center"/>
                </w:tcPr>
                <w:p w14:paraId="260CA6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54</w:t>
                  </w:r>
                  <w:r>
                    <w:rPr>
                      <w:rFonts w:hint="eastAsia" w:cs="Times New Roman"/>
                      <w:color w:val="auto"/>
                      <w:kern w:val="2"/>
                      <w:sz w:val="21"/>
                      <w:szCs w:val="21"/>
                      <w:highlight w:val="none"/>
                      <w:lang w:val="en-US" w:eastAsia="zh-CN" w:bidi="ar-SA"/>
                    </w:rPr>
                    <w:t>万</w:t>
                  </w:r>
                  <w:r>
                    <w:rPr>
                      <w:rFonts w:hint="eastAsia" w:ascii="Times New Roman" w:hAnsi="Times New Roman" w:eastAsia="宋体" w:cs="Times New Roman"/>
                      <w:color w:val="auto"/>
                      <w:kern w:val="2"/>
                      <w:sz w:val="21"/>
                      <w:szCs w:val="21"/>
                      <w:highlight w:val="none"/>
                      <w:lang w:val="en-US" w:eastAsia="zh-CN" w:bidi="ar-SA"/>
                    </w:rPr>
                    <w:t>件</w:t>
                  </w:r>
                </w:p>
              </w:tc>
              <w:tc>
                <w:tcPr>
                  <w:tcW w:w="2329" w:type="dxa"/>
                  <w:vAlign w:val="center"/>
                </w:tcPr>
                <w:p w14:paraId="2D5DE3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111万件</w:t>
                  </w:r>
                </w:p>
              </w:tc>
              <w:tc>
                <w:tcPr>
                  <w:tcW w:w="2329" w:type="dxa"/>
                  <w:vAlign w:val="center"/>
                </w:tcPr>
                <w:p w14:paraId="01FAB2BC">
                  <w:pPr>
                    <w:keepNext w:val="0"/>
                    <w:keepLines w:val="0"/>
                    <w:suppressLineNumbers w:val="0"/>
                    <w:adjustRightInd w:val="0"/>
                    <w:snapToGrid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57万件</w:t>
                  </w:r>
                </w:p>
              </w:tc>
            </w:tr>
          </w:tbl>
          <w:p w14:paraId="633D7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、主要生产设施</w:t>
            </w:r>
          </w:p>
          <w:p w14:paraId="25EE09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主要生产设施见下表：</w:t>
            </w:r>
          </w:p>
          <w:p w14:paraId="18A8CE8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表2-</w:t>
            </w:r>
            <w:r>
              <w:rPr>
                <w:rFonts w:hint="eastAsia" w:cs="Times New Roman"/>
                <w:b/>
                <w:bCs/>
                <w:color w:val="auto"/>
                <w:kern w:val="2"/>
                <w:sz w:val="24"/>
                <w:szCs w:val="24"/>
                <w:highlight w:val="none"/>
                <w:u w:val="none"/>
                <w:lang w:val="en-US" w:eastAsia="zh-CN" w:bidi="ar-SA"/>
              </w:rPr>
              <w:t xml:space="preserve">4 </w:t>
            </w:r>
            <w:r>
              <w:rPr>
                <w:rFonts w:hint="default" w:ascii="Times New Roman" w:hAnsi="Times New Roman" w:eastAsia="宋体" w:cs="Times New Roman"/>
                <w:b/>
                <w:bCs/>
                <w:color w:val="auto"/>
                <w:kern w:val="2"/>
                <w:sz w:val="24"/>
                <w:szCs w:val="24"/>
                <w:highlight w:val="none"/>
                <w:u w:val="none"/>
                <w:lang w:val="en-US" w:eastAsia="zh-CN" w:bidi="ar-SA"/>
              </w:rPr>
              <w:t xml:space="preserve"> </w:t>
            </w:r>
            <w:r>
              <w:rPr>
                <w:rFonts w:hint="eastAsia" w:cs="Times New Roman"/>
                <w:b/>
                <w:bCs/>
                <w:color w:val="auto"/>
                <w:kern w:val="2"/>
                <w:sz w:val="24"/>
                <w:szCs w:val="24"/>
                <w:highlight w:val="none"/>
                <w:u w:val="none"/>
                <w:lang w:val="en-US" w:eastAsia="zh-CN" w:bidi="ar-SA"/>
              </w:rPr>
              <w:t xml:space="preserve"> </w:t>
            </w:r>
            <w:r>
              <w:rPr>
                <w:rFonts w:hint="eastAsia" w:ascii="Times New Roman" w:hAnsi="Times New Roman" w:eastAsia="宋体" w:cs="Times New Roman"/>
                <w:b/>
                <w:bCs/>
                <w:color w:val="auto"/>
                <w:kern w:val="2"/>
                <w:sz w:val="24"/>
                <w:szCs w:val="24"/>
                <w:highlight w:val="none"/>
                <w:u w:val="none"/>
                <w:lang w:val="en-US" w:eastAsia="zh-CN" w:bidi="ar-SA"/>
              </w:rPr>
              <w:t>项目</w:t>
            </w:r>
            <w:r>
              <w:rPr>
                <w:rFonts w:hint="default" w:ascii="Times New Roman" w:hAnsi="Times New Roman" w:eastAsia="宋体" w:cs="Times New Roman"/>
                <w:b/>
                <w:bCs/>
                <w:color w:val="auto"/>
                <w:kern w:val="2"/>
                <w:sz w:val="24"/>
                <w:szCs w:val="24"/>
                <w:highlight w:val="none"/>
                <w:u w:val="none"/>
                <w:lang w:val="en-US" w:eastAsia="zh-CN" w:bidi="ar-SA"/>
              </w:rPr>
              <w:t>主要生产设施</w:t>
            </w:r>
            <w:r>
              <w:rPr>
                <w:rFonts w:hint="eastAsia" w:ascii="Times New Roman" w:hAnsi="Times New Roman" w:eastAsia="宋体" w:cs="Times New Roman"/>
                <w:b/>
                <w:bCs/>
                <w:color w:val="auto"/>
                <w:kern w:val="2"/>
                <w:sz w:val="24"/>
                <w:szCs w:val="24"/>
                <w:highlight w:val="none"/>
                <w:u w:val="none"/>
                <w:lang w:val="en-US" w:eastAsia="zh-CN" w:bidi="ar-SA"/>
              </w:rPr>
              <w:t>一览</w:t>
            </w:r>
            <w:r>
              <w:rPr>
                <w:rFonts w:hint="default" w:ascii="Times New Roman" w:hAnsi="Times New Roman" w:eastAsia="宋体" w:cs="Times New Roman"/>
                <w:b/>
                <w:bCs/>
                <w:color w:val="auto"/>
                <w:kern w:val="2"/>
                <w:sz w:val="24"/>
                <w:szCs w:val="24"/>
                <w:highlight w:val="none"/>
                <w:u w:val="none"/>
                <w:lang w:val="en-US" w:eastAsia="zh-CN" w:bidi="ar-SA"/>
              </w:rPr>
              <w:t>表</w:t>
            </w:r>
          </w:p>
          <w:tbl>
            <w:tblPr>
              <w:tblStyle w:val="33"/>
              <w:tblW w:w="8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1"/>
              <w:gridCol w:w="1755"/>
              <w:gridCol w:w="611"/>
              <w:gridCol w:w="816"/>
              <w:gridCol w:w="1136"/>
              <w:gridCol w:w="801"/>
              <w:gridCol w:w="1077"/>
              <w:gridCol w:w="1653"/>
            </w:tblGrid>
            <w:tr w14:paraId="55012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51" w:type="dxa"/>
                  <w:vMerge w:val="restart"/>
                  <w:tcBorders>
                    <w:top w:val="single" w:color="000000" w:sz="4" w:space="0"/>
                    <w:left w:val="single" w:color="000000" w:sz="4" w:space="0"/>
                    <w:right w:val="single" w:color="000000" w:sz="4" w:space="0"/>
                  </w:tcBorders>
                  <w:shd w:val="clear" w:color="auto" w:fill="auto"/>
                  <w:vAlign w:val="center"/>
                </w:tcPr>
                <w:p w14:paraId="1FBA5D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1755" w:type="dxa"/>
                  <w:vMerge w:val="restart"/>
                  <w:tcBorders>
                    <w:top w:val="single" w:color="000000" w:sz="4" w:space="0"/>
                    <w:left w:val="single" w:color="000000" w:sz="4" w:space="0"/>
                    <w:right w:val="single" w:color="000000" w:sz="4" w:space="0"/>
                  </w:tcBorders>
                  <w:shd w:val="clear" w:color="auto" w:fill="auto"/>
                  <w:vAlign w:val="center"/>
                </w:tcPr>
                <w:p w14:paraId="17AF16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设备名称</w:t>
                  </w:r>
                </w:p>
              </w:tc>
              <w:tc>
                <w:tcPr>
                  <w:tcW w:w="611" w:type="dxa"/>
                  <w:vMerge w:val="restart"/>
                  <w:tcBorders>
                    <w:top w:val="single" w:color="000000" w:sz="4" w:space="0"/>
                    <w:left w:val="single" w:color="000000" w:sz="4" w:space="0"/>
                    <w:right w:val="single" w:color="000000" w:sz="4" w:space="0"/>
                  </w:tcBorders>
                  <w:shd w:val="clear" w:color="auto" w:fill="auto"/>
                  <w:vAlign w:val="center"/>
                </w:tcPr>
                <w:p w14:paraId="17A27B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单位</w:t>
                  </w:r>
                </w:p>
              </w:tc>
              <w:tc>
                <w:tcPr>
                  <w:tcW w:w="19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263E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变更前设计</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2E85D2">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变更后</w:t>
                  </w:r>
                </w:p>
              </w:tc>
              <w:tc>
                <w:tcPr>
                  <w:tcW w:w="1653" w:type="dxa"/>
                  <w:vMerge w:val="restart"/>
                  <w:tcBorders>
                    <w:top w:val="single" w:color="000000" w:sz="4" w:space="0"/>
                    <w:left w:val="single" w:color="000000" w:sz="4" w:space="0"/>
                    <w:right w:val="single" w:color="000000" w:sz="4" w:space="0"/>
                  </w:tcBorders>
                  <w:shd w:val="clear" w:color="auto" w:fill="auto"/>
                  <w:vAlign w:val="center"/>
                </w:tcPr>
                <w:p w14:paraId="256D37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备注</w:t>
                  </w:r>
                </w:p>
              </w:tc>
            </w:tr>
            <w:tr w14:paraId="49006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51" w:type="dxa"/>
                  <w:vMerge w:val="continue"/>
                  <w:tcBorders>
                    <w:left w:val="single" w:color="000000" w:sz="4" w:space="0"/>
                    <w:bottom w:val="single" w:color="000000" w:sz="4" w:space="0"/>
                    <w:right w:val="single" w:color="000000" w:sz="4" w:space="0"/>
                  </w:tcBorders>
                  <w:shd w:val="clear" w:color="auto" w:fill="auto"/>
                  <w:vAlign w:val="center"/>
                </w:tcPr>
                <w:p w14:paraId="48CC7A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p>
              </w:tc>
              <w:tc>
                <w:tcPr>
                  <w:tcW w:w="1755" w:type="dxa"/>
                  <w:vMerge w:val="continue"/>
                  <w:tcBorders>
                    <w:left w:val="single" w:color="000000" w:sz="4" w:space="0"/>
                    <w:bottom w:val="single" w:color="000000" w:sz="4" w:space="0"/>
                    <w:right w:val="single" w:color="000000" w:sz="4" w:space="0"/>
                  </w:tcBorders>
                  <w:shd w:val="clear" w:color="auto" w:fill="auto"/>
                  <w:vAlign w:val="center"/>
                </w:tcPr>
                <w:p w14:paraId="4D5295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p>
              </w:tc>
              <w:tc>
                <w:tcPr>
                  <w:tcW w:w="611" w:type="dxa"/>
                  <w:vMerge w:val="continue"/>
                  <w:tcBorders>
                    <w:left w:val="single" w:color="000000" w:sz="4" w:space="0"/>
                    <w:bottom w:val="single" w:color="000000" w:sz="4" w:space="0"/>
                    <w:right w:val="single" w:color="000000" w:sz="4" w:space="0"/>
                  </w:tcBorders>
                  <w:shd w:val="clear" w:color="auto" w:fill="auto"/>
                  <w:vAlign w:val="center"/>
                </w:tcPr>
                <w:p w14:paraId="2E54C8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2F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FD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型号</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DB1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数量</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FAA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型号</w:t>
                  </w:r>
                </w:p>
              </w:tc>
              <w:tc>
                <w:tcPr>
                  <w:tcW w:w="1653" w:type="dxa"/>
                  <w:vMerge w:val="continue"/>
                  <w:tcBorders>
                    <w:left w:val="single" w:color="000000" w:sz="4" w:space="0"/>
                    <w:bottom w:val="single" w:color="000000" w:sz="4" w:space="0"/>
                    <w:right w:val="single" w:color="000000" w:sz="4" w:space="0"/>
                  </w:tcBorders>
                  <w:shd w:val="clear" w:color="auto" w:fill="auto"/>
                  <w:vAlign w:val="center"/>
                </w:tcPr>
                <w:p w14:paraId="3DDCAD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3A182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DD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CC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线轨</w:t>
                  </w:r>
                  <w:r>
                    <w:rPr>
                      <w:rFonts w:hint="default" w:ascii="Times New Roman" w:hAnsi="Times New Roman" w:eastAsia="宋体" w:cs="Times New Roman"/>
                      <w:i w:val="0"/>
                      <w:iCs w:val="0"/>
                      <w:color w:val="000000"/>
                      <w:kern w:val="0"/>
                      <w:sz w:val="21"/>
                      <w:szCs w:val="21"/>
                      <w:u w:val="none"/>
                      <w:lang w:val="en-US" w:eastAsia="zh-CN" w:bidi="ar"/>
                    </w:rPr>
                    <w:t>高频处理机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F9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5CE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36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TSDG-4</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44FE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C3D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TSDG-4</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DD5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r>
            <w:tr w14:paraId="699F3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1D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1.1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98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半自动机械手</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44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EC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2DF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B52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4</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200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非标定制</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13765">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新增4套半自动机械手</w:t>
                  </w:r>
                </w:p>
              </w:tc>
            </w:tr>
            <w:tr w14:paraId="2E594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47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23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校直机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CF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A3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B3B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YW41-16T</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6835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1C7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YW41-16T</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85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14:paraId="6CD1B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73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CC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导轨表面处理机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9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9B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F356">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F18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7B1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FC2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喷砂</w:t>
                  </w:r>
                </w:p>
              </w:tc>
            </w:tr>
            <w:tr w14:paraId="61F86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90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30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数控钻孔机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3C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36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C7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HJDK7166-00</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FC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E5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HJDK7166-00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79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11CBD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6D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4.1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9F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半自动机械手</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EB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3A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09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8A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9</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7B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非标定制</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4C03">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新增9套半自动机械手</w:t>
                  </w:r>
                </w:p>
              </w:tc>
            </w:tr>
            <w:tr w14:paraId="42211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55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8F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高精度立磨</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3E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FF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FB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MPL440</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C9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33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MPL440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52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14:paraId="07949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E8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6C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龙门平面磨</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D5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F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CD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GM-4512</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29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F4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GM-4512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8D2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14:paraId="57FAC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64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53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导轨球道磨</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21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8F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DF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MHL4000G</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59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7D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MHL4000G</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83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r>
            <w:tr w14:paraId="4DEFF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62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7.1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19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半自动机械手</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7A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60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64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9A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25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E5E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非标定制</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BAF8">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新增25套半自机械手</w:t>
                  </w:r>
                </w:p>
              </w:tc>
            </w:tr>
            <w:tr w14:paraId="2D331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D37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AE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导轨激光打标机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FA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11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3EE8">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092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C51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7C74">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4CC41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81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18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导轨防锈处理机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38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A0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212B">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45C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6C4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B04C">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3D086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09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F0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包装机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7B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2D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BD1B">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1AF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070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ECF2">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367BB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65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0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圆盘下料机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42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0E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BF10">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BD6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4EF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FC80">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63C07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4B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FF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钻铣CNC</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94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E1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95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5F52">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33CA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95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BEA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C43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62CCE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C0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B7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滑块表面处理机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A95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EA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3E8D">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015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AC3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D80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喷砂</w:t>
                  </w:r>
                </w:p>
              </w:tc>
            </w:tr>
            <w:tr w14:paraId="0BFE6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97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EB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平面磨床</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69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BCA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8E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SG-104SD</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F62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E5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SG-104SD</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DDC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0EE0E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8C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D3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平侧磨床</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4A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A8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485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MHHK-24SP</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A5CF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9E8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MHHK-24SP</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2D4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31F6B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1C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03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滑块球道磨</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2A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63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3C4A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MHHK-8D</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710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C9EC6">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MHHK-8D</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15D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3EA73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D8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82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滑块组装线</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F6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4F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B8C61">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637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C60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EF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02468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C3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17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滑块激光打标机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D6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A9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899F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LS-MFP30L-C</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3D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7FF37">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LS-MFP30L-C</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388C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69FA8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CD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72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滑块防锈处理机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67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92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C648">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109E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9DB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F1D3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377BF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12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B0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滑块包装机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3A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B3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A7C1">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F9E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113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FDA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136A9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C1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B2F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砂轮切割机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98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5C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60B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90E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CB2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46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45125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E1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D67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倒角机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EC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EA3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239F">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C74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EEC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88D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4A0BF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97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B1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线切割</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7F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55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144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9EB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60D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617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64DC8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10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39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端面磨床</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48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DC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48A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MF-350</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02E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A6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MF-350</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6D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7F78F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A1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65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配对打标机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13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FE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6C0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LS-MFP30L-S-4M</w:t>
                  </w:r>
                </w:p>
              </w:tc>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67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F40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LS-MFP30L-S-4M</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46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26C7A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05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E1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平面磨床(配磨用)</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464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16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7D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KGS-4012MC</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D6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52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KGS-4012MC</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38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1DCF7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0B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84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防锈包装机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85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88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5D61">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843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646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F90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75209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8E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AD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辅助恒温设备</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6C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726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A645">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3D6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C1C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81F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3F010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30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29</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89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清洗机</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50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3E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4F2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4CD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9C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25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新增2台清洗机</w:t>
                  </w:r>
                </w:p>
              </w:tc>
            </w:tr>
          </w:tbl>
          <w:p w14:paraId="2D3209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w:t>
            </w:r>
            <w:r>
              <w:rPr>
                <w:rFonts w:hint="default" w:ascii="Times New Roman" w:hAnsi="Times New Roman" w:eastAsia="宋体" w:cs="Times New Roman"/>
                <w:color w:val="auto"/>
                <w:kern w:val="2"/>
                <w:sz w:val="24"/>
                <w:szCs w:val="24"/>
                <w:highlight w:val="none"/>
                <w:lang w:val="en-US" w:eastAsia="zh-CN" w:bidi="ar-SA"/>
              </w:rPr>
              <w:t>项目的设备不属于《产业结构调整指导目录（20</w:t>
            </w:r>
            <w:r>
              <w:rPr>
                <w:rFonts w:hint="eastAsia" w:ascii="Times New Roman" w:hAnsi="Times New Roman" w:eastAsia="宋体" w:cs="Times New Roman"/>
                <w:color w:val="auto"/>
                <w:kern w:val="2"/>
                <w:sz w:val="24"/>
                <w:szCs w:val="24"/>
                <w:highlight w:val="none"/>
                <w:lang w:val="en-US" w:eastAsia="zh-CN" w:bidi="ar-SA"/>
              </w:rPr>
              <w:t>24</w:t>
            </w:r>
            <w:r>
              <w:rPr>
                <w:rFonts w:hint="default" w:ascii="Times New Roman" w:hAnsi="Times New Roman" w:eastAsia="宋体" w:cs="Times New Roman"/>
                <w:color w:val="auto"/>
                <w:kern w:val="2"/>
                <w:sz w:val="24"/>
                <w:szCs w:val="24"/>
                <w:highlight w:val="none"/>
                <w:lang w:val="en-US" w:eastAsia="zh-CN" w:bidi="ar-SA"/>
              </w:rPr>
              <w:t>年本）</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工业和信息化部高耗能落后机电设备（产品）淘汰目录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部分工业行业淘汰落后生产工艺装备和产品指导目录》中淘汰及明令禁止使用的设备及工艺</w:t>
            </w:r>
            <w:r>
              <w:rPr>
                <w:rFonts w:hint="eastAsia" w:ascii="Times New Roman" w:hAnsi="Times New Roman" w:eastAsia="宋体" w:cs="Times New Roman"/>
                <w:color w:val="auto"/>
                <w:kern w:val="2"/>
                <w:sz w:val="24"/>
                <w:szCs w:val="24"/>
                <w:highlight w:val="none"/>
                <w:lang w:val="en-US" w:eastAsia="zh-CN" w:bidi="ar-SA"/>
              </w:rPr>
              <w:t>。</w:t>
            </w:r>
          </w:p>
          <w:p w14:paraId="3BA55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kern w:val="2"/>
                <w:sz w:val="24"/>
                <w:szCs w:val="24"/>
                <w:highlight w:val="none"/>
                <w:u w:val="single"/>
                <w:lang w:val="en-US" w:eastAsia="zh-CN" w:bidi="ar-SA"/>
              </w:rPr>
            </w:pPr>
            <w:r>
              <w:rPr>
                <w:rFonts w:hint="eastAsia" w:cs="Times New Roman"/>
                <w:color w:val="auto"/>
                <w:kern w:val="2"/>
                <w:sz w:val="24"/>
                <w:szCs w:val="24"/>
                <w:highlight w:val="none"/>
                <w:u w:val="single"/>
                <w:lang w:val="en-US" w:eastAsia="zh-CN" w:bidi="ar-SA"/>
              </w:rPr>
              <w:t>变更前</w:t>
            </w:r>
            <w:r>
              <w:rPr>
                <w:rFonts w:hint="eastAsia" w:ascii="Times New Roman" w:hAnsi="Times New Roman" w:eastAsia="宋体" w:cs="Times New Roman"/>
                <w:color w:val="auto"/>
                <w:kern w:val="2"/>
                <w:sz w:val="24"/>
                <w:szCs w:val="24"/>
                <w:highlight w:val="none"/>
                <w:u w:val="single"/>
                <w:lang w:val="en-US" w:eastAsia="zh-CN" w:bidi="ar-SA"/>
              </w:rPr>
              <w:t>产能核算：本项目高频处理机加工一件线轨根据产品型号的不同需用时6-10分钟，根据建设单位经验，平均用时约为8</w:t>
            </w:r>
            <w:r>
              <w:rPr>
                <w:rFonts w:hint="eastAsia" w:cs="Times New Roman"/>
                <w:color w:val="auto"/>
                <w:kern w:val="2"/>
                <w:sz w:val="24"/>
                <w:szCs w:val="24"/>
                <w:highlight w:val="none"/>
                <w:u w:val="single"/>
                <w:lang w:val="en-US" w:eastAsia="zh-CN" w:bidi="ar-SA"/>
              </w:rPr>
              <w:t>.3</w:t>
            </w:r>
            <w:r>
              <w:rPr>
                <w:rFonts w:hint="eastAsia" w:ascii="Times New Roman" w:hAnsi="Times New Roman" w:eastAsia="宋体" w:cs="Times New Roman"/>
                <w:color w:val="auto"/>
                <w:kern w:val="2"/>
                <w:sz w:val="24"/>
                <w:szCs w:val="24"/>
                <w:highlight w:val="none"/>
                <w:u w:val="single"/>
                <w:lang w:val="en-US" w:eastAsia="zh-CN" w:bidi="ar-SA"/>
              </w:rPr>
              <w:t>分钟每个</w:t>
            </w:r>
            <w:r>
              <w:rPr>
                <w:rFonts w:hint="eastAsia" w:cs="Times New Roman"/>
                <w:color w:val="auto"/>
                <w:kern w:val="2"/>
                <w:sz w:val="24"/>
                <w:szCs w:val="24"/>
                <w:highlight w:val="none"/>
                <w:u w:val="single"/>
                <w:lang w:val="en-US" w:eastAsia="zh-CN" w:bidi="ar-SA"/>
              </w:rPr>
              <w:t>，包括装卸工件时间，按两班，每班工作8小时计算，可年产线轨159360件，每个线轨根据产品型号的不同配套2-4个滑块，本次评价取整数160000件线轨、540000件滑块计算分析产排污。</w:t>
            </w:r>
          </w:p>
          <w:p w14:paraId="467B45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kern w:val="2"/>
                <w:sz w:val="24"/>
                <w:szCs w:val="24"/>
                <w:highlight w:val="none"/>
                <w:u w:val="single"/>
                <w:lang w:val="en-US" w:eastAsia="zh-CN" w:bidi="ar-SA"/>
              </w:rPr>
            </w:pPr>
            <w:r>
              <w:rPr>
                <w:rFonts w:hint="eastAsia" w:cs="Times New Roman"/>
                <w:color w:val="auto"/>
                <w:kern w:val="2"/>
                <w:sz w:val="24"/>
                <w:szCs w:val="24"/>
                <w:highlight w:val="none"/>
                <w:u w:val="single"/>
                <w:lang w:val="en-US" w:eastAsia="zh-CN" w:bidi="ar-SA"/>
              </w:rPr>
              <w:t>变更后产能核算：变更后高频淬火机、打孔机、轨道磨等装卸方式由人工变成半自动装卸，生产效率从6-10分钟/根，提高至4-6分钟/根，平均生产一个根时间为5.2分钟，年生产时间由2班倒，变更为3班倒，可年产33.2万根线轨的产能，考虑到一些不可预见情形，年产能按33万根线轨核算，每个线轨配套2-4个滑块不等，综上所述，本项目变更后可达到发改备案产能33万条线轨和111万件滑块。</w:t>
            </w:r>
          </w:p>
          <w:p w14:paraId="326C1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6、主要原辅材料的种类和用量</w:t>
            </w:r>
          </w:p>
          <w:p w14:paraId="473CAA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w:t>
            </w:r>
            <w:r>
              <w:rPr>
                <w:rFonts w:hint="default" w:ascii="Times New Roman" w:hAnsi="Times New Roman" w:eastAsia="宋体" w:cs="Times New Roman"/>
                <w:color w:val="auto"/>
                <w:kern w:val="2"/>
                <w:sz w:val="24"/>
                <w:szCs w:val="24"/>
                <w:highlight w:val="none"/>
                <w:lang w:val="en-US" w:eastAsia="zh-CN" w:bidi="ar-SA"/>
              </w:rPr>
              <w:t>项目主要原辅材料的种类和用量详见下表：</w:t>
            </w:r>
          </w:p>
          <w:p w14:paraId="49731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项目主要原辅材料的种类和用量一览表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180"/>
              <w:gridCol w:w="771"/>
              <w:gridCol w:w="1122"/>
              <w:gridCol w:w="1281"/>
              <w:gridCol w:w="932"/>
              <w:gridCol w:w="1369"/>
              <w:gridCol w:w="1010"/>
            </w:tblGrid>
            <w:tr w14:paraId="7EAD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390" w:type="dxa"/>
                  <w:gridSpan w:val="8"/>
                  <w:vAlign w:val="center"/>
                </w:tcPr>
                <w:p w14:paraId="41B37EA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主要生产原辅材料</w:t>
                  </w:r>
                </w:p>
              </w:tc>
            </w:tr>
            <w:tr w14:paraId="11B1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restart"/>
                  <w:vAlign w:val="center"/>
                </w:tcPr>
                <w:p w14:paraId="1004A0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1180" w:type="dxa"/>
                  <w:vMerge w:val="restart"/>
                  <w:vAlign w:val="center"/>
                </w:tcPr>
                <w:p w14:paraId="7ECAFC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名称</w:t>
                  </w:r>
                </w:p>
              </w:tc>
              <w:tc>
                <w:tcPr>
                  <w:tcW w:w="771" w:type="dxa"/>
                  <w:vMerge w:val="restart"/>
                  <w:vAlign w:val="center"/>
                </w:tcPr>
                <w:p w14:paraId="55DA87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单位</w:t>
                  </w:r>
                </w:p>
              </w:tc>
              <w:tc>
                <w:tcPr>
                  <w:tcW w:w="2403" w:type="dxa"/>
                  <w:gridSpan w:val="2"/>
                  <w:vAlign w:val="center"/>
                </w:tcPr>
                <w:p w14:paraId="4826C0ED">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变更前</w:t>
                  </w:r>
                </w:p>
              </w:tc>
              <w:tc>
                <w:tcPr>
                  <w:tcW w:w="2301" w:type="dxa"/>
                  <w:gridSpan w:val="2"/>
                  <w:vAlign w:val="center"/>
                </w:tcPr>
                <w:p w14:paraId="4459235A">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变更后</w:t>
                  </w:r>
                </w:p>
              </w:tc>
              <w:tc>
                <w:tcPr>
                  <w:tcW w:w="1010" w:type="dxa"/>
                  <w:vAlign w:val="center"/>
                </w:tcPr>
                <w:p w14:paraId="4A9FD5F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p>
              </w:tc>
            </w:tr>
            <w:tr w14:paraId="4CBE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continue"/>
                  <w:vAlign w:val="center"/>
                </w:tcPr>
                <w:p w14:paraId="17427E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180" w:type="dxa"/>
                  <w:vMerge w:val="continue"/>
                  <w:vAlign w:val="center"/>
                </w:tcPr>
                <w:p w14:paraId="1F6B9C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771" w:type="dxa"/>
                  <w:vMerge w:val="continue"/>
                  <w:vAlign w:val="center"/>
                </w:tcPr>
                <w:p w14:paraId="275BF7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122" w:type="dxa"/>
                  <w:vAlign w:val="center"/>
                </w:tcPr>
                <w:p w14:paraId="746BD4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年用量</w:t>
                  </w:r>
                </w:p>
              </w:tc>
              <w:tc>
                <w:tcPr>
                  <w:tcW w:w="1281" w:type="dxa"/>
                  <w:vAlign w:val="center"/>
                </w:tcPr>
                <w:p w14:paraId="5F5CEB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最大储存量</w:t>
                  </w:r>
                </w:p>
              </w:tc>
              <w:tc>
                <w:tcPr>
                  <w:tcW w:w="932" w:type="dxa"/>
                  <w:shd w:val="clear" w:color="auto" w:fill="auto"/>
                  <w:vAlign w:val="center"/>
                </w:tcPr>
                <w:p w14:paraId="28124E5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年用量</w:t>
                  </w:r>
                </w:p>
              </w:tc>
              <w:tc>
                <w:tcPr>
                  <w:tcW w:w="1369" w:type="dxa"/>
                  <w:shd w:val="clear" w:color="auto" w:fill="auto"/>
                  <w:vAlign w:val="center"/>
                </w:tcPr>
                <w:p w14:paraId="2056ADC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最大储存量</w:t>
                  </w:r>
                </w:p>
              </w:tc>
              <w:tc>
                <w:tcPr>
                  <w:tcW w:w="1010" w:type="dxa"/>
                  <w:vAlign w:val="center"/>
                </w:tcPr>
                <w:p w14:paraId="24DE8CC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备注</w:t>
                  </w:r>
                </w:p>
              </w:tc>
            </w:tr>
            <w:tr w14:paraId="00E9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vAlign w:val="center"/>
                </w:tcPr>
                <w:p w14:paraId="32ACF0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180" w:type="dxa"/>
                  <w:vAlign w:val="center"/>
                </w:tcPr>
                <w:p w14:paraId="09B34C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线轨</w:t>
                  </w:r>
                  <w:r>
                    <w:rPr>
                      <w:rFonts w:hint="eastAsia" w:ascii="Times New Roman" w:hAnsi="Times New Roman" w:eastAsia="宋体" w:cs="Times New Roman"/>
                      <w:color w:val="auto"/>
                      <w:kern w:val="2"/>
                      <w:sz w:val="21"/>
                      <w:szCs w:val="21"/>
                      <w:highlight w:val="none"/>
                      <w:lang w:val="en-US" w:eastAsia="zh-CN" w:bidi="ar-SA"/>
                    </w:rPr>
                    <w:t>毛坯</w:t>
                  </w:r>
                </w:p>
              </w:tc>
              <w:tc>
                <w:tcPr>
                  <w:tcW w:w="771" w:type="dxa"/>
                  <w:vAlign w:val="center"/>
                </w:tcPr>
                <w:p w14:paraId="4CD547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吨</w:t>
                  </w:r>
                </w:p>
              </w:tc>
              <w:tc>
                <w:tcPr>
                  <w:tcW w:w="1122" w:type="dxa"/>
                  <w:vAlign w:val="center"/>
                </w:tcPr>
                <w:p w14:paraId="0D28B2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2725</w:t>
                  </w:r>
                </w:p>
              </w:tc>
              <w:tc>
                <w:tcPr>
                  <w:tcW w:w="1281" w:type="dxa"/>
                  <w:vAlign w:val="center"/>
                </w:tcPr>
                <w:p w14:paraId="11B20B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700</w:t>
                  </w:r>
                </w:p>
              </w:tc>
              <w:tc>
                <w:tcPr>
                  <w:tcW w:w="932" w:type="dxa"/>
                  <w:vAlign w:val="center"/>
                </w:tcPr>
                <w:p w14:paraId="5F9CAB60">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5620</w:t>
                  </w:r>
                </w:p>
              </w:tc>
              <w:tc>
                <w:tcPr>
                  <w:tcW w:w="1369" w:type="dxa"/>
                  <w:vAlign w:val="center"/>
                </w:tcPr>
                <w:p w14:paraId="5E3D4FBC">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w:t>
                  </w:r>
                </w:p>
              </w:tc>
              <w:tc>
                <w:tcPr>
                  <w:tcW w:w="1010" w:type="dxa"/>
                  <w:vAlign w:val="center"/>
                </w:tcPr>
                <w:p w14:paraId="5805D9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6687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vAlign w:val="center"/>
                </w:tcPr>
                <w:p w14:paraId="0BBAC0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1180" w:type="dxa"/>
                  <w:vAlign w:val="center"/>
                </w:tcPr>
                <w:p w14:paraId="61B849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滑块毛坯</w:t>
                  </w:r>
                </w:p>
              </w:tc>
              <w:tc>
                <w:tcPr>
                  <w:tcW w:w="771" w:type="dxa"/>
                  <w:vAlign w:val="center"/>
                </w:tcPr>
                <w:p w14:paraId="0F594B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吨</w:t>
                  </w:r>
                </w:p>
              </w:tc>
              <w:tc>
                <w:tcPr>
                  <w:tcW w:w="1122" w:type="dxa"/>
                  <w:vAlign w:val="center"/>
                </w:tcPr>
                <w:p w14:paraId="1C1962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507</w:t>
                  </w:r>
                </w:p>
              </w:tc>
              <w:tc>
                <w:tcPr>
                  <w:tcW w:w="1281" w:type="dxa"/>
                  <w:vAlign w:val="center"/>
                </w:tcPr>
                <w:p w14:paraId="6765FC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120</w:t>
                  </w:r>
                </w:p>
              </w:tc>
              <w:tc>
                <w:tcPr>
                  <w:tcW w:w="932" w:type="dxa"/>
                  <w:vAlign w:val="center"/>
                </w:tcPr>
                <w:p w14:paraId="33FD0E76">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1042</w:t>
                  </w:r>
                </w:p>
              </w:tc>
              <w:tc>
                <w:tcPr>
                  <w:tcW w:w="1369" w:type="dxa"/>
                  <w:vAlign w:val="center"/>
                </w:tcPr>
                <w:p w14:paraId="61676F1C">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150</w:t>
                  </w:r>
                </w:p>
              </w:tc>
              <w:tc>
                <w:tcPr>
                  <w:tcW w:w="1010" w:type="dxa"/>
                  <w:vAlign w:val="center"/>
                </w:tcPr>
                <w:p w14:paraId="1E7C93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3E65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vAlign w:val="center"/>
                </w:tcPr>
                <w:p w14:paraId="3F7DD1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1180" w:type="dxa"/>
                  <w:vAlign w:val="center"/>
                </w:tcPr>
                <w:p w14:paraId="16896C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纸箱</w:t>
                  </w:r>
                </w:p>
              </w:tc>
              <w:tc>
                <w:tcPr>
                  <w:tcW w:w="771" w:type="dxa"/>
                  <w:vAlign w:val="center"/>
                </w:tcPr>
                <w:p w14:paraId="5D66ACC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件</w:t>
                  </w:r>
                </w:p>
              </w:tc>
              <w:tc>
                <w:tcPr>
                  <w:tcW w:w="1122" w:type="dxa"/>
                  <w:vAlign w:val="center"/>
                </w:tcPr>
                <w:p w14:paraId="2CA2BC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50000</w:t>
                  </w:r>
                </w:p>
              </w:tc>
              <w:tc>
                <w:tcPr>
                  <w:tcW w:w="1281" w:type="dxa"/>
                  <w:vAlign w:val="center"/>
                </w:tcPr>
                <w:p w14:paraId="4E0666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932" w:type="dxa"/>
                  <w:vAlign w:val="center"/>
                </w:tcPr>
                <w:p w14:paraId="401687A9">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100000</w:t>
                  </w:r>
                </w:p>
              </w:tc>
              <w:tc>
                <w:tcPr>
                  <w:tcW w:w="1369" w:type="dxa"/>
                  <w:vAlign w:val="center"/>
                </w:tcPr>
                <w:p w14:paraId="50D15943">
                  <w:pPr>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1010" w:type="dxa"/>
                  <w:vAlign w:val="center"/>
                </w:tcPr>
                <w:p w14:paraId="6D4410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2F7B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vAlign w:val="center"/>
                </w:tcPr>
                <w:p w14:paraId="311339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1180" w:type="dxa"/>
                  <w:vAlign w:val="center"/>
                </w:tcPr>
                <w:p w14:paraId="3D3C9F6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木箱</w:t>
                  </w:r>
                </w:p>
              </w:tc>
              <w:tc>
                <w:tcPr>
                  <w:tcW w:w="771" w:type="dxa"/>
                  <w:vAlign w:val="center"/>
                </w:tcPr>
                <w:p w14:paraId="5F7F027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件</w:t>
                  </w:r>
                </w:p>
              </w:tc>
              <w:tc>
                <w:tcPr>
                  <w:tcW w:w="1122" w:type="dxa"/>
                  <w:vAlign w:val="center"/>
                </w:tcPr>
                <w:p w14:paraId="4CB8AD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32000</w:t>
                  </w:r>
                </w:p>
              </w:tc>
              <w:tc>
                <w:tcPr>
                  <w:tcW w:w="1281" w:type="dxa"/>
                  <w:vAlign w:val="center"/>
                </w:tcPr>
                <w:p w14:paraId="168C52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932" w:type="dxa"/>
                  <w:vAlign w:val="center"/>
                </w:tcPr>
                <w:p w14:paraId="0E4FC4C0">
                  <w:pPr>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50000</w:t>
                  </w:r>
                </w:p>
              </w:tc>
              <w:tc>
                <w:tcPr>
                  <w:tcW w:w="1369" w:type="dxa"/>
                  <w:vAlign w:val="center"/>
                </w:tcPr>
                <w:p w14:paraId="33558DAE">
                  <w:pPr>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1010" w:type="dxa"/>
                  <w:vAlign w:val="center"/>
                </w:tcPr>
                <w:p w14:paraId="391A64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2A38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vAlign w:val="center"/>
                </w:tcPr>
                <w:p w14:paraId="0177E9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1180" w:type="dxa"/>
                  <w:vAlign w:val="center"/>
                </w:tcPr>
                <w:p w14:paraId="31A0E8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切</w:t>
                  </w:r>
                  <w:r>
                    <w:rPr>
                      <w:rFonts w:hint="eastAsia" w:ascii="Times New Roman" w:hAnsi="Times New Roman" w:eastAsia="宋体" w:cs="Times New Roman"/>
                      <w:color w:val="auto"/>
                      <w:kern w:val="2"/>
                      <w:sz w:val="21"/>
                      <w:szCs w:val="21"/>
                      <w:highlight w:val="none"/>
                      <w:lang w:val="en-US" w:eastAsia="zh-CN" w:bidi="ar-SA"/>
                    </w:rPr>
                    <w:t>削液</w:t>
                  </w:r>
                </w:p>
              </w:tc>
              <w:tc>
                <w:tcPr>
                  <w:tcW w:w="771" w:type="dxa"/>
                  <w:vAlign w:val="center"/>
                </w:tcPr>
                <w:p w14:paraId="3A08950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w:t>
                  </w:r>
                </w:p>
              </w:tc>
              <w:tc>
                <w:tcPr>
                  <w:tcW w:w="1122" w:type="dxa"/>
                  <w:vAlign w:val="center"/>
                </w:tcPr>
                <w:p w14:paraId="212517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w:t>
                  </w:r>
                </w:p>
              </w:tc>
              <w:tc>
                <w:tcPr>
                  <w:tcW w:w="1281" w:type="dxa"/>
                  <w:vAlign w:val="center"/>
                </w:tcPr>
                <w:p w14:paraId="2232E6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932" w:type="dxa"/>
                  <w:vAlign w:val="center"/>
                </w:tcPr>
                <w:p w14:paraId="0D4C965C">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1369" w:type="dxa"/>
                  <w:vAlign w:val="center"/>
                </w:tcPr>
                <w:p w14:paraId="7DC45318">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010" w:type="dxa"/>
                  <w:vAlign w:val="center"/>
                </w:tcPr>
                <w:p w14:paraId="73C407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200L/桶</w:t>
                  </w:r>
                </w:p>
              </w:tc>
            </w:tr>
            <w:tr w14:paraId="3ACD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shd w:val="clear" w:color="auto" w:fill="auto"/>
                  <w:vAlign w:val="center"/>
                </w:tcPr>
                <w:p w14:paraId="18AB061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1180" w:type="dxa"/>
                  <w:vAlign w:val="center"/>
                </w:tcPr>
                <w:p w14:paraId="52DCD0BB">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润滑油</w:t>
                  </w:r>
                </w:p>
              </w:tc>
              <w:tc>
                <w:tcPr>
                  <w:tcW w:w="771" w:type="dxa"/>
                  <w:vAlign w:val="center"/>
                </w:tcPr>
                <w:p w14:paraId="3BAE15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桶</w:t>
                  </w:r>
                </w:p>
              </w:tc>
              <w:tc>
                <w:tcPr>
                  <w:tcW w:w="1122" w:type="dxa"/>
                  <w:vAlign w:val="center"/>
                </w:tcPr>
                <w:p w14:paraId="4FEE31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1281" w:type="dxa"/>
                  <w:vAlign w:val="center"/>
                </w:tcPr>
                <w:p w14:paraId="5233E70B">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932" w:type="dxa"/>
                  <w:vAlign w:val="center"/>
                </w:tcPr>
                <w:p w14:paraId="1B0F8153">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150</w:t>
                  </w:r>
                </w:p>
              </w:tc>
              <w:tc>
                <w:tcPr>
                  <w:tcW w:w="1369" w:type="dxa"/>
                  <w:vAlign w:val="center"/>
                </w:tcPr>
                <w:p w14:paraId="0FFF12B9">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1010" w:type="dxa"/>
                  <w:vAlign w:val="center"/>
                </w:tcPr>
                <w:p w14:paraId="74ECCC3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20kg/桶</w:t>
                  </w:r>
                </w:p>
              </w:tc>
            </w:tr>
            <w:tr w14:paraId="6045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shd w:val="clear" w:color="auto" w:fill="auto"/>
                  <w:vAlign w:val="center"/>
                </w:tcPr>
                <w:p w14:paraId="2635C5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1180" w:type="dxa"/>
                  <w:vAlign w:val="center"/>
                </w:tcPr>
                <w:p w14:paraId="6FDD8C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防锈油</w:t>
                  </w:r>
                </w:p>
              </w:tc>
              <w:tc>
                <w:tcPr>
                  <w:tcW w:w="771" w:type="dxa"/>
                  <w:vAlign w:val="center"/>
                </w:tcPr>
                <w:p w14:paraId="145C70A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w:t>
                  </w:r>
                </w:p>
              </w:tc>
              <w:tc>
                <w:tcPr>
                  <w:tcW w:w="1122" w:type="dxa"/>
                  <w:vAlign w:val="center"/>
                </w:tcPr>
                <w:p w14:paraId="4910B7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1281" w:type="dxa"/>
                  <w:vAlign w:val="center"/>
                </w:tcPr>
                <w:p w14:paraId="105EE8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32" w:type="dxa"/>
                  <w:vAlign w:val="center"/>
                </w:tcPr>
                <w:p w14:paraId="09541874">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1369" w:type="dxa"/>
                  <w:vAlign w:val="center"/>
                </w:tcPr>
                <w:p w14:paraId="0954D36D">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1010" w:type="dxa"/>
                  <w:vAlign w:val="center"/>
                </w:tcPr>
                <w:p w14:paraId="706497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200L/桶</w:t>
                  </w:r>
                </w:p>
              </w:tc>
            </w:tr>
            <w:tr w14:paraId="7E25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shd w:val="clear" w:color="auto" w:fill="auto"/>
                  <w:vAlign w:val="center"/>
                </w:tcPr>
                <w:p w14:paraId="4B98DD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1180" w:type="dxa"/>
                  <w:vAlign w:val="center"/>
                </w:tcPr>
                <w:p w14:paraId="2F80CE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水性淬火剂</w:t>
                  </w:r>
                </w:p>
              </w:tc>
              <w:tc>
                <w:tcPr>
                  <w:tcW w:w="771" w:type="dxa"/>
                  <w:vAlign w:val="center"/>
                </w:tcPr>
                <w:p w14:paraId="51BFE6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w:t>
                  </w:r>
                </w:p>
              </w:tc>
              <w:tc>
                <w:tcPr>
                  <w:tcW w:w="1122" w:type="dxa"/>
                  <w:vAlign w:val="center"/>
                </w:tcPr>
                <w:p w14:paraId="43BEBC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1281" w:type="dxa"/>
                  <w:vAlign w:val="center"/>
                </w:tcPr>
                <w:p w14:paraId="5EA8CA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32" w:type="dxa"/>
                  <w:vAlign w:val="center"/>
                </w:tcPr>
                <w:p w14:paraId="3E980A07">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w:t>
                  </w:r>
                </w:p>
              </w:tc>
              <w:tc>
                <w:tcPr>
                  <w:tcW w:w="1369" w:type="dxa"/>
                  <w:vAlign w:val="center"/>
                </w:tcPr>
                <w:p w14:paraId="56FE37AD">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1010" w:type="dxa"/>
                  <w:vAlign w:val="center"/>
                </w:tcPr>
                <w:p w14:paraId="39C9A5D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200L/桶</w:t>
                  </w:r>
                </w:p>
              </w:tc>
            </w:tr>
            <w:tr w14:paraId="2698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shd w:val="clear" w:color="auto" w:fill="auto"/>
                  <w:vAlign w:val="center"/>
                </w:tcPr>
                <w:p w14:paraId="0C0C94BF">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1180" w:type="dxa"/>
                  <w:vAlign w:val="center"/>
                </w:tcPr>
                <w:p w14:paraId="1BB2FE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清洗剂</w:t>
                  </w:r>
                </w:p>
              </w:tc>
              <w:tc>
                <w:tcPr>
                  <w:tcW w:w="771" w:type="dxa"/>
                  <w:vAlign w:val="center"/>
                </w:tcPr>
                <w:p w14:paraId="6DED98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桶</w:t>
                  </w:r>
                </w:p>
              </w:tc>
              <w:tc>
                <w:tcPr>
                  <w:tcW w:w="1122" w:type="dxa"/>
                  <w:vAlign w:val="center"/>
                </w:tcPr>
                <w:p w14:paraId="48C071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81" w:type="dxa"/>
                  <w:vAlign w:val="center"/>
                </w:tcPr>
                <w:p w14:paraId="291DB39F">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32" w:type="dxa"/>
                  <w:vAlign w:val="center"/>
                </w:tcPr>
                <w:p w14:paraId="4C46E7AE">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1369" w:type="dxa"/>
                  <w:vAlign w:val="center"/>
                </w:tcPr>
                <w:p w14:paraId="6C184ACB">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w:t>
                  </w:r>
                </w:p>
              </w:tc>
              <w:tc>
                <w:tcPr>
                  <w:tcW w:w="1010" w:type="dxa"/>
                  <w:vAlign w:val="center"/>
                </w:tcPr>
                <w:p w14:paraId="5DAA46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20L/桶</w:t>
                  </w:r>
                </w:p>
              </w:tc>
            </w:tr>
            <w:tr w14:paraId="4750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shd w:val="clear" w:color="auto" w:fill="auto"/>
                  <w:vAlign w:val="center"/>
                </w:tcPr>
                <w:p w14:paraId="21371C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180" w:type="dxa"/>
                  <w:vAlign w:val="center"/>
                </w:tcPr>
                <w:p w14:paraId="1C0285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柴油</w:t>
                  </w:r>
                </w:p>
              </w:tc>
              <w:tc>
                <w:tcPr>
                  <w:tcW w:w="771" w:type="dxa"/>
                  <w:vAlign w:val="center"/>
                </w:tcPr>
                <w:p w14:paraId="6E446A1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w:t>
                  </w:r>
                </w:p>
              </w:tc>
              <w:tc>
                <w:tcPr>
                  <w:tcW w:w="1122" w:type="dxa"/>
                  <w:vAlign w:val="center"/>
                </w:tcPr>
                <w:p w14:paraId="14EBF2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1281" w:type="dxa"/>
                  <w:vAlign w:val="center"/>
                </w:tcPr>
                <w:p w14:paraId="3CBE68EF">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932" w:type="dxa"/>
                  <w:vAlign w:val="center"/>
                </w:tcPr>
                <w:p w14:paraId="5321CB62">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69" w:type="dxa"/>
                  <w:vAlign w:val="center"/>
                </w:tcPr>
                <w:p w14:paraId="5C0776B7">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010" w:type="dxa"/>
                  <w:vAlign w:val="center"/>
                </w:tcPr>
                <w:p w14:paraId="381575F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5AF5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shd w:val="clear" w:color="auto" w:fill="auto"/>
                  <w:vAlign w:val="center"/>
                </w:tcPr>
                <w:p w14:paraId="562C36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w:t>
                  </w:r>
                </w:p>
              </w:tc>
              <w:tc>
                <w:tcPr>
                  <w:tcW w:w="1180" w:type="dxa"/>
                  <w:vAlign w:val="center"/>
                </w:tcPr>
                <w:p w14:paraId="1FD53A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水</w:t>
                  </w:r>
                </w:p>
              </w:tc>
              <w:tc>
                <w:tcPr>
                  <w:tcW w:w="771" w:type="dxa"/>
                  <w:vAlign w:val="center"/>
                </w:tcPr>
                <w:p w14:paraId="1DE6C3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立方米</w:t>
                  </w:r>
                </w:p>
              </w:tc>
              <w:tc>
                <w:tcPr>
                  <w:tcW w:w="1122" w:type="dxa"/>
                  <w:vAlign w:val="center"/>
                </w:tcPr>
                <w:p w14:paraId="11F24E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16169</w:t>
                  </w:r>
                </w:p>
              </w:tc>
              <w:tc>
                <w:tcPr>
                  <w:tcW w:w="1281" w:type="dxa"/>
                  <w:vAlign w:val="center"/>
                </w:tcPr>
                <w:p w14:paraId="1A2007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32" w:type="dxa"/>
                  <w:vAlign w:val="center"/>
                </w:tcPr>
                <w:p w14:paraId="2A293E9E">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17964</w:t>
                  </w:r>
                </w:p>
              </w:tc>
              <w:tc>
                <w:tcPr>
                  <w:tcW w:w="1369" w:type="dxa"/>
                  <w:vAlign w:val="center"/>
                </w:tcPr>
                <w:p w14:paraId="3DDF2441">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010" w:type="dxa"/>
                  <w:vAlign w:val="center"/>
                </w:tcPr>
                <w:p w14:paraId="1D80BB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76CE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 w:type="dxa"/>
                  <w:vAlign w:val="center"/>
                </w:tcPr>
                <w:p w14:paraId="31C68D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w:t>
                  </w:r>
                </w:p>
              </w:tc>
              <w:tc>
                <w:tcPr>
                  <w:tcW w:w="1180" w:type="dxa"/>
                  <w:vAlign w:val="center"/>
                </w:tcPr>
                <w:p w14:paraId="5F561A4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电</w:t>
                  </w:r>
                </w:p>
              </w:tc>
              <w:tc>
                <w:tcPr>
                  <w:tcW w:w="771" w:type="dxa"/>
                  <w:vAlign w:val="center"/>
                </w:tcPr>
                <w:p w14:paraId="6C0BBE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度</w:t>
                  </w:r>
                </w:p>
              </w:tc>
              <w:tc>
                <w:tcPr>
                  <w:tcW w:w="1122" w:type="dxa"/>
                  <w:vAlign w:val="center"/>
                </w:tcPr>
                <w:p w14:paraId="7A7F4F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1000万</w:t>
                  </w:r>
                </w:p>
              </w:tc>
              <w:tc>
                <w:tcPr>
                  <w:tcW w:w="1281" w:type="dxa"/>
                  <w:vAlign w:val="center"/>
                </w:tcPr>
                <w:p w14:paraId="148AA5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32" w:type="dxa"/>
                  <w:vAlign w:val="center"/>
                </w:tcPr>
                <w:p w14:paraId="3BA264B3">
                  <w:pPr>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1200万</w:t>
                  </w:r>
                </w:p>
              </w:tc>
              <w:tc>
                <w:tcPr>
                  <w:tcW w:w="1369" w:type="dxa"/>
                  <w:vAlign w:val="center"/>
                </w:tcPr>
                <w:p w14:paraId="764DBEA6">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010" w:type="dxa"/>
                  <w:vAlign w:val="center"/>
                </w:tcPr>
                <w:p w14:paraId="646047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bl>
          <w:p w14:paraId="64548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理化性质分析：</w:t>
            </w:r>
          </w:p>
          <w:p w14:paraId="60947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切削液</w:t>
            </w:r>
            <w:r>
              <w:rPr>
                <w:rFonts w:hint="eastAsia" w:ascii="Times New Roman" w:hAnsi="Times New Roman" w:eastAsia="宋体" w:cs="Times New Roman"/>
                <w:color w:val="auto"/>
                <w:kern w:val="2"/>
                <w:sz w:val="24"/>
                <w:szCs w:val="24"/>
                <w:highlight w:val="none"/>
                <w:lang w:val="en-US" w:eastAsia="zh-CN" w:bidi="ar-SA"/>
              </w:rPr>
              <w:t>：切削液是一种用在金属切削、磨加工过程中，用来冷却和润滑刀具和加工件的工业用液体。它由多种超强功能助剂经科学复合配合而成，同时具备良好的冷却性能、润滑性能、防锈性能、除油清洗功能、防腐功能、易稀释特点。切削液克服了传统皂基乳化液夏天易臭、冬天难稀释、防锈效果差的的毛病，对车床漆也无不良影响，适用于黑色金属的切削及磨加工，属当前最领先的磨削产品。切削液的主要成分包括基础液、润滑剂、防锈剂、冷却剂、清洗剂及其他添加剂。</w:t>
            </w:r>
          </w:p>
          <w:p w14:paraId="5341A4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防锈油：</w:t>
            </w:r>
            <w:r>
              <w:rPr>
                <w:rFonts w:hint="eastAsia" w:ascii="Times New Roman" w:hAnsi="Times New Roman" w:eastAsia="宋体" w:cs="Times New Roman"/>
                <w:color w:val="auto"/>
                <w:kern w:val="2"/>
                <w:sz w:val="24"/>
                <w:szCs w:val="24"/>
                <w:highlight w:val="none"/>
                <w:lang w:val="en-US" w:eastAsia="zh-CN" w:bidi="ar-SA"/>
              </w:rPr>
              <w:t>淡棕色</w:t>
            </w:r>
            <w:r>
              <w:rPr>
                <w:rFonts w:hint="eastAsia" w:cs="Times New Roman"/>
                <w:color w:val="auto"/>
                <w:kern w:val="2"/>
                <w:sz w:val="24"/>
                <w:szCs w:val="24"/>
                <w:highlight w:val="none"/>
                <w:lang w:val="en-US" w:eastAsia="zh-CN" w:bidi="ar-SA"/>
              </w:rPr>
              <w:t>透明</w:t>
            </w:r>
            <w:r>
              <w:rPr>
                <w:rFonts w:hint="eastAsia" w:ascii="Times New Roman" w:hAnsi="Times New Roman" w:eastAsia="宋体" w:cs="Times New Roman"/>
                <w:color w:val="auto"/>
                <w:kern w:val="2"/>
                <w:sz w:val="24"/>
                <w:szCs w:val="24"/>
                <w:highlight w:val="none"/>
                <w:lang w:val="en-US" w:eastAsia="zh-CN" w:bidi="ar-SA"/>
              </w:rPr>
              <w:t>液体，主要有石油醚、矿物油、防锈剂混合而成，防锈油的密度通常在0.8至1.2 g/cm</w:t>
            </w:r>
            <w:r>
              <w:rPr>
                <w:rFonts w:hint="eastAsia"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之间，</w:t>
            </w:r>
            <w:r>
              <w:rPr>
                <w:rFonts w:hint="eastAsia" w:cs="Times New Roman"/>
                <w:color w:val="auto"/>
                <w:kern w:val="2"/>
                <w:sz w:val="24"/>
                <w:szCs w:val="24"/>
                <w:highlight w:val="none"/>
                <w:lang w:val="en-US" w:eastAsia="zh-CN" w:bidi="ar-SA"/>
              </w:rPr>
              <w:t>运动粘度（40℃），自燃温度≥300℃，闪点75℃，倾点＜-50℃，</w:t>
            </w:r>
            <w:r>
              <w:rPr>
                <w:rFonts w:hint="eastAsia" w:ascii="Times New Roman" w:hAnsi="Times New Roman" w:eastAsia="宋体" w:cs="Times New Roman"/>
                <w:color w:val="auto"/>
                <w:kern w:val="2"/>
                <w:sz w:val="24"/>
                <w:szCs w:val="24"/>
                <w:highlight w:val="none"/>
                <w:lang w:val="en-US" w:eastAsia="zh-CN" w:bidi="ar-SA"/>
              </w:rPr>
              <w:t>常温下不易挥发，</w:t>
            </w:r>
            <w:r>
              <w:rPr>
                <w:rFonts w:hint="eastAsia" w:cs="Times New Roman"/>
                <w:color w:val="auto"/>
                <w:kern w:val="2"/>
                <w:sz w:val="24"/>
                <w:szCs w:val="24"/>
                <w:highlight w:val="none"/>
                <w:lang w:val="en-US" w:eastAsia="zh-CN" w:bidi="ar-SA"/>
              </w:rPr>
              <w:t>储存在阴凉处。</w:t>
            </w:r>
          </w:p>
          <w:p w14:paraId="49C14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Times New Roman"/>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水性淬火剂</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无色或至浅黄色液体，主要有纯净水、催冷剂（</w:t>
            </w:r>
            <w:r>
              <w:rPr>
                <w:rFonts w:hint="default" w:ascii="宋体" w:hAnsi="宋体" w:eastAsia="宋体" w:cs="宋体"/>
                <w:sz w:val="24"/>
                <w:szCs w:val="24"/>
              </w:rPr>
              <w:t>聚醚多元醇</w:t>
            </w:r>
            <w:r>
              <w:rPr>
                <w:rFonts w:hint="eastAsia" w:cs="Times New Roman"/>
                <w:color w:val="auto"/>
                <w:kern w:val="2"/>
                <w:sz w:val="24"/>
                <w:szCs w:val="24"/>
                <w:highlight w:val="none"/>
                <w:lang w:val="en-US" w:eastAsia="zh-CN" w:bidi="ar-SA"/>
              </w:rPr>
              <w:t>）、缓蚀剂（三乙醇胺）混合组成，原液折光浓度46，5%溶液折光浓度2.5，5%水溶液pH值8.0</w:t>
            </w:r>
            <w:r>
              <w:rPr>
                <w:rFonts w:hint="eastAsia" w:ascii="Times New Roman" w:hAnsi="Times New Roman" w:cs="Times New Roman"/>
                <w:color w:val="auto"/>
                <w:kern w:val="2"/>
                <w:sz w:val="24"/>
                <w:szCs w:val="24"/>
                <w:highlight w:val="none"/>
                <w:lang w:val="en-US" w:eastAsia="zh-CN" w:bidi="ar-SA"/>
              </w:rPr>
              <w:t>，任意比例溶于水，气味轻微。</w:t>
            </w:r>
          </w:p>
          <w:p w14:paraId="3CC3C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清洗剂：</w:t>
            </w:r>
            <w:r>
              <w:rPr>
                <w:rFonts w:hint="eastAsia" w:ascii="Times New Roman" w:hAnsi="Times New Roman" w:cs="Times New Roman"/>
                <w:color w:val="auto"/>
                <w:kern w:val="2"/>
                <w:sz w:val="24"/>
                <w:szCs w:val="24"/>
                <w:highlight w:val="none"/>
                <w:lang w:val="en-US" w:eastAsia="zh-CN" w:bidi="ar-SA"/>
              </w:rPr>
              <w:t>颜色微黄，任意比例溶于水，主要为去离子水（86.5-76%）、葡萄糖酸钠（2.5-4%）、苯并三氮唑（1-2%）、烷基糖苷（2-5%）、硅酸钠（3-5%）、三乙醇胺（5-8%），常温下不易挥发，</w:t>
            </w:r>
            <w:r>
              <w:rPr>
                <w:rFonts w:hint="eastAsia" w:cs="Times New Roman"/>
                <w:color w:val="auto"/>
                <w:kern w:val="2"/>
                <w:sz w:val="24"/>
                <w:szCs w:val="24"/>
                <w:highlight w:val="none"/>
                <w:lang w:val="en-US" w:eastAsia="zh-CN" w:bidi="ar-SA"/>
              </w:rPr>
              <w:t>储存在阴凉处。</w:t>
            </w:r>
          </w:p>
          <w:p w14:paraId="160226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kern w:val="2"/>
                <w:sz w:val="24"/>
                <w:szCs w:val="24"/>
                <w:highlight w:val="none"/>
                <w:lang w:val="en-US" w:eastAsia="zh-CN" w:bidi="ar-SA"/>
              </w:rPr>
              <w:t>、项目水平衡分析</w:t>
            </w:r>
          </w:p>
          <w:p w14:paraId="7CDB8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给排水</w:t>
            </w:r>
            <w:r>
              <w:rPr>
                <w:rFonts w:hint="default" w:ascii="Times New Roman" w:hAnsi="Times New Roman" w:eastAsia="宋体" w:cs="Times New Roman"/>
                <w:color w:val="auto"/>
                <w:kern w:val="2"/>
                <w:sz w:val="24"/>
                <w:szCs w:val="24"/>
                <w:highlight w:val="none"/>
                <w:lang w:val="en-US" w:eastAsia="zh-CN" w:bidi="ar-SA"/>
              </w:rPr>
              <w:t>情况分析</w:t>
            </w:r>
          </w:p>
          <w:p w14:paraId="5F97E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本项目采用“雨污分流”，雨水经过厂房四周的污水沟收集后，通过市政雨水管网进入洋沙</w:t>
            </w:r>
            <w:r>
              <w:rPr>
                <w:rFonts w:hint="eastAsia" w:cs="Times New Roman"/>
                <w:color w:val="auto"/>
                <w:kern w:val="2"/>
                <w:sz w:val="24"/>
                <w:szCs w:val="24"/>
                <w:highlight w:val="none"/>
                <w:lang w:val="en-US" w:eastAsia="zh-CN" w:bidi="ar-SA"/>
              </w:rPr>
              <w:t>湖</w:t>
            </w:r>
            <w:r>
              <w:rPr>
                <w:rFonts w:hint="eastAsia" w:ascii="Times New Roman" w:hAnsi="Times New Roman" w:eastAsia="宋体" w:cs="Times New Roman"/>
                <w:color w:val="auto"/>
                <w:kern w:val="2"/>
                <w:sz w:val="24"/>
                <w:szCs w:val="24"/>
                <w:highlight w:val="none"/>
                <w:lang w:val="en-US" w:eastAsia="zh-CN" w:bidi="ar-SA"/>
              </w:rPr>
              <w:t>。生活污水通过生活污水排放口进入园区的市政管网，然后进入湘阴县第二污水处理厂，达到《城镇污水处理厂污染物排放标准》一级A标准后排入</w:t>
            </w:r>
            <w:r>
              <w:rPr>
                <w:rFonts w:hint="eastAsia" w:cs="Times New Roman"/>
                <w:color w:val="auto"/>
                <w:kern w:val="2"/>
                <w:sz w:val="24"/>
                <w:szCs w:val="24"/>
                <w:highlight w:val="none"/>
                <w:lang w:val="en-US" w:eastAsia="zh-CN" w:bidi="ar-SA"/>
              </w:rPr>
              <w:t>湘江</w:t>
            </w:r>
            <w:r>
              <w:rPr>
                <w:rFonts w:hint="eastAsia" w:ascii="Times New Roman" w:hAnsi="Times New Roman" w:eastAsia="宋体" w:cs="Times New Roman"/>
                <w:color w:val="auto"/>
                <w:kern w:val="2"/>
                <w:sz w:val="24"/>
                <w:szCs w:val="24"/>
                <w:highlight w:val="none"/>
                <w:lang w:val="en-US" w:eastAsia="zh-CN" w:bidi="ar-SA"/>
              </w:rPr>
              <w:t>。</w:t>
            </w:r>
          </w:p>
          <w:p w14:paraId="71195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①生活污水</w:t>
            </w:r>
          </w:p>
          <w:p w14:paraId="56835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变更前劳动定员300</w:t>
            </w:r>
            <w:r>
              <w:rPr>
                <w:rFonts w:hint="eastAsia" w:ascii="Times New Roman" w:hAnsi="Times New Roman" w:eastAsia="宋体" w:cs="Times New Roman"/>
                <w:color w:val="auto"/>
                <w:kern w:val="2"/>
                <w:sz w:val="24"/>
                <w:szCs w:val="24"/>
                <w:highlight w:val="none"/>
                <w:lang w:val="en-US" w:eastAsia="zh-CN" w:bidi="ar-SA"/>
              </w:rPr>
              <w:t>名员工</w:t>
            </w:r>
            <w:r>
              <w:rPr>
                <w:rFonts w:hint="eastAsia" w:cs="Times New Roman"/>
                <w:color w:val="auto"/>
                <w:kern w:val="2"/>
                <w:sz w:val="24"/>
                <w:szCs w:val="24"/>
                <w:highlight w:val="none"/>
                <w:lang w:val="en-US" w:eastAsia="zh-CN" w:bidi="ar-SA"/>
              </w:rPr>
              <w:t>，变更后更改工作制度，由2班制变更为3班制，新增100名员工</w:t>
            </w:r>
            <w:r>
              <w:rPr>
                <w:rFonts w:hint="eastAsia" w:ascii="Times New Roman" w:hAnsi="Times New Roman" w:eastAsia="宋体" w:cs="Times New Roman"/>
                <w:color w:val="auto"/>
                <w:kern w:val="2"/>
                <w:sz w:val="24"/>
                <w:szCs w:val="24"/>
                <w:highlight w:val="none"/>
                <w:lang w:val="en-US" w:eastAsia="zh-CN" w:bidi="ar-SA"/>
              </w:rPr>
              <w:t>，厂内包食宿，</w:t>
            </w:r>
            <w:r>
              <w:rPr>
                <w:rFonts w:hint="eastAsia"/>
                <w:color w:val="000000" w:themeColor="text1"/>
                <w:sz w:val="24"/>
                <w14:textFill>
                  <w14:solidFill>
                    <w14:schemeClr w14:val="tx1"/>
                  </w14:solidFill>
                </w14:textFill>
              </w:rPr>
              <w:t>根据</w:t>
            </w:r>
            <w:r>
              <w:rPr>
                <w:rFonts w:hint="default"/>
                <w:sz w:val="24"/>
                <w:szCs w:val="20"/>
              </w:rPr>
              <w:t>《用水定额</w:t>
            </w:r>
            <w:r>
              <w:rPr>
                <w:rFonts w:hint="eastAsia"/>
                <w:sz w:val="24"/>
                <w:szCs w:val="20"/>
                <w:lang w:val="en-US" w:eastAsia="zh-CN"/>
              </w:rPr>
              <w:t xml:space="preserve"> 第3部分 生活、服务业及建筑业</w:t>
            </w:r>
            <w:r>
              <w:rPr>
                <w:rFonts w:hint="default"/>
                <w:sz w:val="24"/>
                <w:szCs w:val="20"/>
              </w:rPr>
              <w:t>》（DB43/T 388</w:t>
            </w:r>
            <w:r>
              <w:rPr>
                <w:rFonts w:hint="eastAsia"/>
                <w:sz w:val="24"/>
                <w:szCs w:val="20"/>
                <w:lang w:val="en-US" w:eastAsia="zh-CN"/>
              </w:rPr>
              <w:t>.3</w:t>
            </w:r>
            <w:r>
              <w:rPr>
                <w:rFonts w:hint="default"/>
                <w:sz w:val="24"/>
                <w:szCs w:val="20"/>
              </w:rPr>
              <w:t>-</w:t>
            </w:r>
            <w:r>
              <w:rPr>
                <w:rFonts w:hint="eastAsia"/>
                <w:sz w:val="24"/>
                <w:szCs w:val="20"/>
              </w:rPr>
              <w:t>202</w:t>
            </w:r>
            <w:r>
              <w:rPr>
                <w:rFonts w:hint="eastAsia"/>
                <w:sz w:val="24"/>
                <w:szCs w:val="20"/>
                <w:lang w:val="en-US" w:eastAsia="zh-CN"/>
              </w:rPr>
              <w:t>5</w:t>
            </w:r>
            <w:r>
              <w:rPr>
                <w:rFonts w:hint="default"/>
                <w:sz w:val="24"/>
                <w:szCs w:val="20"/>
              </w:rPr>
              <w:t>）</w:t>
            </w:r>
            <w:r>
              <w:rPr>
                <w:rFonts w:hint="eastAsia"/>
                <w:sz w:val="24"/>
                <w:szCs w:val="20"/>
                <w:lang w:val="en-US" w:eastAsia="zh-CN"/>
              </w:rPr>
              <w:t>表1</w:t>
            </w:r>
            <w:r>
              <w:rPr>
                <w:rFonts w:hint="eastAsia" w:ascii="Times New Roman" w:hAnsi="Times New Roman" w:eastAsia="宋体" w:cs="Times New Roman"/>
                <w:color w:val="auto"/>
                <w:kern w:val="2"/>
                <w:sz w:val="24"/>
                <w:szCs w:val="24"/>
                <w:highlight w:val="none"/>
                <w:lang w:val="en-US" w:eastAsia="zh-CN" w:bidi="ar-SA"/>
              </w:rPr>
              <w:t>，</w:t>
            </w:r>
            <w:r>
              <w:rPr>
                <w:rFonts w:hint="eastAsia"/>
                <w:color w:val="000000" w:themeColor="text1"/>
                <w:sz w:val="24"/>
                <w14:textFill>
                  <w14:solidFill>
                    <w14:schemeClr w14:val="tx1"/>
                  </w14:solidFill>
                </w14:textFill>
              </w:rPr>
              <w:t>按145L/人.d计算用水量，</w:t>
            </w:r>
            <w:r>
              <w:rPr>
                <w:rFonts w:hint="eastAsia" w:cs="Times New Roman"/>
                <w:color w:val="auto"/>
                <w:kern w:val="2"/>
                <w:sz w:val="24"/>
                <w:szCs w:val="24"/>
                <w:highlight w:val="none"/>
                <w:lang w:val="en-US" w:eastAsia="zh-CN" w:bidi="ar-SA"/>
              </w:rPr>
              <w:t>变更后生活</w:t>
            </w:r>
            <w:r>
              <w:rPr>
                <w:rFonts w:hint="eastAsia" w:ascii="Times New Roman" w:hAnsi="Times New Roman" w:eastAsia="宋体" w:cs="Times New Roman"/>
                <w:color w:val="auto"/>
                <w:kern w:val="2"/>
                <w:sz w:val="24"/>
                <w:szCs w:val="24"/>
                <w:highlight w:val="none"/>
                <w:lang w:val="en-US" w:eastAsia="zh-CN" w:bidi="ar-SA"/>
              </w:rPr>
              <w:t>用水</w:t>
            </w:r>
            <w:r>
              <w:rPr>
                <w:rFonts w:hint="eastAsia" w:cs="Times New Roman"/>
                <w:color w:val="auto"/>
                <w:kern w:val="2"/>
                <w:sz w:val="24"/>
                <w:szCs w:val="24"/>
                <w:highlight w:val="none"/>
                <w:lang w:val="en-US" w:eastAsia="zh-CN" w:bidi="ar-SA"/>
              </w:rPr>
              <w:t>17400</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/a。根据《排放源统计调查产排污核算方法和系数手册生活源产排污核算方法和系数手册》 五区系数进行核算（湖南地区属于五区）产污系数取0.89，因此</w:t>
            </w:r>
            <w:r>
              <w:rPr>
                <w:rFonts w:hint="eastAsia" w:cs="Times New Roman"/>
                <w:color w:val="auto"/>
                <w:kern w:val="2"/>
                <w:sz w:val="24"/>
                <w:szCs w:val="24"/>
                <w:highlight w:val="none"/>
                <w:lang w:val="en-US" w:eastAsia="zh-CN" w:bidi="ar-SA"/>
              </w:rPr>
              <w:t>本</w:t>
            </w:r>
            <w:r>
              <w:rPr>
                <w:rFonts w:hint="eastAsia" w:ascii="Times New Roman" w:hAnsi="Times New Roman" w:eastAsia="宋体" w:cs="Times New Roman"/>
                <w:color w:val="auto"/>
                <w:kern w:val="2"/>
                <w:sz w:val="24"/>
                <w:szCs w:val="24"/>
                <w:highlight w:val="none"/>
                <w:lang w:val="en-US" w:eastAsia="zh-CN" w:bidi="ar-SA"/>
              </w:rPr>
              <w:t>项目生活污水产生量为</w:t>
            </w:r>
            <w:r>
              <w:rPr>
                <w:rFonts w:hint="eastAsia" w:cs="Times New Roman"/>
                <w:color w:val="auto"/>
                <w:kern w:val="2"/>
                <w:sz w:val="24"/>
                <w:szCs w:val="24"/>
                <w:highlight w:val="none"/>
                <w:lang w:val="en-US" w:eastAsia="zh-CN" w:bidi="ar-SA"/>
              </w:rPr>
              <w:t>15486</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新建三级</w:t>
            </w:r>
            <w:r>
              <w:rPr>
                <w:rFonts w:hint="eastAsia" w:ascii="Times New Roman" w:hAnsi="Times New Roman" w:eastAsia="宋体" w:cs="Times New Roman"/>
                <w:color w:val="auto"/>
                <w:kern w:val="2"/>
                <w:sz w:val="24"/>
                <w:szCs w:val="24"/>
                <w:highlight w:val="none"/>
                <w:lang w:val="en-US" w:eastAsia="zh-CN" w:bidi="ar-SA"/>
              </w:rPr>
              <w:t>化粪池进行预处理后排入市政管网进入湘阴县第二污水处理厂深度处理。</w:t>
            </w:r>
          </w:p>
          <w:p w14:paraId="44E88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w:t>
            </w:r>
            <w:r>
              <w:rPr>
                <w:rFonts w:hint="eastAsia" w:cs="Times New Roman"/>
                <w:color w:val="auto"/>
                <w:kern w:val="2"/>
                <w:sz w:val="24"/>
                <w:szCs w:val="24"/>
                <w:highlight w:val="none"/>
                <w:lang w:val="en-US" w:eastAsia="zh-CN" w:bidi="ar-SA"/>
              </w:rPr>
              <w:t>切削液兑水</w:t>
            </w:r>
          </w:p>
          <w:p w14:paraId="406E20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根据建设单位提供资料，切削液兑水浓度约为2.5-4%，按中间值</w:t>
            </w:r>
            <w:r>
              <w:rPr>
                <w:rFonts w:hint="eastAsia" w:cs="Times New Roman"/>
                <w:color w:val="auto"/>
                <w:kern w:val="2"/>
                <w:sz w:val="24"/>
                <w:szCs w:val="24"/>
                <w:highlight w:val="none"/>
                <w:lang w:val="en-US" w:eastAsia="zh-CN" w:bidi="ar-SA"/>
              </w:rPr>
              <w:t>3.25</w:t>
            </w:r>
            <w:r>
              <w:rPr>
                <w:rFonts w:hint="eastAsia" w:ascii="Times New Roman" w:hAnsi="Times New Roman" w:cs="Times New Roman"/>
                <w:color w:val="auto"/>
                <w:kern w:val="2"/>
                <w:sz w:val="24"/>
                <w:szCs w:val="24"/>
                <w:highlight w:val="none"/>
                <w:lang w:val="en-US" w:eastAsia="zh-CN" w:bidi="ar-SA"/>
              </w:rPr>
              <w:t>%计算，需要兑水，根据原材料清单，项目使用切削液</w:t>
            </w:r>
            <w:r>
              <w:rPr>
                <w:rFonts w:hint="eastAsia" w:cs="Times New Roman"/>
                <w:color w:val="auto"/>
                <w:kern w:val="2"/>
                <w:sz w:val="24"/>
                <w:szCs w:val="24"/>
                <w:highlight w:val="none"/>
                <w:lang w:val="en-US" w:eastAsia="zh-CN" w:bidi="ar-SA"/>
              </w:rPr>
              <w:t>16</w:t>
            </w:r>
            <w:r>
              <w:rPr>
                <w:rFonts w:hint="eastAsia" w:ascii="Times New Roman" w:hAnsi="Times New Roman" w:cs="Times New Roman"/>
                <w:color w:val="auto"/>
                <w:kern w:val="2"/>
                <w:sz w:val="24"/>
                <w:szCs w:val="24"/>
                <w:highlight w:val="none"/>
                <w:lang w:val="en-US" w:eastAsia="zh-CN" w:bidi="ar-SA"/>
              </w:rPr>
              <w:t>t/a，需要添加新鲜水</w:t>
            </w:r>
            <w:r>
              <w:rPr>
                <w:rFonts w:hint="eastAsia" w:cs="Times New Roman"/>
                <w:color w:val="auto"/>
                <w:kern w:val="2"/>
                <w:sz w:val="24"/>
                <w:szCs w:val="24"/>
                <w:highlight w:val="none"/>
                <w:lang w:val="en-US" w:eastAsia="zh-CN" w:bidi="ar-SA"/>
              </w:rPr>
              <w:t>476</w:t>
            </w:r>
            <w:r>
              <w:rPr>
                <w:rFonts w:hint="eastAsia" w:ascii="Times New Roman" w:hAnsi="Times New Roman" w:cs="Times New Roman"/>
                <w:color w:val="auto"/>
                <w:kern w:val="2"/>
                <w:sz w:val="24"/>
                <w:szCs w:val="24"/>
                <w:highlight w:val="none"/>
                <w:lang w:val="en-US" w:eastAsia="zh-CN" w:bidi="ar-SA"/>
              </w:rPr>
              <w:t>m</w:t>
            </w:r>
            <w:r>
              <w:rPr>
                <w:rFonts w:hint="eastAsia" w:ascii="Times New Roman" w:hAnsi="Times New Roman" w:cs="Times New Roman"/>
                <w:color w:val="auto"/>
                <w:kern w:val="2"/>
                <w:sz w:val="24"/>
                <w:szCs w:val="24"/>
                <w:highlight w:val="none"/>
                <w:vertAlign w:val="superscript"/>
                <w:lang w:val="en-US" w:eastAsia="zh-CN" w:bidi="ar-SA"/>
              </w:rPr>
              <w:t>3</w:t>
            </w:r>
            <w:r>
              <w:rPr>
                <w:rFonts w:hint="eastAsia" w:ascii="Times New Roman" w:hAnsi="Times New Roman" w:cs="Times New Roman"/>
                <w:color w:val="auto"/>
                <w:kern w:val="2"/>
                <w:sz w:val="24"/>
                <w:szCs w:val="24"/>
                <w:highlight w:val="none"/>
                <w:lang w:val="en-US" w:eastAsia="zh-CN" w:bidi="ar-SA"/>
              </w:rPr>
              <w:t>，循环使用不外排</w:t>
            </w:r>
            <w:r>
              <w:rPr>
                <w:rFonts w:hint="eastAsia" w:cs="Times New Roman"/>
                <w:color w:val="auto"/>
                <w:kern w:val="2"/>
                <w:sz w:val="24"/>
                <w:szCs w:val="24"/>
                <w:highlight w:val="none"/>
                <w:lang w:val="en-US" w:eastAsia="zh-CN" w:bidi="ar-SA"/>
              </w:rPr>
              <w:t>，定期作为危废处置。</w:t>
            </w:r>
          </w:p>
          <w:p w14:paraId="4C10A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③清洗废水</w:t>
            </w:r>
          </w:p>
          <w:p w14:paraId="73BFC8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2"/>
                <w:sz w:val="24"/>
                <w:szCs w:val="24"/>
                <w:highlight w:val="none"/>
                <w:u w:val="single"/>
                <w:lang w:val="en-US" w:eastAsia="zh-CN" w:bidi="ar-SA"/>
              </w:rPr>
            </w:pPr>
            <w:r>
              <w:rPr>
                <w:rFonts w:hint="eastAsia" w:ascii="Times New Roman" w:hAnsi="Times New Roman" w:cs="Times New Roman"/>
                <w:color w:val="auto"/>
                <w:kern w:val="2"/>
                <w:sz w:val="24"/>
                <w:szCs w:val="24"/>
                <w:highlight w:val="none"/>
                <w:u w:val="single"/>
                <w:lang w:val="en-US" w:eastAsia="zh-CN" w:bidi="ar-SA"/>
              </w:rPr>
              <w:t>根据建设单位提供资料，清洗机容量约为1m</w:t>
            </w:r>
            <w:r>
              <w:rPr>
                <w:rFonts w:hint="eastAsia" w:ascii="Times New Roman" w:hAnsi="Times New Roman" w:cs="Times New Roman"/>
                <w:color w:val="auto"/>
                <w:kern w:val="2"/>
                <w:sz w:val="24"/>
                <w:szCs w:val="24"/>
                <w:highlight w:val="none"/>
                <w:u w:val="single"/>
                <w:vertAlign w:val="superscript"/>
                <w:lang w:val="en-US" w:eastAsia="zh-CN" w:bidi="ar-SA"/>
              </w:rPr>
              <w:t>3</w:t>
            </w:r>
            <w:r>
              <w:rPr>
                <w:rFonts w:hint="eastAsia" w:ascii="Times New Roman" w:hAnsi="Times New Roman" w:cs="Times New Roman"/>
                <w:color w:val="auto"/>
                <w:kern w:val="2"/>
                <w:sz w:val="24"/>
                <w:szCs w:val="24"/>
                <w:highlight w:val="none"/>
                <w:u w:val="single"/>
                <w:lang w:val="en-US" w:eastAsia="zh-CN" w:bidi="ar-SA"/>
              </w:rPr>
              <w:t>，平常</w:t>
            </w:r>
            <w:r>
              <w:rPr>
                <w:rFonts w:hint="eastAsia" w:cs="Times New Roman"/>
                <w:color w:val="auto"/>
                <w:kern w:val="2"/>
                <w:sz w:val="24"/>
                <w:szCs w:val="24"/>
                <w:highlight w:val="none"/>
                <w:u w:val="single"/>
                <w:lang w:val="en-US" w:eastAsia="zh-CN" w:bidi="ar-SA"/>
              </w:rPr>
              <w:t>经隔油沉淀后循环使用，</w:t>
            </w:r>
            <w:r>
              <w:rPr>
                <w:rFonts w:hint="eastAsia" w:ascii="Times New Roman" w:hAnsi="Times New Roman" w:cs="Times New Roman"/>
                <w:color w:val="auto"/>
                <w:kern w:val="2"/>
                <w:sz w:val="24"/>
                <w:szCs w:val="24"/>
                <w:highlight w:val="none"/>
                <w:u w:val="single"/>
                <w:lang w:val="en-US" w:eastAsia="zh-CN" w:bidi="ar-SA"/>
              </w:rPr>
              <w:t>每天定期添加0.</w:t>
            </w:r>
            <w:r>
              <w:rPr>
                <w:rFonts w:hint="eastAsia" w:cs="Times New Roman"/>
                <w:color w:val="auto"/>
                <w:kern w:val="2"/>
                <w:sz w:val="24"/>
                <w:szCs w:val="24"/>
                <w:highlight w:val="none"/>
                <w:u w:val="single"/>
                <w:lang w:val="en-US" w:eastAsia="zh-CN" w:bidi="ar-SA"/>
              </w:rPr>
              <w:t>2</w:t>
            </w:r>
            <w:r>
              <w:rPr>
                <w:rFonts w:hint="eastAsia" w:ascii="Times New Roman" w:hAnsi="Times New Roman" w:cs="Times New Roman"/>
                <w:color w:val="auto"/>
                <w:kern w:val="2"/>
                <w:sz w:val="24"/>
                <w:szCs w:val="24"/>
                <w:highlight w:val="none"/>
                <w:u w:val="single"/>
                <w:lang w:val="en-US" w:eastAsia="zh-CN" w:bidi="ar-SA"/>
              </w:rPr>
              <w:t>m</w:t>
            </w:r>
            <w:r>
              <w:rPr>
                <w:rFonts w:hint="eastAsia" w:ascii="Times New Roman" w:hAnsi="Times New Roman" w:cs="Times New Roman"/>
                <w:color w:val="auto"/>
                <w:kern w:val="2"/>
                <w:sz w:val="24"/>
                <w:szCs w:val="24"/>
                <w:highlight w:val="none"/>
                <w:u w:val="single"/>
                <w:vertAlign w:val="superscript"/>
                <w:lang w:val="en-US" w:eastAsia="zh-CN" w:bidi="ar-SA"/>
              </w:rPr>
              <w:t>3</w:t>
            </w:r>
            <w:r>
              <w:rPr>
                <w:rFonts w:hint="eastAsia" w:ascii="Times New Roman" w:hAnsi="Times New Roman" w:cs="Times New Roman"/>
                <w:color w:val="auto"/>
                <w:kern w:val="2"/>
                <w:sz w:val="24"/>
                <w:szCs w:val="24"/>
                <w:highlight w:val="none"/>
                <w:u w:val="single"/>
                <w:lang w:val="en-US" w:eastAsia="zh-CN" w:bidi="ar-SA"/>
              </w:rPr>
              <w:t>新鲜水，项目共2台清洗机，每月底废液全部做危废处理1次，年处理危废24t/a，不外排</w:t>
            </w:r>
            <w:r>
              <w:rPr>
                <w:rFonts w:hint="eastAsia" w:cs="Times New Roman"/>
                <w:color w:val="auto"/>
                <w:kern w:val="2"/>
                <w:sz w:val="24"/>
                <w:szCs w:val="24"/>
                <w:highlight w:val="none"/>
                <w:u w:val="single"/>
                <w:lang w:val="en-US" w:eastAsia="zh-CN" w:bidi="ar-SA"/>
              </w:rPr>
              <w:t>，年</w:t>
            </w:r>
            <w:r>
              <w:rPr>
                <w:rFonts w:hint="eastAsia" w:ascii="Times New Roman" w:hAnsi="Times New Roman" w:cs="Times New Roman"/>
                <w:color w:val="auto"/>
                <w:kern w:val="2"/>
                <w:sz w:val="24"/>
                <w:szCs w:val="24"/>
                <w:highlight w:val="none"/>
                <w:u w:val="single"/>
                <w:lang w:val="en-US" w:eastAsia="zh-CN" w:bidi="ar-SA"/>
              </w:rPr>
              <w:t>补充新鲜水</w:t>
            </w:r>
            <w:r>
              <w:rPr>
                <w:rFonts w:hint="eastAsia" w:cs="Times New Roman"/>
                <w:color w:val="auto"/>
                <w:kern w:val="2"/>
                <w:sz w:val="24"/>
                <w:szCs w:val="24"/>
                <w:highlight w:val="none"/>
                <w:u w:val="single"/>
                <w:lang w:val="en-US" w:eastAsia="zh-CN" w:bidi="ar-SA"/>
              </w:rPr>
              <w:t>84</w:t>
            </w:r>
            <w:r>
              <w:rPr>
                <w:rFonts w:hint="eastAsia" w:ascii="Times New Roman" w:hAnsi="Times New Roman" w:cs="Times New Roman"/>
                <w:color w:val="auto"/>
                <w:kern w:val="2"/>
                <w:sz w:val="24"/>
                <w:szCs w:val="24"/>
                <w:highlight w:val="none"/>
                <w:u w:val="single"/>
                <w:lang w:val="en-US" w:eastAsia="zh-CN" w:bidi="ar-SA"/>
              </w:rPr>
              <w:t>m</w:t>
            </w:r>
            <w:r>
              <w:rPr>
                <w:rFonts w:hint="eastAsia" w:ascii="Times New Roman" w:hAnsi="Times New Roman" w:cs="Times New Roman"/>
                <w:color w:val="auto"/>
                <w:kern w:val="2"/>
                <w:sz w:val="24"/>
                <w:szCs w:val="24"/>
                <w:highlight w:val="none"/>
                <w:u w:val="single"/>
                <w:vertAlign w:val="superscript"/>
                <w:lang w:val="en-US" w:eastAsia="zh-CN" w:bidi="ar-SA"/>
              </w:rPr>
              <w:t>3</w:t>
            </w:r>
            <w:r>
              <w:rPr>
                <w:rFonts w:hint="eastAsia" w:ascii="Times New Roman" w:hAnsi="Times New Roman" w:cs="Times New Roman"/>
                <w:color w:val="auto"/>
                <w:kern w:val="2"/>
                <w:sz w:val="24"/>
                <w:szCs w:val="24"/>
                <w:highlight w:val="none"/>
                <w:u w:val="single"/>
                <w:lang w:val="en-US" w:eastAsia="zh-CN" w:bidi="ar-SA"/>
              </w:rPr>
              <w:t>/a。</w:t>
            </w:r>
          </w:p>
          <w:p w14:paraId="094D03BF">
            <w:pPr>
              <w:pStyle w:val="28"/>
              <w:keepNext w:val="0"/>
              <w:keepLines w:val="0"/>
              <w:suppressLineNumbers w:val="0"/>
              <w:spacing w:before="0" w:beforeAutospacing="0" w:after="0" w:afterAutospacing="0"/>
              <w:ind w:left="0" w:leftChars="0" w:right="0" w:firstLine="0" w:firstLineChars="0"/>
              <w:jc w:val="center"/>
              <w:rPr>
                <w:rFonts w:hint="default"/>
                <w:lang w:val="en-US" w:eastAsia="zh-CN"/>
              </w:rPr>
            </w:pPr>
            <w:r>
              <w:rPr>
                <w:rFonts w:hint="default"/>
                <w:lang w:val="en-US" w:eastAsia="zh-CN"/>
              </w:rPr>
              <w:drawing>
                <wp:inline distT="0" distB="0" distL="114300" distR="114300">
                  <wp:extent cx="5030470" cy="2281555"/>
                  <wp:effectExtent l="0" t="0" r="0" b="0"/>
                  <wp:docPr id="2" name="ECB019B1-382A-4266-B25C-5B523AA43C14-1" descr="C:/Users/Administrator/AppData/Local/Temp/wps.RXxpm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C:/Users/Administrator/AppData/Local/Temp/wps.RXxpmLwps"/>
                          <pic:cNvPicPr>
                            <a:picLocks noChangeAspect="1"/>
                          </pic:cNvPicPr>
                        </pic:nvPicPr>
                        <pic:blipFill>
                          <a:blip r:embed="rId7"/>
                          <a:stretch>
                            <a:fillRect/>
                          </a:stretch>
                        </pic:blipFill>
                        <pic:spPr>
                          <a:xfrm>
                            <a:off x="0" y="0"/>
                            <a:ext cx="5030470" cy="2281555"/>
                          </a:xfrm>
                          <a:prstGeom prst="rect">
                            <a:avLst/>
                          </a:prstGeom>
                        </pic:spPr>
                      </pic:pic>
                    </a:graphicData>
                  </a:graphic>
                </wp:inline>
              </w:drawing>
            </w:r>
          </w:p>
          <w:p w14:paraId="7D70E48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u w:val="single"/>
                <w:lang w:val="en-US" w:eastAsia="zh-CN"/>
              </w:rPr>
            </w:pPr>
            <w:r>
              <w:rPr>
                <w:rFonts w:hint="eastAsia"/>
                <w:b/>
                <w:bCs/>
                <w:u w:val="single"/>
                <w:lang w:val="en-US" w:eastAsia="zh-CN"/>
              </w:rPr>
              <w:t>图2-1    项目水平衡图</w:t>
            </w:r>
            <w:r>
              <w:rPr>
                <w:rFonts w:hint="eastAsia"/>
                <w:b/>
                <w:bCs/>
                <w:u w:val="none"/>
                <w:lang w:val="en-US" w:eastAsia="zh-CN"/>
              </w:rPr>
              <w:t xml:space="preserve">     </w:t>
            </w:r>
            <w:r>
              <w:rPr>
                <w:rFonts w:hint="eastAsia"/>
                <w:b/>
                <w:bCs/>
                <w:u w:val="single"/>
                <w:lang w:val="en-US" w:eastAsia="zh-CN"/>
              </w:rPr>
              <w:t>单位m</w:t>
            </w:r>
            <w:r>
              <w:rPr>
                <w:rFonts w:hint="eastAsia"/>
                <w:b/>
                <w:bCs/>
                <w:u w:val="single"/>
                <w:vertAlign w:val="superscript"/>
                <w:lang w:val="en-US" w:eastAsia="zh-CN"/>
              </w:rPr>
              <w:t>3</w:t>
            </w:r>
            <w:r>
              <w:rPr>
                <w:rFonts w:hint="eastAsia"/>
                <w:b/>
                <w:bCs/>
                <w:u w:val="single"/>
                <w:lang w:val="en-US" w:eastAsia="zh-CN"/>
              </w:rPr>
              <w:t>/a</w:t>
            </w:r>
          </w:p>
          <w:p w14:paraId="7C7C9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8</w:t>
            </w:r>
            <w:r>
              <w:rPr>
                <w:rFonts w:hint="default" w:ascii="Times New Roman" w:hAnsi="Times New Roman" w:eastAsia="宋体" w:cs="Times New Roman"/>
                <w:b/>
                <w:bCs/>
                <w:color w:val="auto"/>
                <w:kern w:val="2"/>
                <w:sz w:val="24"/>
                <w:szCs w:val="24"/>
                <w:highlight w:val="none"/>
                <w:lang w:val="en-US" w:eastAsia="zh-CN" w:bidi="ar-SA"/>
              </w:rPr>
              <w:t>、项目劳动定员及工作制度</w:t>
            </w:r>
          </w:p>
          <w:p w14:paraId="59994DC9">
            <w:pPr>
              <w:pStyle w:val="28"/>
              <w:keepNext w:val="0"/>
              <w:keepLines w:val="0"/>
              <w:suppressLineNumbers w:val="0"/>
              <w:spacing w:before="0" w:beforeAutospacing="0" w:after="0" w:afterAutospacing="0"/>
              <w:ind w:right="0"/>
              <w:jc w:val="center"/>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表2-6   变更前后劳动定员和工作制度对比</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57"/>
              <w:gridCol w:w="1876"/>
              <w:gridCol w:w="1212"/>
              <w:gridCol w:w="1966"/>
              <w:gridCol w:w="1388"/>
            </w:tblGrid>
            <w:tr w14:paraId="3C0F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1" w:type="dxa"/>
                  <w:vAlign w:val="center"/>
                </w:tcPr>
                <w:p w14:paraId="433443BA">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序号</w:t>
                  </w:r>
                </w:p>
              </w:tc>
              <w:tc>
                <w:tcPr>
                  <w:tcW w:w="3033" w:type="dxa"/>
                  <w:gridSpan w:val="2"/>
                  <w:vAlign w:val="center"/>
                </w:tcPr>
                <w:p w14:paraId="7FC27F4E">
                  <w:pPr>
                    <w:keepNext w:val="0"/>
                    <w:keepLines w:val="0"/>
                    <w:suppressLineNumbers w:val="0"/>
                    <w:spacing w:before="0" w:beforeAutospacing="0" w:after="0" w:afterAutospacing="0"/>
                    <w:ind w:left="0" w:right="0"/>
                    <w:jc w:val="center"/>
                    <w:rPr>
                      <w:rFonts w:hint="eastAsia"/>
                      <w:vertAlign w:val="baseline"/>
                      <w:lang w:val="en-US" w:eastAsia="zh-CN"/>
                    </w:rPr>
                  </w:pPr>
                  <w:r>
                    <w:rPr>
                      <w:rFonts w:hint="eastAsia"/>
                      <w:vertAlign w:val="baseline"/>
                      <w:lang w:val="en-US" w:eastAsia="zh-CN"/>
                    </w:rPr>
                    <w:t>变更前</w:t>
                  </w:r>
                </w:p>
              </w:tc>
              <w:tc>
                <w:tcPr>
                  <w:tcW w:w="3178" w:type="dxa"/>
                  <w:gridSpan w:val="2"/>
                  <w:vAlign w:val="center"/>
                </w:tcPr>
                <w:p w14:paraId="63FC46AA">
                  <w:pPr>
                    <w:keepNext w:val="0"/>
                    <w:keepLines w:val="0"/>
                    <w:suppressLineNumbers w:val="0"/>
                    <w:spacing w:before="0" w:beforeAutospacing="0" w:after="0" w:afterAutospacing="0"/>
                    <w:ind w:left="0" w:right="0"/>
                    <w:jc w:val="center"/>
                    <w:rPr>
                      <w:rFonts w:hint="eastAsia"/>
                      <w:vertAlign w:val="baseline"/>
                      <w:lang w:val="en-US" w:eastAsia="zh-CN"/>
                    </w:rPr>
                  </w:pPr>
                  <w:r>
                    <w:rPr>
                      <w:rFonts w:hint="eastAsia"/>
                      <w:vertAlign w:val="baseline"/>
                      <w:lang w:val="en-US" w:eastAsia="zh-CN"/>
                    </w:rPr>
                    <w:t>变更后</w:t>
                  </w:r>
                </w:p>
              </w:tc>
              <w:tc>
                <w:tcPr>
                  <w:tcW w:w="1388" w:type="dxa"/>
                  <w:vAlign w:val="center"/>
                </w:tcPr>
                <w:p w14:paraId="6AD31FE6">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变化情况</w:t>
                  </w:r>
                </w:p>
              </w:tc>
            </w:tr>
            <w:tr w14:paraId="0FF3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91" w:type="dxa"/>
                  <w:vAlign w:val="center"/>
                </w:tcPr>
                <w:p w14:paraId="00F07D4B">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w:t>
                  </w:r>
                </w:p>
              </w:tc>
              <w:tc>
                <w:tcPr>
                  <w:tcW w:w="1157" w:type="dxa"/>
                  <w:vAlign w:val="center"/>
                </w:tcPr>
                <w:p w14:paraId="1D4854EE">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劳动定员</w:t>
                  </w:r>
                </w:p>
              </w:tc>
              <w:tc>
                <w:tcPr>
                  <w:tcW w:w="1876" w:type="dxa"/>
                  <w:vAlign w:val="center"/>
                </w:tcPr>
                <w:p w14:paraId="444B6BA1">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300人</w:t>
                  </w:r>
                </w:p>
              </w:tc>
              <w:tc>
                <w:tcPr>
                  <w:tcW w:w="1212" w:type="dxa"/>
                  <w:shd w:val="clear" w:color="auto" w:fill="auto"/>
                  <w:vAlign w:val="center"/>
                </w:tcPr>
                <w:p w14:paraId="4AD929A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劳动定员</w:t>
                  </w:r>
                </w:p>
              </w:tc>
              <w:tc>
                <w:tcPr>
                  <w:tcW w:w="1966" w:type="dxa"/>
                  <w:vAlign w:val="center"/>
                </w:tcPr>
                <w:p w14:paraId="6D3EF18E">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400人</w:t>
                  </w:r>
                </w:p>
              </w:tc>
              <w:tc>
                <w:tcPr>
                  <w:tcW w:w="1388" w:type="dxa"/>
                  <w:vAlign w:val="center"/>
                </w:tcPr>
                <w:p w14:paraId="72791955">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新增100人</w:t>
                  </w:r>
                </w:p>
              </w:tc>
            </w:tr>
            <w:tr w14:paraId="27C5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50C271F6">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2</w:t>
                  </w:r>
                </w:p>
              </w:tc>
              <w:tc>
                <w:tcPr>
                  <w:tcW w:w="1157" w:type="dxa"/>
                  <w:vAlign w:val="center"/>
                </w:tcPr>
                <w:p w14:paraId="4EB1E3E6">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生产制度</w:t>
                  </w:r>
                </w:p>
              </w:tc>
              <w:tc>
                <w:tcPr>
                  <w:tcW w:w="1876" w:type="dxa"/>
                  <w:vAlign w:val="center"/>
                </w:tcPr>
                <w:p w14:paraId="49DD063F">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2班，每班8小时</w:t>
                  </w:r>
                </w:p>
              </w:tc>
              <w:tc>
                <w:tcPr>
                  <w:tcW w:w="1212" w:type="dxa"/>
                  <w:shd w:val="clear" w:color="auto" w:fill="auto"/>
                  <w:vAlign w:val="center"/>
                </w:tcPr>
                <w:p w14:paraId="2DB56E9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生产制度</w:t>
                  </w:r>
                </w:p>
              </w:tc>
              <w:tc>
                <w:tcPr>
                  <w:tcW w:w="1966" w:type="dxa"/>
                  <w:vAlign w:val="center"/>
                </w:tcPr>
                <w:p w14:paraId="0C14BD69">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3班，每班8小时</w:t>
                  </w:r>
                </w:p>
              </w:tc>
              <w:tc>
                <w:tcPr>
                  <w:tcW w:w="1388" w:type="dxa"/>
                  <w:vAlign w:val="center"/>
                </w:tcPr>
                <w:p w14:paraId="7ACD8BB3">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由2班制变成3班制</w:t>
                  </w:r>
                </w:p>
              </w:tc>
            </w:tr>
            <w:tr w14:paraId="6D85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2BE015DA">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3</w:t>
                  </w:r>
                </w:p>
              </w:tc>
              <w:tc>
                <w:tcPr>
                  <w:tcW w:w="1157" w:type="dxa"/>
                  <w:vAlign w:val="center"/>
                </w:tcPr>
                <w:p w14:paraId="5BA38E99">
                  <w:pPr>
                    <w:keepNext w:val="0"/>
                    <w:keepLines w:val="0"/>
                    <w:suppressLineNumbers w:val="0"/>
                    <w:spacing w:before="0" w:beforeAutospacing="0" w:after="0" w:afterAutospacing="0"/>
                    <w:ind w:left="0" w:right="0"/>
                    <w:jc w:val="center"/>
                    <w:rPr>
                      <w:rFonts w:hint="eastAsia"/>
                      <w:vertAlign w:val="baseline"/>
                      <w:lang w:val="en-US" w:eastAsia="zh-CN"/>
                    </w:rPr>
                  </w:pPr>
                  <w:r>
                    <w:rPr>
                      <w:rFonts w:hint="eastAsia"/>
                      <w:vertAlign w:val="baseline"/>
                      <w:lang w:val="en-US" w:eastAsia="zh-CN"/>
                    </w:rPr>
                    <w:t>工作时间</w:t>
                  </w:r>
                </w:p>
              </w:tc>
              <w:tc>
                <w:tcPr>
                  <w:tcW w:w="1876" w:type="dxa"/>
                  <w:vAlign w:val="center"/>
                </w:tcPr>
                <w:p w14:paraId="0C187286">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4800h</w:t>
                  </w:r>
                </w:p>
              </w:tc>
              <w:tc>
                <w:tcPr>
                  <w:tcW w:w="1212" w:type="dxa"/>
                  <w:shd w:val="clear" w:color="auto" w:fill="auto"/>
                  <w:vAlign w:val="center"/>
                </w:tcPr>
                <w:p w14:paraId="5F0C8BC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工作时间</w:t>
                  </w:r>
                </w:p>
              </w:tc>
              <w:tc>
                <w:tcPr>
                  <w:tcW w:w="1966" w:type="dxa"/>
                  <w:vAlign w:val="center"/>
                </w:tcPr>
                <w:p w14:paraId="7BD53A63">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7200h</w:t>
                  </w:r>
                </w:p>
              </w:tc>
              <w:tc>
                <w:tcPr>
                  <w:tcW w:w="1388" w:type="dxa"/>
                  <w:vAlign w:val="center"/>
                </w:tcPr>
                <w:p w14:paraId="18E17F0C">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新增2400h</w:t>
                  </w:r>
                </w:p>
              </w:tc>
            </w:tr>
          </w:tbl>
          <w:p w14:paraId="20DE87A9">
            <w:pPr>
              <w:keepNext w:val="0"/>
              <w:keepLines w:val="0"/>
              <w:suppressLineNumbers w:val="0"/>
              <w:spacing w:before="0" w:beforeAutospacing="0" w:after="0" w:afterAutospacing="0"/>
              <w:ind w:left="0" w:right="0"/>
              <w:rPr>
                <w:rFonts w:hint="default"/>
                <w:lang w:val="en-US" w:eastAsia="zh-CN"/>
              </w:rPr>
            </w:pPr>
          </w:p>
        </w:tc>
      </w:tr>
    </w:tbl>
    <w:p w14:paraId="0687C335">
      <w:pPr>
        <w:pStyle w:val="29"/>
        <w:adjustRightInd w:val="0"/>
        <w:snapToGrid w:val="0"/>
        <w:spacing w:before="0" w:beforeAutospacing="0" w:after="0" w:afterAutospacing="0"/>
        <w:jc w:val="both"/>
        <w:rPr>
          <w:rFonts w:hint="default" w:ascii="Times New Roman" w:hAnsi="Times New Roman" w:cs="Times New Roman"/>
          <w:color w:val="auto"/>
          <w:sz w:val="10"/>
          <w:szCs w:val="1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8479"/>
      </w:tblGrid>
      <w:tr w14:paraId="402B5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noWrap w:val="0"/>
            <w:vAlign w:val="center"/>
          </w:tcPr>
          <w:p w14:paraId="2453CD95">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工艺流程和产排污环节</w:t>
            </w:r>
          </w:p>
        </w:tc>
        <w:tc>
          <w:tcPr>
            <w:tcW w:w="8302" w:type="dxa"/>
            <w:noWrap w:val="0"/>
            <w:vAlign w:val="top"/>
          </w:tcPr>
          <w:p w14:paraId="2B4F9A3E">
            <w:pPr>
              <w:keepNext w:val="0"/>
              <w:keepLines w:val="0"/>
              <w:numPr>
                <w:ilvl w:val="0"/>
                <w:numId w:val="2"/>
              </w:numPr>
              <w:suppressLineNumbers w:val="0"/>
              <w:spacing w:before="120" w:beforeLines="50" w:beforeAutospacing="0" w:after="0" w:afterAutospacing="0" w:line="360" w:lineRule="auto"/>
              <w:ind w:left="0" w:right="0"/>
              <w:jc w:val="left"/>
              <w:rPr>
                <w:rFonts w:hint="eastAsia"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rPr>
              <w:t>施工期</w:t>
            </w:r>
            <w:r>
              <w:rPr>
                <w:rFonts w:hint="default" w:ascii="Times New Roman" w:hAnsi="Times New Roman" w:cs="Times New Roman"/>
                <w:b/>
                <w:bCs/>
                <w:color w:val="auto"/>
                <w:sz w:val="24"/>
                <w:szCs w:val="24"/>
                <w:highlight w:val="none"/>
                <w:u w:val="none"/>
                <w:lang w:val="en-US" w:eastAsia="zh-CN"/>
              </w:rPr>
              <w:t>工艺流程</w:t>
            </w:r>
            <w:r>
              <w:rPr>
                <w:rFonts w:hint="eastAsia" w:ascii="Times New Roman" w:hAnsi="Times New Roman" w:cs="Times New Roman"/>
                <w:b/>
                <w:bCs/>
                <w:color w:val="auto"/>
                <w:sz w:val="24"/>
                <w:szCs w:val="24"/>
                <w:highlight w:val="none"/>
                <w:u w:val="none"/>
                <w:lang w:val="en-US" w:eastAsia="zh-CN"/>
              </w:rPr>
              <w:t>简述</w:t>
            </w:r>
          </w:p>
          <w:p w14:paraId="227C38E8">
            <w:pPr>
              <w:keepNext w:val="0"/>
              <w:keepLines w:val="0"/>
              <w:suppressLineNumbers w:val="0"/>
              <w:spacing w:before="0" w:beforeAutospacing="0" w:after="0" w:afterAutospacing="0" w:line="360" w:lineRule="auto"/>
              <w:ind w:left="0" w:right="0" w:firstLine="480" w:firstLineChars="200"/>
              <w:rPr>
                <w:rFonts w:hint="default"/>
                <w:bCs/>
                <w:sz w:val="24"/>
                <w:u w:val="none"/>
              </w:rPr>
            </w:pPr>
            <w:r>
              <w:rPr>
                <w:rFonts w:hint="default"/>
                <w:bCs/>
                <w:sz w:val="24"/>
                <w:u w:val="none"/>
              </w:rPr>
              <w:t>该厂房基础设施均</w:t>
            </w:r>
            <w:r>
              <w:rPr>
                <w:rFonts w:hint="eastAsia"/>
                <w:bCs/>
                <w:sz w:val="24"/>
                <w:u w:val="none"/>
                <w:lang w:val="en-US" w:eastAsia="zh-CN"/>
              </w:rPr>
              <w:t>建成</w:t>
            </w:r>
            <w:r>
              <w:rPr>
                <w:rFonts w:hint="default"/>
                <w:bCs/>
                <w:sz w:val="24"/>
                <w:u w:val="none"/>
              </w:rPr>
              <w:t>。施工期仅</w:t>
            </w:r>
            <w:r>
              <w:rPr>
                <w:rFonts w:hint="eastAsia"/>
                <w:bCs/>
                <w:sz w:val="24"/>
                <w:u w:val="none"/>
                <w:lang w:val="en-US" w:eastAsia="zh-CN"/>
              </w:rPr>
              <w:t>在</w:t>
            </w:r>
            <w:r>
              <w:rPr>
                <w:rFonts w:hint="default"/>
                <w:bCs/>
                <w:sz w:val="24"/>
                <w:u w:val="none"/>
              </w:rPr>
              <w:t>厂房内部进行</w:t>
            </w:r>
            <w:r>
              <w:rPr>
                <w:rFonts w:hint="eastAsia"/>
                <w:bCs/>
                <w:sz w:val="24"/>
                <w:u w:val="none"/>
                <w:lang w:val="en-US" w:eastAsia="zh-CN"/>
              </w:rPr>
              <w:t>设备</w:t>
            </w:r>
            <w:r>
              <w:rPr>
                <w:rFonts w:hint="default"/>
                <w:bCs/>
                <w:sz w:val="24"/>
                <w:u w:val="none"/>
              </w:rPr>
              <w:t>安装，不改变其原有外部结构。</w:t>
            </w:r>
          </w:p>
          <w:p w14:paraId="129FD741">
            <w:pPr>
              <w:keepNext w:val="0"/>
              <w:keepLines w:val="0"/>
              <w:suppressLineNumbers w:val="0"/>
              <w:adjustRightInd w:val="0"/>
              <w:snapToGrid w:val="0"/>
              <w:spacing w:before="0" w:beforeAutospacing="0" w:after="0" w:afterAutospacing="0" w:line="360" w:lineRule="auto"/>
              <w:ind w:left="0" w:right="0" w:firstLine="504" w:firstLineChars="200"/>
              <w:rPr>
                <w:rFonts w:hint="default"/>
                <w:sz w:val="24"/>
                <w:u w:val="none"/>
              </w:rPr>
            </w:pPr>
            <w:r>
              <w:rPr>
                <w:rFonts w:hint="eastAsia"/>
                <w:spacing w:val="6"/>
                <w:sz w:val="24"/>
                <w:u w:val="none"/>
                <w:lang w:val="en-US" w:eastAsia="zh-CN"/>
              </w:rPr>
              <w:t>本</w:t>
            </w:r>
            <w:r>
              <w:rPr>
                <w:rFonts w:hint="default"/>
                <w:spacing w:val="6"/>
                <w:sz w:val="24"/>
                <w:u w:val="none"/>
              </w:rPr>
              <w:t>项目施工期预计约</w:t>
            </w:r>
            <w:r>
              <w:rPr>
                <w:rFonts w:hint="eastAsia"/>
                <w:spacing w:val="6"/>
                <w:sz w:val="24"/>
                <w:u w:val="none"/>
                <w:lang w:val="en-US" w:eastAsia="zh-CN"/>
              </w:rPr>
              <w:t>1</w:t>
            </w:r>
            <w:r>
              <w:rPr>
                <w:rFonts w:hint="default"/>
                <w:spacing w:val="6"/>
                <w:sz w:val="24"/>
                <w:u w:val="none"/>
              </w:rPr>
              <w:t>个月，施工期的主要污染物是施工过程中产生的噪声</w:t>
            </w:r>
            <w:r>
              <w:rPr>
                <w:rFonts w:hint="default"/>
                <w:sz w:val="24"/>
                <w:u w:val="none"/>
              </w:rPr>
              <w:t>。</w:t>
            </w:r>
          </w:p>
          <w:p w14:paraId="06E61D6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cs="Times New Roman"/>
                <w:b/>
                <w:bCs/>
                <w:color w:val="auto"/>
                <w:sz w:val="24"/>
                <w:szCs w:val="24"/>
                <w:highlight w:val="none"/>
                <w:u w:val="none"/>
              </w:rPr>
              <w:t>2、</w:t>
            </w:r>
            <w:r>
              <w:rPr>
                <w:rFonts w:hint="default" w:ascii="Times New Roman" w:hAnsi="Times New Roman" w:cs="Times New Roman"/>
                <w:b/>
                <w:bCs/>
                <w:color w:val="auto"/>
                <w:sz w:val="24"/>
                <w:szCs w:val="24"/>
                <w:highlight w:val="none"/>
                <w:u w:val="none"/>
                <w:lang w:eastAsia="zh-CN"/>
              </w:rPr>
              <w:t>运营期</w:t>
            </w:r>
            <w:r>
              <w:rPr>
                <w:rFonts w:hint="default" w:ascii="Times New Roman" w:hAnsi="Times New Roman" w:cs="Times New Roman"/>
                <w:b/>
                <w:bCs/>
                <w:color w:val="auto"/>
                <w:sz w:val="24"/>
                <w:szCs w:val="24"/>
                <w:highlight w:val="none"/>
                <w:u w:val="none"/>
                <w:lang w:val="en-US" w:eastAsia="zh-CN"/>
              </w:rPr>
              <w:t>工艺流程和产污环节分析</w:t>
            </w:r>
          </w:p>
          <w:p w14:paraId="2CD228D3">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u w:val="none"/>
                <w:lang w:eastAsia="zh-CN"/>
              </w:rPr>
            </w:pPr>
            <w:r>
              <w:rPr>
                <w:rFonts w:hint="eastAsia" w:ascii="Times New Roman" w:hAnsi="Times New Roman" w:eastAsia="宋体" w:cs="Times New Roman"/>
                <w:b/>
                <w:bCs/>
                <w:color w:val="auto"/>
                <w:sz w:val="24"/>
                <w:szCs w:val="24"/>
                <w:highlight w:val="none"/>
                <w:u w:val="none"/>
                <w:lang w:val="en-US" w:eastAsia="zh-CN"/>
              </w:rPr>
              <w:t>2.1、</w:t>
            </w:r>
            <w:r>
              <w:rPr>
                <w:rFonts w:hint="default" w:ascii="Times New Roman" w:hAnsi="Times New Roman" w:eastAsia="宋体" w:cs="Times New Roman"/>
                <w:b/>
                <w:bCs/>
                <w:color w:val="auto"/>
                <w:sz w:val="24"/>
                <w:szCs w:val="24"/>
                <w:highlight w:val="none"/>
                <w:u w:val="none"/>
                <w:lang w:eastAsia="zh-CN"/>
              </w:rPr>
              <w:t>工艺流程图</w:t>
            </w:r>
          </w:p>
          <w:p w14:paraId="30FF52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1、线轨生产工艺</w:t>
            </w:r>
            <w:r>
              <w:rPr>
                <w:rFonts w:hint="default" w:ascii="Times New Roman" w:hAnsi="Times New Roman" w:eastAsia="宋体" w:cs="Times New Roman"/>
                <w:color w:val="auto"/>
                <w:sz w:val="24"/>
                <w:szCs w:val="24"/>
                <w:highlight w:val="none"/>
                <w:u w:val="none"/>
                <w:lang w:val="en-US" w:eastAsia="zh-CN"/>
              </w:rPr>
              <w:t>如下：</w:t>
            </w:r>
          </w:p>
          <w:p w14:paraId="193068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eastAsia="zh-CN"/>
              </w:rPr>
              <w:drawing>
                <wp:inline distT="0" distB="0" distL="114300" distR="114300">
                  <wp:extent cx="2161540" cy="6019165"/>
                  <wp:effectExtent l="0" t="0" r="0" b="0"/>
                  <wp:docPr id="26" name="ECB019B1-382A-4266-B25C-5B523AA43C14-2" descr="C:/Users/Administrator/AppData/Local/Temp/wps.hIObF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B019B1-382A-4266-B25C-5B523AA43C14-2" descr="C:/Users/Administrator/AppData/Local/Temp/wps.hIObFNwps"/>
                          <pic:cNvPicPr>
                            <a:picLocks noChangeAspect="1"/>
                          </pic:cNvPicPr>
                        </pic:nvPicPr>
                        <pic:blipFill>
                          <a:blip r:embed="rId8"/>
                          <a:stretch>
                            <a:fillRect/>
                          </a:stretch>
                        </pic:blipFill>
                        <pic:spPr>
                          <a:xfrm>
                            <a:off x="0" y="0"/>
                            <a:ext cx="2161540" cy="6019165"/>
                          </a:xfrm>
                          <a:prstGeom prst="rect">
                            <a:avLst/>
                          </a:prstGeom>
                        </pic:spPr>
                      </pic:pic>
                    </a:graphicData>
                  </a:graphic>
                </wp:inline>
              </w:drawing>
            </w:r>
          </w:p>
          <w:p w14:paraId="039914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图2-2    线轨生产工艺流程及产排污节点图（所有环节均产生噪声）</w:t>
            </w:r>
          </w:p>
          <w:p w14:paraId="284F4B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cs="Times New Roman"/>
                <w:b/>
                <w:bCs/>
                <w:color w:val="auto"/>
                <w:sz w:val="24"/>
                <w:szCs w:val="24"/>
                <w:highlight w:val="none"/>
                <w:u w:val="none"/>
                <w:lang w:val="en-US" w:eastAsia="zh-CN"/>
              </w:rPr>
              <w:t>工艺流程简介</w:t>
            </w:r>
          </w:p>
          <w:p w14:paraId="16768B02">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配料：根据客户需求，外购相应尺寸的粗毛坯线轨。</w:t>
            </w:r>
          </w:p>
          <w:p w14:paraId="6151B8C6">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高频处理：高频淬火是一种利用电磁感应原理对金属工件表面进行快速加热并淬火的先进热处理工艺，其核心是通过交变电磁场在工件表面感应出涡流实现局部加热。金属工件置于磁场中时，表面会因电磁感应生成涡流，涡流在金属电阻作用下产生焦耳热</w:t>
            </w:r>
            <w:r>
              <w:rPr>
                <w:rFonts w:hint="default" w:cs="Times New Roman"/>
                <w:color w:val="auto"/>
                <w:sz w:val="24"/>
                <w:szCs w:val="24"/>
                <w:highlight w:val="none"/>
                <w:u w:val="none"/>
                <w:lang w:val="en-US" w:eastAsia="zh-CN"/>
              </w:rPr>
              <w:t>，实现瞬时加热</w:t>
            </w:r>
            <w:r>
              <w:rPr>
                <w:rFonts w:hint="eastAsia" w:cs="Times New Roman"/>
                <w:color w:val="auto"/>
                <w:sz w:val="24"/>
                <w:szCs w:val="24"/>
                <w:highlight w:val="none"/>
                <w:u w:val="none"/>
                <w:lang w:val="en-US" w:eastAsia="zh-CN"/>
              </w:rPr>
              <w:t>至900℃，</w:t>
            </w:r>
            <w:r>
              <w:rPr>
                <w:rFonts w:hint="default" w:cs="Times New Roman"/>
                <w:color w:val="auto"/>
                <w:sz w:val="24"/>
                <w:szCs w:val="24"/>
                <w:highlight w:val="none"/>
                <w:u w:val="none"/>
                <w:lang w:val="en-US" w:eastAsia="zh-CN"/>
              </w:rPr>
              <w:t>原始铁素体转变为奥氏体，但心部因加热时间短仍保持原组织。</w:t>
            </w:r>
            <w:r>
              <w:rPr>
                <w:rFonts w:hint="eastAsia" w:cs="Times New Roman"/>
                <w:color w:val="auto"/>
                <w:sz w:val="24"/>
                <w:szCs w:val="24"/>
                <w:highlight w:val="none"/>
                <w:u w:val="none"/>
                <w:lang w:val="en-US" w:eastAsia="zh-CN"/>
              </w:rPr>
              <w:t>加热后立即喷淋冷却介质（水性淬火剂），使奥氏体转变为高硬度的马氏体。</w:t>
            </w:r>
          </w:p>
          <w:p w14:paraId="275C78B7">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自然时效：淬火后的线轨自然冷却，放置在自然时效处理区域，放置时间2个月。</w:t>
            </w:r>
          </w:p>
          <w:p w14:paraId="31CB8045">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校直1：经过自然放置2个月的线轨需要通过校直机进行校直。</w:t>
            </w:r>
          </w:p>
          <w:p w14:paraId="70D8F605">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喷砂表面处理：校直后的线轨使用喷砂机进行喷砂表面处理，提高其表面精度。此过程会产生废气颗粒物，通过设备自带的除尘设施进行处理，处理后的尾气通过1#排气筒高空排放（编号DA001）。</w:t>
            </w:r>
          </w:p>
          <w:p w14:paraId="36D3DF5C">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钻孔：用CNC数控钻铣机进行钻孔，CNC数控钻铣机在工作时关闭机床门，形成全封闭空间，切削液自动喷水对刀头进行降温，设备自带油雾回收器，回收的油雾形成液滴回流至沉淀池，经沉淀后二次利用，尾气车间内无组织排放。此过程会产生非甲烷总烃、颗粒物、固废。</w:t>
            </w:r>
          </w:p>
          <w:p w14:paraId="73D4F467">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校直2：再次用校直机进行校直。</w:t>
            </w:r>
          </w:p>
          <w:p w14:paraId="3ECFBF36">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磨平面1：使用</w:t>
            </w:r>
            <w:r>
              <w:rPr>
                <w:rFonts w:hint="eastAsia"/>
                <w:sz w:val="24"/>
                <w:u w:val="none"/>
                <w:lang w:val="en-US" w:eastAsia="zh-CN"/>
              </w:rPr>
              <w:t>磨床</w:t>
            </w:r>
            <w:r>
              <w:rPr>
                <w:rFonts w:hint="eastAsia" w:eastAsia="宋体"/>
                <w:sz w:val="24"/>
                <w:u w:val="none"/>
                <w:lang w:val="en-US" w:eastAsia="zh-CN"/>
              </w:rPr>
              <w:t>进行磨</w:t>
            </w:r>
            <w:r>
              <w:rPr>
                <w:rFonts w:hint="eastAsia"/>
                <w:sz w:val="24"/>
                <w:u w:val="none"/>
                <w:lang w:val="en-US" w:eastAsia="zh-CN"/>
              </w:rPr>
              <w:t>平面，提高表面精度</w:t>
            </w:r>
            <w:r>
              <w:rPr>
                <w:rFonts w:hint="eastAsia" w:eastAsia="宋体"/>
                <w:sz w:val="24"/>
                <w:u w:val="none"/>
                <w:lang w:val="en-US" w:eastAsia="zh-CN"/>
              </w:rPr>
              <w:t>，此过程工作时关闭机床门，形成封闭空间，自动喷切削液</w:t>
            </w:r>
            <w:r>
              <w:rPr>
                <w:rFonts w:hint="eastAsia"/>
                <w:sz w:val="24"/>
                <w:u w:val="none"/>
                <w:lang w:val="en-US" w:eastAsia="zh-CN"/>
              </w:rPr>
              <w:t>对其</w:t>
            </w:r>
            <w:r>
              <w:rPr>
                <w:rFonts w:hint="eastAsia" w:eastAsia="宋体"/>
                <w:sz w:val="24"/>
                <w:u w:val="none"/>
                <w:lang w:val="en-US" w:eastAsia="zh-CN"/>
              </w:rPr>
              <w:t>进行降温，工作时产生的油雾经设备自带的油雾回收器，回收的油雾形成液滴回流至沉淀池，经</w:t>
            </w:r>
            <w:r>
              <w:rPr>
                <w:rFonts w:hint="eastAsia" w:cs="Times New Roman"/>
                <w:color w:val="auto"/>
                <w:sz w:val="24"/>
                <w:szCs w:val="24"/>
                <w:highlight w:val="none"/>
                <w:u w:val="none"/>
                <w:lang w:val="en-US" w:eastAsia="zh-CN"/>
              </w:rPr>
              <w:t>沉淀后二次利用，尾气车间内无组织排放。此过程会产生非甲烷总烃、固废。</w:t>
            </w:r>
          </w:p>
          <w:p w14:paraId="447D4C1A">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磨球道：使用</w:t>
            </w:r>
            <w:r>
              <w:rPr>
                <w:rFonts w:hint="eastAsia"/>
                <w:sz w:val="24"/>
                <w:u w:val="none"/>
                <w:lang w:val="en-US" w:eastAsia="zh-CN"/>
              </w:rPr>
              <w:t>线轨</w:t>
            </w:r>
            <w:r>
              <w:rPr>
                <w:rFonts w:hint="eastAsia" w:eastAsia="宋体"/>
                <w:sz w:val="24"/>
                <w:u w:val="none"/>
                <w:lang w:val="en-US" w:eastAsia="zh-CN"/>
              </w:rPr>
              <w:t>球道磨机进行磨球道，此过程工作时关闭机床门，形成封闭空间，自动喷切削液进行降温，工作时产生的油雾经设备自带的油雾回收器，回收的油雾形成液滴回流至沉淀池，经</w:t>
            </w:r>
            <w:r>
              <w:rPr>
                <w:rFonts w:hint="eastAsia" w:cs="Times New Roman"/>
                <w:color w:val="auto"/>
                <w:sz w:val="24"/>
                <w:szCs w:val="24"/>
                <w:highlight w:val="none"/>
                <w:u w:val="none"/>
                <w:lang w:val="en-US" w:eastAsia="zh-CN"/>
              </w:rPr>
              <w:t>沉淀后二次利用，尾气车间内无组织排放。此过程会产生非甲烷总烃、颗粒物、臭气浓度、固废。</w:t>
            </w:r>
          </w:p>
          <w:p w14:paraId="1BDE3A92">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磨平面2：使用高精度磨床进行二次磨平面，提高线轨的精度，</w:t>
            </w:r>
            <w:r>
              <w:rPr>
                <w:rFonts w:hint="eastAsia" w:eastAsia="宋体"/>
                <w:sz w:val="24"/>
                <w:u w:val="none"/>
                <w:lang w:val="en-US" w:eastAsia="zh-CN"/>
              </w:rPr>
              <w:t>此过程工作时关闭机床门，形成封闭空间，自动喷切削液</w:t>
            </w:r>
            <w:r>
              <w:rPr>
                <w:rFonts w:hint="eastAsia"/>
                <w:sz w:val="24"/>
                <w:u w:val="none"/>
                <w:lang w:val="en-US" w:eastAsia="zh-CN"/>
              </w:rPr>
              <w:t>对其</w:t>
            </w:r>
            <w:r>
              <w:rPr>
                <w:rFonts w:hint="eastAsia" w:eastAsia="宋体"/>
                <w:sz w:val="24"/>
                <w:u w:val="none"/>
                <w:lang w:val="en-US" w:eastAsia="zh-CN"/>
              </w:rPr>
              <w:t>进行降温，工作时产生的油雾经设备自带的油雾回收器，回收的油雾形成液滴回流至沉淀池，经</w:t>
            </w:r>
            <w:r>
              <w:rPr>
                <w:rFonts w:hint="eastAsia" w:cs="Times New Roman"/>
                <w:color w:val="auto"/>
                <w:sz w:val="24"/>
                <w:szCs w:val="24"/>
                <w:highlight w:val="none"/>
                <w:u w:val="none"/>
                <w:lang w:val="en-US" w:eastAsia="zh-CN"/>
              </w:rPr>
              <w:t>沉淀后二次利用，尾气车间内无组织排放。此过程会产生非甲烷总烃、颗粒物、固废。</w:t>
            </w:r>
          </w:p>
          <w:p w14:paraId="46C3A855">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kern w:val="2"/>
                <w:sz w:val="24"/>
                <w:szCs w:val="24"/>
                <w:u w:val="none"/>
                <w:lang w:val="en-US" w:eastAsia="zh-CN" w:bidi="ar-SA"/>
              </w:rPr>
              <w:t>激光打标：利用激光发生器生成高能量的连续激光光束，聚焦后的激光作用于工件，使表面材料瞬间=气化，通过控制激光在工件表面的路径，从而形成需要的图文标记，此工序会产生少量的颗粒物。</w:t>
            </w:r>
          </w:p>
          <w:p w14:paraId="2103D477">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成品检验：经人工专业检验其性能，此过程会产生不合格产品。</w:t>
            </w:r>
          </w:p>
          <w:p w14:paraId="4791D52A">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清洗：使用超声波清洗机清洗表面油污等，清洗机装载水量约为1m，添加环保水性清洗剂，平常废水经隔油沉淀后循环使用，定期添加新鲜水，每月清洗废液做危废处理一次，整体更换，不外排。</w:t>
            </w:r>
          </w:p>
          <w:p w14:paraId="0D600935">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防锈：经检验合格的产品，涂防锈油后包装入库。防锈油常温下不产生挥发性气体。</w:t>
            </w:r>
          </w:p>
          <w:p w14:paraId="1F429C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2、滑块生产工艺</w:t>
            </w:r>
            <w:r>
              <w:rPr>
                <w:rFonts w:hint="default" w:ascii="Times New Roman" w:hAnsi="Times New Roman" w:eastAsia="宋体" w:cs="Times New Roman"/>
                <w:color w:val="auto"/>
                <w:sz w:val="24"/>
                <w:szCs w:val="24"/>
                <w:highlight w:val="none"/>
                <w:u w:val="none"/>
                <w:lang w:val="en-US" w:eastAsia="zh-CN"/>
              </w:rPr>
              <w:t>如下：</w:t>
            </w:r>
          </w:p>
          <w:p w14:paraId="5646C6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drawing>
                <wp:inline distT="0" distB="0" distL="114300" distR="114300">
                  <wp:extent cx="2141855" cy="5390515"/>
                  <wp:effectExtent l="0" t="0" r="0" b="0"/>
                  <wp:docPr id="29" name="ECB019B1-382A-4266-B25C-5B523AA43C14-3" descr="C:/Users/Administrator/AppData/Local/Temp/wps.mXrWy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B019B1-382A-4266-B25C-5B523AA43C14-3" descr="C:/Users/Administrator/AppData/Local/Temp/wps.mXrWyUwps"/>
                          <pic:cNvPicPr>
                            <a:picLocks noChangeAspect="1"/>
                          </pic:cNvPicPr>
                        </pic:nvPicPr>
                        <pic:blipFill>
                          <a:blip r:embed="rId9"/>
                          <a:stretch>
                            <a:fillRect/>
                          </a:stretch>
                        </pic:blipFill>
                        <pic:spPr>
                          <a:xfrm>
                            <a:off x="0" y="0"/>
                            <a:ext cx="2141855" cy="5390515"/>
                          </a:xfrm>
                          <a:prstGeom prst="rect">
                            <a:avLst/>
                          </a:prstGeom>
                        </pic:spPr>
                      </pic:pic>
                    </a:graphicData>
                  </a:graphic>
                </wp:inline>
              </w:drawing>
            </w:r>
          </w:p>
          <w:p w14:paraId="77D7E9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附图2-3   滑块生产工艺流程及产排污节点图（所有环节均产生噪声）</w:t>
            </w:r>
          </w:p>
          <w:p w14:paraId="49E48A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cs="Times New Roman"/>
                <w:b/>
                <w:bCs/>
                <w:color w:val="auto"/>
                <w:sz w:val="24"/>
                <w:szCs w:val="24"/>
                <w:highlight w:val="none"/>
                <w:u w:val="none"/>
                <w:lang w:val="en-US" w:eastAsia="zh-CN"/>
              </w:rPr>
              <w:t>工艺流程简介</w:t>
            </w:r>
          </w:p>
          <w:p w14:paraId="630038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s="Times New Roman"/>
                <w:color w:val="auto"/>
                <w:sz w:val="24"/>
                <w:szCs w:val="24"/>
                <w:highlight w:val="none"/>
                <w:u w:val="none"/>
                <w:lang w:val="en-US" w:eastAsia="zh-CN"/>
              </w:rPr>
            </w:pPr>
            <w:r>
              <w:rPr>
                <w:rFonts w:hint="eastAsia" w:ascii="Times New Roman" w:hAnsi="Times New Roman" w:eastAsia="宋体" w:cs="Times New Roman"/>
                <w:color w:val="auto"/>
                <w:kern w:val="2"/>
                <w:sz w:val="24"/>
                <w:szCs w:val="24"/>
                <w:u w:val="none"/>
                <w:lang w:val="en-US" w:eastAsia="zh-CN" w:bidi="ar-SA"/>
              </w:rPr>
              <w:t>（1）</w:t>
            </w:r>
            <w:r>
              <w:rPr>
                <w:rFonts w:hint="eastAsia" w:cs="Times New Roman"/>
                <w:color w:val="auto"/>
                <w:sz w:val="24"/>
                <w:szCs w:val="24"/>
                <w:highlight w:val="none"/>
                <w:u w:val="none"/>
                <w:lang w:val="en-US" w:eastAsia="zh-CN"/>
              </w:rPr>
              <w:t>下料：根据客户要求购买原材料粗胚。</w:t>
            </w:r>
          </w:p>
          <w:p w14:paraId="339E13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s="Times New Roman"/>
                <w:color w:val="auto"/>
                <w:sz w:val="24"/>
                <w:szCs w:val="24"/>
                <w:highlight w:val="none"/>
                <w:u w:val="none"/>
                <w:lang w:val="en-US" w:eastAsia="zh-CN"/>
              </w:rPr>
            </w:pPr>
            <w:r>
              <w:rPr>
                <w:rFonts w:hint="default" w:ascii="Times New Roman" w:hAnsi="Times New Roman" w:eastAsia="宋体" w:cs="Times New Roman"/>
                <w:color w:val="auto"/>
                <w:kern w:val="2"/>
                <w:sz w:val="24"/>
                <w:szCs w:val="24"/>
                <w:u w:val="none"/>
                <w:lang w:val="en-US" w:eastAsia="zh-CN" w:bidi="ar-SA"/>
              </w:rPr>
              <w:t>（</w:t>
            </w:r>
            <w:r>
              <w:rPr>
                <w:rFonts w:hint="eastAsia" w:cs="Times New Roman"/>
                <w:color w:val="auto"/>
                <w:kern w:val="2"/>
                <w:sz w:val="24"/>
                <w:szCs w:val="24"/>
                <w:u w:val="none"/>
                <w:lang w:val="en-US" w:eastAsia="zh-CN" w:bidi="ar-SA"/>
              </w:rPr>
              <w:t>2</w:t>
            </w:r>
            <w:r>
              <w:rPr>
                <w:rFonts w:hint="default" w:ascii="Times New Roman" w:hAnsi="Times New Roman" w:eastAsia="宋体" w:cs="Times New Roman"/>
                <w:color w:val="auto"/>
                <w:kern w:val="2"/>
                <w:sz w:val="24"/>
                <w:szCs w:val="24"/>
                <w:u w:val="none"/>
                <w:lang w:val="en-US" w:eastAsia="zh-CN" w:bidi="ar-SA"/>
              </w:rPr>
              <w:t>）</w:t>
            </w:r>
            <w:r>
              <w:rPr>
                <w:rFonts w:hint="eastAsia" w:cs="Times New Roman"/>
                <w:color w:val="auto"/>
                <w:sz w:val="24"/>
                <w:szCs w:val="24"/>
                <w:highlight w:val="none"/>
                <w:u w:val="none"/>
                <w:lang w:val="en-US" w:eastAsia="zh-CN"/>
              </w:rPr>
              <w:t>钻铣：使用CNC数控钻铣机进行钻孔，CNC数控钻铣机在工作时关闭机床门，形成全封闭空间，切削液自动喷水对刀头进行降温，设备自带油雾回收器，回收的油雾形成液滴回流至沉淀池，经沉淀后二次利用，尾气车间内无组织排放。此过程会产生非甲烷总烃、颗粒物、固废。</w:t>
            </w:r>
          </w:p>
          <w:p w14:paraId="2B245C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kern w:val="2"/>
                <w:sz w:val="24"/>
                <w:szCs w:val="24"/>
                <w:u w:val="none"/>
                <w:lang w:val="en-US" w:eastAsia="zh-CN" w:bidi="ar-SA"/>
              </w:rPr>
              <w:t>（3）渗碳淬火：委外处理</w:t>
            </w:r>
          </w:p>
          <w:p w14:paraId="5D343B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kern w:val="2"/>
                <w:sz w:val="24"/>
                <w:szCs w:val="24"/>
                <w:u w:val="none"/>
                <w:lang w:val="en-US" w:eastAsia="zh-CN" w:bidi="ar-SA"/>
              </w:rPr>
              <w:t>（4）表面喷砂处理：委外渗碳淬火处理后的滑块，使用喷砂机进行喷砂表面处理，除锈并提高其表面精度。此过程会产生废气颗粒物，通过设备自带的除尘设施进行处理，处理后的尾气</w:t>
            </w:r>
            <w:r>
              <w:rPr>
                <w:rFonts w:hint="eastAsia" w:cs="Times New Roman"/>
                <w:color w:val="auto"/>
                <w:kern w:val="2"/>
                <w:sz w:val="24"/>
                <w:szCs w:val="24"/>
                <w:u w:val="none"/>
                <w:lang w:val="en-US" w:eastAsia="zh-CN" w:bidi="ar-SA"/>
              </w:rPr>
              <w:t>经1#排气筒（编号DA001）有</w:t>
            </w:r>
            <w:r>
              <w:rPr>
                <w:rFonts w:hint="eastAsia" w:ascii="Times New Roman" w:hAnsi="Times New Roman" w:eastAsia="宋体" w:cs="Times New Roman"/>
                <w:color w:val="auto"/>
                <w:kern w:val="2"/>
                <w:sz w:val="24"/>
                <w:szCs w:val="24"/>
                <w:u w:val="none"/>
                <w:lang w:val="en-US" w:eastAsia="zh-CN" w:bidi="ar-SA"/>
              </w:rPr>
              <w:t>组织排放。</w:t>
            </w:r>
          </w:p>
          <w:p w14:paraId="091E00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kern w:val="2"/>
                <w:sz w:val="24"/>
                <w:szCs w:val="24"/>
                <w:u w:val="none"/>
                <w:lang w:val="en-US" w:eastAsia="zh-CN" w:bidi="ar-SA"/>
              </w:rPr>
              <w:t>（5）平面磨：使用磨床进行磨平面，提高表面精度，</w:t>
            </w:r>
            <w:r>
              <w:rPr>
                <w:rFonts w:hint="eastAsia" w:ascii="Times New Roman" w:hAnsi="Times New Roman" w:cs="Times New Roman"/>
                <w:color w:val="auto"/>
                <w:kern w:val="2"/>
                <w:sz w:val="24"/>
                <w:szCs w:val="24"/>
                <w:u w:val="none"/>
                <w:lang w:val="en-US" w:eastAsia="zh-CN" w:bidi="ar-SA"/>
              </w:rPr>
              <w:t>总共要进行2次平面磨和1次磨球道并打标，</w:t>
            </w:r>
            <w:r>
              <w:rPr>
                <w:rFonts w:hint="eastAsia" w:ascii="Times New Roman" w:hAnsi="Times New Roman" w:eastAsia="宋体" w:cs="Times New Roman"/>
                <w:color w:val="auto"/>
                <w:kern w:val="2"/>
                <w:sz w:val="24"/>
                <w:szCs w:val="24"/>
                <w:u w:val="none"/>
                <w:lang w:val="en-US" w:eastAsia="zh-CN" w:bidi="ar-SA"/>
              </w:rPr>
              <w:t>此过程工作时关闭机床门，形成封闭空间，自动喷切削液对其进行降温，工作时产生的油雾经设备自带的油雾回收器，回收的油雾形成液滴回流至沉淀池，经沉淀后二次利用，尾气车间内无组织排放。此过程会产生非甲烷总烃、臭气浓度、固废。</w:t>
            </w:r>
          </w:p>
          <w:p w14:paraId="00C665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u w:val="none"/>
                <w:lang w:val="en-US" w:eastAsia="zh-CN" w:bidi="ar-SA"/>
              </w:rPr>
            </w:pPr>
            <w:r>
              <w:rPr>
                <w:rFonts w:hint="eastAsia" w:cs="Times New Roman"/>
                <w:color w:val="auto"/>
                <w:kern w:val="2"/>
                <w:sz w:val="24"/>
                <w:szCs w:val="24"/>
                <w:u w:val="none"/>
                <w:lang w:val="en-US" w:eastAsia="zh-CN" w:bidi="ar-SA"/>
              </w:rPr>
              <w:t>（6）激光打标：利用激光发生器生成高能量的连续激光光束，聚焦后的激光作用于工件，使表面材料瞬间气化，通过控制激光在工件表面的路径，从而形成需要的图文标记，此工序会产生少量的颗粒物。</w:t>
            </w:r>
          </w:p>
          <w:p w14:paraId="77116B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imes New Roman" w:hAnsi="Times New Roman" w:eastAsia="宋体" w:cs="Times New Roman"/>
                <w:color w:val="auto"/>
                <w:kern w:val="2"/>
                <w:sz w:val="24"/>
                <w:szCs w:val="24"/>
                <w:u w:val="none"/>
                <w:lang w:val="en-US" w:eastAsia="zh-CN" w:bidi="ar-SA"/>
              </w:rPr>
            </w:pPr>
            <w:r>
              <w:rPr>
                <w:rFonts w:hint="eastAsia" w:cs="Times New Roman"/>
                <w:color w:val="auto"/>
                <w:sz w:val="24"/>
                <w:szCs w:val="24"/>
                <w:highlight w:val="none"/>
                <w:u w:val="none"/>
                <w:lang w:val="en-US" w:eastAsia="zh-CN"/>
              </w:rPr>
              <w:t>（7）清洗：使用超声波清洗机清洗表面油污等，清洗机装载水量约为1m，添加环保水性清洗剂，平常废水经隔油沉淀后循环使用，定期添加新鲜水，每月清洗废液做危废处理一次，整体更换新鲜水，不外排。</w:t>
            </w:r>
          </w:p>
          <w:p w14:paraId="323E0E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kern w:val="2"/>
                <w:sz w:val="24"/>
                <w:szCs w:val="24"/>
                <w:u w:val="none"/>
                <w:lang w:val="en-US" w:eastAsia="zh-CN" w:bidi="ar-SA"/>
              </w:rPr>
              <w:t>（</w:t>
            </w:r>
            <w:r>
              <w:rPr>
                <w:rFonts w:hint="eastAsia" w:cs="Times New Roman"/>
                <w:color w:val="auto"/>
                <w:kern w:val="2"/>
                <w:sz w:val="24"/>
                <w:szCs w:val="24"/>
                <w:u w:val="none"/>
                <w:lang w:val="en-US" w:eastAsia="zh-CN" w:bidi="ar-SA"/>
              </w:rPr>
              <w:t>8</w:t>
            </w:r>
            <w:r>
              <w:rPr>
                <w:rFonts w:hint="eastAsia" w:ascii="Times New Roman" w:hAnsi="Times New Roman" w:eastAsia="宋体" w:cs="Times New Roman"/>
                <w:color w:val="auto"/>
                <w:kern w:val="2"/>
                <w:sz w:val="24"/>
                <w:szCs w:val="24"/>
                <w:u w:val="none"/>
                <w:lang w:val="en-US" w:eastAsia="zh-CN" w:bidi="ar-SA"/>
              </w:rPr>
              <w:t>）防锈：经检验合格的产品，涂防锈油后包装入库。防锈油常温下不产生挥发性气体。</w:t>
            </w:r>
          </w:p>
          <w:p w14:paraId="0AE6F1F3">
            <w:pPr>
              <w:pStyle w:val="28"/>
              <w:keepNext w:val="0"/>
              <w:keepLines w:val="0"/>
              <w:suppressLineNumbers w:val="0"/>
              <w:spacing w:before="0" w:beforeAutospacing="0" w:after="0" w:afterAutospacing="0"/>
              <w:ind w:right="0"/>
              <w:rPr>
                <w:rFonts w:hint="default"/>
                <w:u w:val="none"/>
                <w:lang w:val="en-US" w:eastAsia="zh-CN"/>
              </w:rPr>
            </w:pPr>
            <w:r>
              <w:rPr>
                <w:rFonts w:hint="eastAsia" w:ascii="Times New Roman" w:hAnsi="Times New Roman" w:cs="Times New Roman"/>
                <w:color w:val="auto"/>
                <w:kern w:val="2"/>
                <w:sz w:val="24"/>
                <w:szCs w:val="24"/>
                <w:u w:val="none"/>
                <w:lang w:val="en-US" w:eastAsia="zh-CN" w:bidi="ar-SA"/>
              </w:rPr>
              <w:t>（</w:t>
            </w:r>
            <w:r>
              <w:rPr>
                <w:rFonts w:hint="eastAsia" w:cs="Times New Roman"/>
                <w:color w:val="auto"/>
                <w:kern w:val="2"/>
                <w:sz w:val="24"/>
                <w:szCs w:val="24"/>
                <w:u w:val="none"/>
                <w:lang w:val="en-US" w:eastAsia="zh-CN" w:bidi="ar-SA"/>
              </w:rPr>
              <w:t>9</w:t>
            </w:r>
            <w:r>
              <w:rPr>
                <w:rFonts w:hint="eastAsia" w:ascii="Times New Roman" w:hAnsi="Times New Roman" w:cs="Times New Roman"/>
                <w:color w:val="auto"/>
                <w:kern w:val="2"/>
                <w:sz w:val="24"/>
                <w:szCs w:val="24"/>
                <w:u w:val="none"/>
                <w:lang w:val="en-US" w:eastAsia="zh-CN" w:bidi="ar-SA"/>
              </w:rPr>
              <w:t>）成品检验：人家检验合格后包装入库。</w:t>
            </w:r>
          </w:p>
          <w:p w14:paraId="45AD6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auto"/>
                <w:highlight w:val="none"/>
                <w:u w:val="none"/>
              </w:rPr>
            </w:pPr>
            <w:bookmarkStart w:id="5" w:name="_Hlk6843198"/>
            <w:r>
              <w:rPr>
                <w:rFonts w:hint="default" w:ascii="Times New Roman" w:hAnsi="Times New Roman" w:eastAsia="宋体" w:cs="Times New Roman"/>
                <w:b/>
                <w:bCs/>
                <w:color w:val="auto"/>
                <w:highlight w:val="none"/>
                <w:u w:val="none"/>
              </w:rPr>
              <w:t>表</w:t>
            </w:r>
            <w:r>
              <w:rPr>
                <w:rFonts w:hint="eastAsia" w:ascii="Times New Roman" w:hAnsi="Times New Roman" w:eastAsia="宋体" w:cs="Times New Roman"/>
                <w:b/>
                <w:bCs/>
                <w:color w:val="auto"/>
                <w:highlight w:val="none"/>
                <w:u w:val="none"/>
              </w:rPr>
              <w:t>2</w:t>
            </w:r>
            <w:r>
              <w:rPr>
                <w:rFonts w:hint="default" w:ascii="Times New Roman" w:hAnsi="Times New Roman" w:eastAsia="宋体" w:cs="Times New Roman"/>
                <w:b/>
                <w:bCs/>
                <w:color w:val="auto"/>
                <w:highlight w:val="none"/>
                <w:u w:val="none"/>
              </w:rPr>
              <w:t>-</w:t>
            </w:r>
            <w:r>
              <w:rPr>
                <w:rFonts w:hint="eastAsia" w:cs="Times New Roman"/>
                <w:b/>
                <w:bCs/>
                <w:color w:val="auto"/>
                <w:highlight w:val="none"/>
                <w:u w:val="none"/>
                <w:lang w:val="en-US" w:eastAsia="zh-CN"/>
              </w:rPr>
              <w:t>7</w:t>
            </w:r>
            <w:r>
              <w:rPr>
                <w:rFonts w:hint="eastAsia" w:ascii="Times New Roman" w:hAnsi="Times New Roman" w:eastAsia="宋体" w:cs="Times New Roman"/>
                <w:b/>
                <w:bCs/>
                <w:color w:val="auto"/>
                <w:highlight w:val="none"/>
                <w:u w:val="none"/>
              </w:rPr>
              <w:t xml:space="preserve">  项目</w:t>
            </w:r>
            <w:r>
              <w:rPr>
                <w:rFonts w:hint="default" w:ascii="Times New Roman" w:hAnsi="Times New Roman" w:eastAsia="宋体" w:cs="Times New Roman"/>
                <w:b/>
                <w:bCs/>
                <w:color w:val="auto"/>
                <w:highlight w:val="none"/>
                <w:u w:val="none"/>
              </w:rPr>
              <w:t>产排污节点分析</w:t>
            </w:r>
            <w:r>
              <w:rPr>
                <w:rFonts w:hint="eastAsia" w:ascii="Times New Roman" w:hAnsi="Times New Roman" w:eastAsia="宋体" w:cs="Times New Roman"/>
                <w:b/>
                <w:bCs/>
                <w:color w:val="auto"/>
                <w:highlight w:val="none"/>
                <w:u w:val="none"/>
              </w:rPr>
              <w:t>一览表</w:t>
            </w:r>
          </w:p>
          <w:tbl>
            <w:tblPr>
              <w:tblStyle w:val="98"/>
              <w:tblW w:w="4998"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2"/>
              <w:gridCol w:w="1517"/>
              <w:gridCol w:w="1576"/>
              <w:gridCol w:w="1845"/>
              <w:gridCol w:w="2510"/>
            </w:tblGrid>
            <w:tr w14:paraId="2E91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atLeast"/>
              </w:trPr>
              <w:tc>
                <w:tcPr>
                  <w:tcW w:w="486" w:type="pct"/>
                  <w:tcBorders>
                    <w:tl2br w:val="nil"/>
                    <w:tr2bl w:val="nil"/>
                  </w:tcBorders>
                  <w:noWrap w:val="0"/>
                  <w:vAlign w:val="center"/>
                </w:tcPr>
                <w:p w14:paraId="3E3FCDEC">
                  <w:pPr>
                    <w:adjustRightInd w:val="0"/>
                    <w:snapToGrid w:val="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污染类 别</w:t>
                  </w:r>
                </w:p>
              </w:tc>
              <w:tc>
                <w:tcPr>
                  <w:tcW w:w="919" w:type="pct"/>
                  <w:tcBorders>
                    <w:tl2br w:val="nil"/>
                    <w:tr2bl w:val="nil"/>
                  </w:tcBorders>
                  <w:noWrap w:val="0"/>
                  <w:vAlign w:val="center"/>
                </w:tcPr>
                <w:p w14:paraId="11A9732D">
                  <w:pPr>
                    <w:adjustRightInd w:val="0"/>
                    <w:snapToGrid w:val="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污染源名称</w:t>
                  </w:r>
                </w:p>
              </w:tc>
              <w:tc>
                <w:tcPr>
                  <w:tcW w:w="955" w:type="pct"/>
                  <w:tcBorders>
                    <w:tl2br w:val="nil"/>
                    <w:tr2bl w:val="nil"/>
                  </w:tcBorders>
                  <w:noWrap w:val="0"/>
                  <w:vAlign w:val="center"/>
                </w:tcPr>
                <w:p w14:paraId="05463AD9">
                  <w:pPr>
                    <w:adjustRightInd w:val="0"/>
                    <w:snapToGrid w:val="0"/>
                    <w:jc w:val="center"/>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产生</w:t>
                  </w:r>
                  <w:r>
                    <w:rPr>
                      <w:rFonts w:hint="eastAsia" w:ascii="Times New Roman" w:hAnsi="Times New Roman" w:eastAsia="宋体" w:cs="Times New Roman"/>
                      <w:color w:val="auto"/>
                      <w:sz w:val="21"/>
                      <w:szCs w:val="21"/>
                      <w:u w:val="none"/>
                      <w:lang w:val="en-US" w:eastAsia="zh-CN"/>
                    </w:rPr>
                    <w:t>设备</w:t>
                  </w:r>
                </w:p>
              </w:tc>
              <w:tc>
                <w:tcPr>
                  <w:tcW w:w="1118" w:type="pct"/>
                  <w:tcBorders>
                    <w:tl2br w:val="nil"/>
                    <w:tr2bl w:val="nil"/>
                  </w:tcBorders>
                  <w:noWrap w:val="0"/>
                  <w:vAlign w:val="center"/>
                </w:tcPr>
                <w:p w14:paraId="09AEF365">
                  <w:pPr>
                    <w:adjustRightInd w:val="0"/>
                    <w:snapToGrid w:val="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主要污染因子</w:t>
                  </w:r>
                </w:p>
              </w:tc>
              <w:tc>
                <w:tcPr>
                  <w:tcW w:w="1521" w:type="pct"/>
                  <w:tcBorders>
                    <w:tl2br w:val="nil"/>
                    <w:tr2bl w:val="nil"/>
                  </w:tcBorders>
                  <w:noWrap w:val="0"/>
                  <w:vAlign w:val="center"/>
                </w:tcPr>
                <w:p w14:paraId="4EFF026C">
                  <w:pPr>
                    <w:adjustRightInd w:val="0"/>
                    <w:snapToGrid w:val="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备注</w:t>
                  </w:r>
                </w:p>
              </w:tc>
            </w:tr>
            <w:tr w14:paraId="51B1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trPr>
              <w:tc>
                <w:tcPr>
                  <w:tcW w:w="486" w:type="pct"/>
                  <w:vMerge w:val="restart"/>
                  <w:tcBorders>
                    <w:tl2br w:val="nil"/>
                    <w:tr2bl w:val="nil"/>
                  </w:tcBorders>
                  <w:noWrap w:val="0"/>
                  <w:vAlign w:val="center"/>
                </w:tcPr>
                <w:p w14:paraId="0ACFCD94">
                  <w:pPr>
                    <w:adjustRightInd w:val="0"/>
                    <w:snapToGrid w:val="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废气</w:t>
                  </w:r>
                </w:p>
              </w:tc>
              <w:tc>
                <w:tcPr>
                  <w:tcW w:w="919" w:type="pct"/>
                  <w:tcBorders>
                    <w:tl2br w:val="nil"/>
                    <w:tr2bl w:val="nil"/>
                  </w:tcBorders>
                  <w:noWrap w:val="0"/>
                  <w:vAlign w:val="center"/>
                </w:tcPr>
                <w:p w14:paraId="08A304AD">
                  <w:pPr>
                    <w:adjustRightInd w:val="0"/>
                    <w:snapToGrid w:val="0"/>
                    <w:jc w:val="center"/>
                    <w:rPr>
                      <w:rFonts w:hint="default" w:ascii="Times New Roman" w:hAnsi="Times New Roman" w:eastAsia="宋体" w:cs="Times New Roman"/>
                      <w:color w:val="auto"/>
                      <w:sz w:val="21"/>
                      <w:szCs w:val="21"/>
                      <w:u w:val="none"/>
                      <w:lang w:val="en-US"/>
                    </w:rPr>
                  </w:pPr>
                  <w:r>
                    <w:rPr>
                      <w:rFonts w:hint="eastAsia" w:cs="Times New Roman"/>
                      <w:color w:val="auto"/>
                      <w:sz w:val="21"/>
                      <w:szCs w:val="21"/>
                      <w:u w:val="none"/>
                      <w:lang w:val="en-US" w:eastAsia="zh-CN"/>
                    </w:rPr>
                    <w:t>淬火油烟</w:t>
                  </w:r>
                </w:p>
              </w:tc>
              <w:tc>
                <w:tcPr>
                  <w:tcW w:w="955" w:type="pct"/>
                  <w:tcBorders>
                    <w:tl2br w:val="nil"/>
                    <w:tr2bl w:val="nil"/>
                  </w:tcBorders>
                  <w:noWrap w:val="0"/>
                  <w:vAlign w:val="center"/>
                </w:tcPr>
                <w:p w14:paraId="495BD120">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高频处理机</w:t>
                  </w:r>
                </w:p>
              </w:tc>
              <w:tc>
                <w:tcPr>
                  <w:tcW w:w="1118" w:type="pct"/>
                  <w:tcBorders>
                    <w:tl2br w:val="nil"/>
                    <w:tr2bl w:val="nil"/>
                  </w:tcBorders>
                  <w:noWrap w:val="0"/>
                  <w:vAlign w:val="center"/>
                </w:tcPr>
                <w:p w14:paraId="46852EEF">
                  <w:pPr>
                    <w:adjustRightInd w:val="0"/>
                    <w:snapToGrid w:val="0"/>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挥发性有机物</w:t>
                  </w:r>
                </w:p>
                <w:p w14:paraId="4D86DB1D">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（油雾）</w:t>
                  </w:r>
                </w:p>
              </w:tc>
              <w:tc>
                <w:tcPr>
                  <w:tcW w:w="1521" w:type="pct"/>
                  <w:tcBorders>
                    <w:tl2br w:val="nil"/>
                    <w:tr2bl w:val="nil"/>
                  </w:tcBorders>
                  <w:noWrap w:val="0"/>
                  <w:vAlign w:val="center"/>
                </w:tcPr>
                <w:p w14:paraId="16FC9BFC">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使用水性淬火剂</w:t>
                  </w:r>
                </w:p>
              </w:tc>
            </w:tr>
            <w:tr w14:paraId="04D7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trPr>
              <w:tc>
                <w:tcPr>
                  <w:tcW w:w="486" w:type="pct"/>
                  <w:vMerge w:val="continue"/>
                  <w:tcBorders>
                    <w:tl2br w:val="nil"/>
                    <w:tr2bl w:val="nil"/>
                  </w:tcBorders>
                  <w:noWrap w:val="0"/>
                  <w:vAlign w:val="center"/>
                </w:tcPr>
                <w:p w14:paraId="0D583288">
                  <w:pPr>
                    <w:adjustRightInd w:val="0"/>
                    <w:snapToGrid w:val="0"/>
                    <w:jc w:val="center"/>
                    <w:rPr>
                      <w:rFonts w:ascii="Times New Roman" w:hAnsi="Times New Roman" w:eastAsia="宋体" w:cs="Times New Roman"/>
                      <w:color w:val="auto"/>
                      <w:sz w:val="21"/>
                      <w:szCs w:val="21"/>
                      <w:u w:val="none"/>
                    </w:rPr>
                  </w:pPr>
                </w:p>
              </w:tc>
              <w:tc>
                <w:tcPr>
                  <w:tcW w:w="919" w:type="pct"/>
                  <w:tcBorders>
                    <w:tl2br w:val="nil"/>
                    <w:tr2bl w:val="nil"/>
                  </w:tcBorders>
                  <w:noWrap w:val="0"/>
                  <w:vAlign w:val="center"/>
                </w:tcPr>
                <w:p w14:paraId="2358F903">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表面喷砂处理废气</w:t>
                  </w:r>
                </w:p>
              </w:tc>
              <w:tc>
                <w:tcPr>
                  <w:tcW w:w="955" w:type="pct"/>
                  <w:tcBorders>
                    <w:tl2br w:val="nil"/>
                    <w:tr2bl w:val="nil"/>
                  </w:tcBorders>
                  <w:noWrap w:val="0"/>
                  <w:vAlign w:val="center"/>
                </w:tcPr>
                <w:p w14:paraId="1DA81364">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喷砂机</w:t>
                  </w:r>
                </w:p>
              </w:tc>
              <w:tc>
                <w:tcPr>
                  <w:tcW w:w="1118" w:type="pct"/>
                  <w:tcBorders>
                    <w:tl2br w:val="nil"/>
                    <w:tr2bl w:val="nil"/>
                  </w:tcBorders>
                  <w:noWrap w:val="0"/>
                  <w:vAlign w:val="center"/>
                </w:tcPr>
                <w:p w14:paraId="6E0CC81A">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颗粒物</w:t>
                  </w:r>
                </w:p>
              </w:tc>
              <w:tc>
                <w:tcPr>
                  <w:tcW w:w="1521" w:type="pct"/>
                  <w:tcBorders>
                    <w:tl2br w:val="nil"/>
                    <w:tr2bl w:val="nil"/>
                  </w:tcBorders>
                  <w:noWrap w:val="0"/>
                  <w:vAlign w:val="center"/>
                </w:tcPr>
                <w:p w14:paraId="3FF8D78B">
                  <w:pPr>
                    <w:adjustRightInd w:val="0"/>
                    <w:snapToGrid w:val="0"/>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设备自带除尘设施</w:t>
                  </w:r>
                </w:p>
                <w:p w14:paraId="6E27EAC6">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（布袋除尘）</w:t>
                  </w:r>
                </w:p>
              </w:tc>
            </w:tr>
            <w:tr w14:paraId="3A7A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trPr>
              <w:tc>
                <w:tcPr>
                  <w:tcW w:w="486" w:type="pct"/>
                  <w:vMerge w:val="continue"/>
                  <w:tcBorders>
                    <w:tl2br w:val="nil"/>
                    <w:tr2bl w:val="nil"/>
                  </w:tcBorders>
                  <w:noWrap w:val="0"/>
                  <w:vAlign w:val="center"/>
                </w:tcPr>
                <w:p w14:paraId="38807230">
                  <w:pPr>
                    <w:adjustRightInd w:val="0"/>
                    <w:snapToGrid w:val="0"/>
                    <w:jc w:val="center"/>
                    <w:rPr>
                      <w:rFonts w:ascii="Times New Roman" w:hAnsi="Times New Roman" w:eastAsia="宋体" w:cs="Times New Roman"/>
                      <w:color w:val="auto"/>
                      <w:sz w:val="21"/>
                      <w:szCs w:val="21"/>
                      <w:u w:val="none"/>
                    </w:rPr>
                  </w:pPr>
                </w:p>
              </w:tc>
              <w:tc>
                <w:tcPr>
                  <w:tcW w:w="919" w:type="pct"/>
                  <w:tcBorders>
                    <w:tl2br w:val="nil"/>
                    <w:tr2bl w:val="nil"/>
                  </w:tcBorders>
                  <w:noWrap w:val="0"/>
                  <w:vAlign w:val="center"/>
                </w:tcPr>
                <w:p w14:paraId="4F44F7A8">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激光打标</w:t>
                  </w:r>
                </w:p>
              </w:tc>
              <w:tc>
                <w:tcPr>
                  <w:tcW w:w="955" w:type="pct"/>
                  <w:tcBorders>
                    <w:tl2br w:val="nil"/>
                    <w:tr2bl w:val="nil"/>
                  </w:tcBorders>
                  <w:noWrap w:val="0"/>
                  <w:vAlign w:val="center"/>
                </w:tcPr>
                <w:p w14:paraId="47A101B4">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打标机</w:t>
                  </w:r>
                </w:p>
              </w:tc>
              <w:tc>
                <w:tcPr>
                  <w:tcW w:w="1118" w:type="pct"/>
                  <w:tcBorders>
                    <w:tl2br w:val="nil"/>
                    <w:tr2bl w:val="nil"/>
                  </w:tcBorders>
                  <w:noWrap w:val="0"/>
                  <w:vAlign w:val="center"/>
                </w:tcPr>
                <w:p w14:paraId="6F62A59D">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颗粒物</w:t>
                  </w:r>
                </w:p>
              </w:tc>
              <w:tc>
                <w:tcPr>
                  <w:tcW w:w="1521" w:type="pct"/>
                  <w:tcBorders>
                    <w:tl2br w:val="nil"/>
                    <w:tr2bl w:val="nil"/>
                  </w:tcBorders>
                  <w:noWrap w:val="0"/>
                  <w:vAlign w:val="center"/>
                </w:tcPr>
                <w:p w14:paraId="09D6BEA0">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无组织排放</w:t>
                  </w:r>
                </w:p>
              </w:tc>
            </w:tr>
            <w:tr w14:paraId="1B96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486" w:type="pct"/>
                  <w:vMerge w:val="continue"/>
                  <w:tcBorders>
                    <w:tl2br w:val="nil"/>
                    <w:tr2bl w:val="nil"/>
                  </w:tcBorders>
                  <w:noWrap w:val="0"/>
                  <w:vAlign w:val="center"/>
                </w:tcPr>
                <w:p w14:paraId="7472D60E">
                  <w:pPr>
                    <w:adjustRightInd w:val="0"/>
                    <w:snapToGrid w:val="0"/>
                    <w:jc w:val="center"/>
                    <w:rPr>
                      <w:rFonts w:ascii="Times New Roman" w:hAnsi="Times New Roman" w:eastAsia="宋体" w:cs="Times New Roman"/>
                      <w:color w:val="auto"/>
                      <w:sz w:val="21"/>
                      <w:szCs w:val="21"/>
                      <w:u w:val="none"/>
                    </w:rPr>
                  </w:pPr>
                </w:p>
              </w:tc>
              <w:tc>
                <w:tcPr>
                  <w:tcW w:w="919" w:type="pct"/>
                  <w:tcBorders>
                    <w:tl2br w:val="nil"/>
                    <w:tr2bl w:val="nil"/>
                  </w:tcBorders>
                  <w:noWrap w:val="0"/>
                  <w:vAlign w:val="center"/>
                </w:tcPr>
                <w:p w14:paraId="030270B9">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机械加工废气</w:t>
                  </w:r>
                </w:p>
              </w:tc>
              <w:tc>
                <w:tcPr>
                  <w:tcW w:w="955" w:type="pct"/>
                  <w:tcBorders>
                    <w:tl2br w:val="nil"/>
                    <w:tr2bl w:val="nil"/>
                  </w:tcBorders>
                  <w:noWrap w:val="0"/>
                  <w:vAlign w:val="center"/>
                </w:tcPr>
                <w:p w14:paraId="70118800">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CNC钻铣机床、平面磨床等</w:t>
                  </w:r>
                </w:p>
              </w:tc>
              <w:tc>
                <w:tcPr>
                  <w:tcW w:w="1118" w:type="pct"/>
                  <w:tcBorders>
                    <w:tl2br w:val="nil"/>
                    <w:tr2bl w:val="nil"/>
                  </w:tcBorders>
                  <w:noWrap w:val="0"/>
                  <w:vAlign w:val="center"/>
                </w:tcPr>
                <w:p w14:paraId="3A836B9F">
                  <w:pPr>
                    <w:adjustRightInd w:val="0"/>
                    <w:snapToGrid w:val="0"/>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挥发性有机物</w:t>
                  </w:r>
                </w:p>
                <w:p w14:paraId="7D52D69F">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（油雾）</w:t>
                  </w:r>
                </w:p>
              </w:tc>
              <w:tc>
                <w:tcPr>
                  <w:tcW w:w="1521" w:type="pct"/>
                  <w:tcBorders>
                    <w:tl2br w:val="nil"/>
                    <w:tr2bl w:val="nil"/>
                  </w:tcBorders>
                  <w:noWrap w:val="0"/>
                  <w:vAlign w:val="center"/>
                </w:tcPr>
                <w:p w14:paraId="59325AC4">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密闭加工+负压收集+机械过滤</w:t>
                  </w:r>
                </w:p>
              </w:tc>
            </w:tr>
            <w:tr w14:paraId="4C33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486" w:type="pct"/>
                  <w:vMerge w:val="continue"/>
                  <w:tcBorders>
                    <w:tl2br w:val="nil"/>
                    <w:tr2bl w:val="nil"/>
                  </w:tcBorders>
                  <w:noWrap w:val="0"/>
                  <w:vAlign w:val="center"/>
                </w:tcPr>
                <w:p w14:paraId="0D4B9143">
                  <w:pPr>
                    <w:adjustRightInd w:val="0"/>
                    <w:snapToGrid w:val="0"/>
                    <w:jc w:val="center"/>
                    <w:rPr>
                      <w:rFonts w:ascii="Times New Roman" w:hAnsi="Times New Roman" w:eastAsia="宋体" w:cs="Times New Roman"/>
                      <w:color w:val="auto"/>
                      <w:sz w:val="21"/>
                      <w:szCs w:val="21"/>
                      <w:u w:val="none"/>
                    </w:rPr>
                  </w:pPr>
                </w:p>
              </w:tc>
              <w:tc>
                <w:tcPr>
                  <w:tcW w:w="919" w:type="pct"/>
                  <w:tcBorders>
                    <w:tl2br w:val="nil"/>
                    <w:tr2bl w:val="nil"/>
                  </w:tcBorders>
                  <w:noWrap w:val="0"/>
                  <w:vAlign w:val="center"/>
                </w:tcPr>
                <w:p w14:paraId="1029A03B">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食堂</w:t>
                  </w:r>
                </w:p>
              </w:tc>
              <w:tc>
                <w:tcPr>
                  <w:tcW w:w="955" w:type="pct"/>
                  <w:tcBorders>
                    <w:tl2br w:val="nil"/>
                    <w:tr2bl w:val="nil"/>
                  </w:tcBorders>
                  <w:noWrap w:val="0"/>
                  <w:vAlign w:val="center"/>
                </w:tcPr>
                <w:p w14:paraId="22C6FE50">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食堂</w:t>
                  </w:r>
                </w:p>
              </w:tc>
              <w:tc>
                <w:tcPr>
                  <w:tcW w:w="1118" w:type="pct"/>
                  <w:tcBorders>
                    <w:tl2br w:val="nil"/>
                    <w:tr2bl w:val="nil"/>
                  </w:tcBorders>
                  <w:noWrap w:val="0"/>
                  <w:vAlign w:val="center"/>
                </w:tcPr>
                <w:p w14:paraId="12EC9D58">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食堂油烟</w:t>
                  </w:r>
                </w:p>
              </w:tc>
              <w:tc>
                <w:tcPr>
                  <w:tcW w:w="1521" w:type="pct"/>
                  <w:tcBorders>
                    <w:tl2br w:val="nil"/>
                    <w:tr2bl w:val="nil"/>
                  </w:tcBorders>
                  <w:noWrap w:val="0"/>
                  <w:vAlign w:val="center"/>
                </w:tcPr>
                <w:p w14:paraId="1510DDD1">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油烟净化器+排气筒高空排放</w:t>
                  </w:r>
                </w:p>
              </w:tc>
            </w:tr>
            <w:tr w14:paraId="1FC4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486" w:type="pct"/>
                  <w:vMerge w:val="restart"/>
                  <w:tcBorders>
                    <w:tl2br w:val="nil"/>
                    <w:tr2bl w:val="nil"/>
                  </w:tcBorders>
                  <w:noWrap w:val="0"/>
                  <w:vAlign w:val="center"/>
                </w:tcPr>
                <w:p w14:paraId="1C149B62">
                  <w:pPr>
                    <w:adjustRightInd w:val="0"/>
                    <w:snapToGrid w:val="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废水</w:t>
                  </w:r>
                </w:p>
              </w:tc>
              <w:tc>
                <w:tcPr>
                  <w:tcW w:w="919" w:type="pct"/>
                  <w:tcBorders>
                    <w:tl2br w:val="nil"/>
                    <w:tr2bl w:val="nil"/>
                  </w:tcBorders>
                  <w:noWrap w:val="0"/>
                  <w:vAlign w:val="center"/>
                </w:tcPr>
                <w:p w14:paraId="02E67B3B">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生活污水</w:t>
                  </w:r>
                </w:p>
              </w:tc>
              <w:tc>
                <w:tcPr>
                  <w:tcW w:w="955" w:type="pct"/>
                  <w:tcBorders>
                    <w:tl2br w:val="nil"/>
                    <w:tr2bl w:val="nil"/>
                  </w:tcBorders>
                  <w:noWrap w:val="0"/>
                  <w:vAlign w:val="center"/>
                </w:tcPr>
                <w:p w14:paraId="1A433113">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员工办公</w:t>
                  </w:r>
                </w:p>
              </w:tc>
              <w:tc>
                <w:tcPr>
                  <w:tcW w:w="1118" w:type="pct"/>
                  <w:tcBorders>
                    <w:tl2br w:val="nil"/>
                    <w:tr2bl w:val="nil"/>
                  </w:tcBorders>
                  <w:noWrap w:val="0"/>
                  <w:vAlign w:val="center"/>
                </w:tcPr>
                <w:p w14:paraId="1AE3E2AE">
                  <w:pPr>
                    <w:adjustRightInd w:val="0"/>
                    <w:snapToGrid w:val="0"/>
                    <w:jc w:val="center"/>
                    <w:rPr>
                      <w:rFonts w:hint="default"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COD</w:t>
                  </w:r>
                  <w:r>
                    <w:rPr>
                      <w:rFonts w:hint="eastAsia" w:cs="Times New Roman"/>
                      <w:color w:val="auto"/>
                      <w:sz w:val="21"/>
                      <w:szCs w:val="21"/>
                      <w:u w:val="none"/>
                      <w:lang w:eastAsia="zh-CN"/>
                    </w:rPr>
                    <w:t>、</w:t>
                  </w:r>
                  <w:r>
                    <w:rPr>
                      <w:rFonts w:hint="eastAsia" w:cs="Times New Roman"/>
                      <w:color w:val="auto"/>
                      <w:sz w:val="21"/>
                      <w:szCs w:val="21"/>
                      <w:u w:val="none"/>
                      <w:lang w:val="en-US" w:eastAsia="zh-CN"/>
                    </w:rPr>
                    <w:t>氨氮、SS、TN、TP、动植物油等</w:t>
                  </w:r>
                </w:p>
              </w:tc>
              <w:tc>
                <w:tcPr>
                  <w:tcW w:w="1521" w:type="pct"/>
                  <w:tcBorders>
                    <w:tl2br w:val="nil"/>
                    <w:tr2bl w:val="nil"/>
                  </w:tcBorders>
                  <w:noWrap w:val="0"/>
                  <w:vAlign w:val="center"/>
                </w:tcPr>
                <w:p w14:paraId="16213823">
                  <w:pPr>
                    <w:adjustRightInd w:val="0"/>
                    <w:snapToGrid w:val="0"/>
                    <w:jc w:val="center"/>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经</w:t>
                  </w:r>
                  <w:r>
                    <w:rPr>
                      <w:rFonts w:hint="eastAsia" w:cs="Times New Roman"/>
                      <w:color w:val="auto"/>
                      <w:sz w:val="21"/>
                      <w:szCs w:val="21"/>
                      <w:u w:val="none"/>
                      <w:lang w:val="en-US" w:eastAsia="zh-CN"/>
                    </w:rPr>
                    <w:t>化粪池</w:t>
                  </w:r>
                  <w:r>
                    <w:rPr>
                      <w:rFonts w:ascii="Times New Roman" w:hAnsi="Times New Roman" w:eastAsia="宋体" w:cs="Times New Roman"/>
                      <w:color w:val="auto"/>
                      <w:sz w:val="21"/>
                      <w:szCs w:val="21"/>
                      <w:u w:val="none"/>
                    </w:rPr>
                    <w:t>处理后进入</w:t>
                  </w:r>
                  <w:r>
                    <w:rPr>
                      <w:rFonts w:hint="eastAsia" w:cs="Times New Roman"/>
                      <w:color w:val="auto"/>
                      <w:sz w:val="21"/>
                      <w:szCs w:val="21"/>
                      <w:u w:val="none"/>
                      <w:lang w:eastAsia="zh-CN"/>
                    </w:rPr>
                    <w:t>湘阴县第二污水处理厂</w:t>
                  </w:r>
                  <w:r>
                    <w:rPr>
                      <w:rFonts w:ascii="Times New Roman" w:hAnsi="Times New Roman" w:eastAsia="宋体" w:cs="Times New Roman"/>
                      <w:color w:val="auto"/>
                      <w:sz w:val="21"/>
                      <w:szCs w:val="21"/>
                      <w:u w:val="none"/>
                    </w:rPr>
                    <w:t>处理</w:t>
                  </w:r>
                </w:p>
              </w:tc>
            </w:tr>
            <w:tr w14:paraId="7B3D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486" w:type="pct"/>
                  <w:vMerge w:val="continue"/>
                  <w:tcBorders>
                    <w:tl2br w:val="nil"/>
                    <w:tr2bl w:val="nil"/>
                  </w:tcBorders>
                  <w:noWrap w:val="0"/>
                  <w:vAlign w:val="center"/>
                </w:tcPr>
                <w:p w14:paraId="5B2CD692">
                  <w:pPr>
                    <w:adjustRightInd w:val="0"/>
                    <w:snapToGrid w:val="0"/>
                    <w:jc w:val="center"/>
                    <w:rPr>
                      <w:rFonts w:hint="eastAsia" w:ascii="Times New Roman" w:hAnsi="Times New Roman" w:eastAsia="宋体" w:cs="Times New Roman"/>
                      <w:color w:val="auto"/>
                      <w:sz w:val="21"/>
                      <w:szCs w:val="21"/>
                      <w:u w:val="none"/>
                      <w:lang w:val="en-US" w:eastAsia="zh-CN"/>
                    </w:rPr>
                  </w:pPr>
                </w:p>
              </w:tc>
              <w:tc>
                <w:tcPr>
                  <w:tcW w:w="919" w:type="pct"/>
                  <w:tcBorders>
                    <w:tl2br w:val="nil"/>
                    <w:tr2bl w:val="nil"/>
                  </w:tcBorders>
                  <w:noWrap w:val="0"/>
                  <w:vAlign w:val="center"/>
                </w:tcPr>
                <w:p w14:paraId="2B9EBDEA">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清洗废水</w:t>
                  </w:r>
                </w:p>
              </w:tc>
              <w:tc>
                <w:tcPr>
                  <w:tcW w:w="955" w:type="pct"/>
                  <w:tcBorders>
                    <w:tl2br w:val="nil"/>
                    <w:tr2bl w:val="nil"/>
                  </w:tcBorders>
                  <w:noWrap w:val="0"/>
                  <w:vAlign w:val="center"/>
                </w:tcPr>
                <w:p w14:paraId="64434AEE">
                  <w:pPr>
                    <w:adjustRightInd w:val="0"/>
                    <w:snapToGrid w:val="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清洗工序</w:t>
                  </w:r>
                </w:p>
              </w:tc>
              <w:tc>
                <w:tcPr>
                  <w:tcW w:w="1118" w:type="pct"/>
                  <w:tcBorders>
                    <w:tl2br w:val="nil"/>
                    <w:tr2bl w:val="nil"/>
                  </w:tcBorders>
                  <w:noWrap w:val="0"/>
                  <w:vAlign w:val="center"/>
                </w:tcPr>
                <w:p w14:paraId="2FC5D755">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COD、石油类、SS</w:t>
                  </w:r>
                </w:p>
              </w:tc>
              <w:tc>
                <w:tcPr>
                  <w:tcW w:w="1521" w:type="pct"/>
                  <w:tcBorders>
                    <w:tl2br w:val="nil"/>
                    <w:tr2bl w:val="nil"/>
                  </w:tcBorders>
                  <w:noWrap w:val="0"/>
                  <w:vAlign w:val="center"/>
                </w:tcPr>
                <w:p w14:paraId="391FE968">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隔油沉淀后循环使用，每月做危废处理一次</w:t>
                  </w:r>
                </w:p>
              </w:tc>
            </w:tr>
            <w:tr w14:paraId="7AD4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486" w:type="pct"/>
                  <w:tcBorders>
                    <w:tl2br w:val="nil"/>
                    <w:tr2bl w:val="nil"/>
                  </w:tcBorders>
                  <w:noWrap w:val="0"/>
                  <w:vAlign w:val="center"/>
                </w:tcPr>
                <w:p w14:paraId="637C0D87">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噪声</w:t>
                  </w:r>
                </w:p>
              </w:tc>
              <w:tc>
                <w:tcPr>
                  <w:tcW w:w="4513" w:type="pct"/>
                  <w:gridSpan w:val="4"/>
                  <w:tcBorders>
                    <w:tl2br w:val="nil"/>
                    <w:tr2bl w:val="nil"/>
                  </w:tcBorders>
                  <w:noWrap w:val="0"/>
                  <w:vAlign w:val="center"/>
                </w:tcPr>
                <w:p w14:paraId="73137BE8">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所有生产过程均产生噪声</w:t>
                  </w:r>
                </w:p>
              </w:tc>
            </w:tr>
            <w:bookmarkEnd w:id="5"/>
          </w:tbl>
          <w:p w14:paraId="49BAD41E">
            <w:pPr>
              <w:pStyle w:val="117"/>
              <w:keepNext w:val="0"/>
              <w:keepLines w:val="0"/>
              <w:suppressLineNumbers w:val="0"/>
              <w:spacing w:before="0" w:beforeAutospacing="0" w:after="0" w:afterAutospacing="0"/>
              <w:ind w:left="0" w:leftChars="0" w:right="0" w:firstLine="0" w:firstLineChars="0"/>
              <w:rPr>
                <w:rFonts w:hint="default" w:ascii="Times New Roman" w:hAnsi="Times New Roman" w:cs="Times New Roman"/>
                <w:color w:val="auto"/>
                <w:highlight w:val="none"/>
                <w:u w:val="none"/>
              </w:rPr>
            </w:pPr>
          </w:p>
        </w:tc>
      </w:tr>
      <w:tr w14:paraId="1910E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58" w:type="dxa"/>
            <w:noWrap w:val="0"/>
            <w:vAlign w:val="center"/>
          </w:tcPr>
          <w:p w14:paraId="3A10CDC4">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2"/>
                <w:sz w:val="24"/>
                <w:szCs w:val="24"/>
                <w:highlight w:val="none"/>
              </w:rPr>
              <w:t>与项目有关的原有环境污染问题</w:t>
            </w:r>
          </w:p>
        </w:tc>
        <w:tc>
          <w:tcPr>
            <w:tcW w:w="8302" w:type="dxa"/>
            <w:noWrap w:val="0"/>
            <w:vAlign w:val="top"/>
          </w:tcPr>
          <w:p w14:paraId="3EA48C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eastAsia" w:ascii="Times New Roman" w:hAnsi="Times New Roman" w:eastAsia="宋体" w:cs="Times New Roman"/>
                <w:b/>
                <w:bCs/>
                <w:i w:val="0"/>
                <w:iCs w:val="0"/>
                <w:color w:val="auto"/>
                <w:kern w:val="2"/>
                <w:sz w:val="24"/>
                <w:szCs w:val="24"/>
                <w:lang w:val="en-US" w:eastAsia="zh-CN" w:bidi="ar-SA"/>
              </w:rPr>
            </w:pPr>
            <w:r>
              <w:rPr>
                <w:rFonts w:hint="eastAsia" w:cs="Times New Roman"/>
                <w:b/>
                <w:bCs/>
                <w:i w:val="0"/>
                <w:iCs w:val="0"/>
                <w:color w:val="auto"/>
                <w:kern w:val="2"/>
                <w:sz w:val="24"/>
                <w:szCs w:val="24"/>
                <w:lang w:val="en-US" w:eastAsia="zh-CN" w:bidi="ar-SA"/>
              </w:rPr>
              <w:t>一、</w:t>
            </w:r>
            <w:r>
              <w:rPr>
                <w:rFonts w:hint="eastAsia" w:ascii="Times New Roman" w:hAnsi="Times New Roman" w:eastAsia="宋体" w:cs="Times New Roman"/>
                <w:b/>
                <w:bCs/>
                <w:i w:val="0"/>
                <w:iCs w:val="0"/>
                <w:color w:val="auto"/>
                <w:kern w:val="2"/>
                <w:sz w:val="24"/>
                <w:szCs w:val="24"/>
                <w:lang w:val="en-US" w:eastAsia="zh-CN" w:bidi="ar-SA"/>
              </w:rPr>
              <w:t>环保手续</w:t>
            </w:r>
          </w:p>
          <w:p w14:paraId="34AA19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昊志高端装备智能制造项目（一期）于2025年9月2日办理环评批复，</w:t>
            </w:r>
            <w:r>
              <w:rPr>
                <w:rFonts w:hint="eastAsia" w:cs="Times New Roman"/>
                <w:color w:val="auto"/>
                <w:kern w:val="2"/>
                <w:sz w:val="24"/>
                <w:szCs w:val="24"/>
                <w:u w:val="single"/>
                <w:lang w:val="en-US" w:eastAsia="zh-CN" w:bidi="ar-SA"/>
              </w:rPr>
              <w:t>现有工程处于建设中，厂房主体工程建设完成，已完成厂房的工程验收，</w:t>
            </w:r>
            <w:r>
              <w:rPr>
                <w:rFonts w:hint="eastAsia" w:cs="Times New Roman"/>
                <w:color w:val="auto"/>
                <w:kern w:val="2"/>
                <w:sz w:val="24"/>
                <w:szCs w:val="24"/>
                <w:lang w:val="en-US" w:eastAsia="zh-CN" w:bidi="ar-SA"/>
              </w:rPr>
              <w:t>设备暂未入场，暂未进行排污许可登记、暂未进行环保“三同时”验收。</w:t>
            </w:r>
          </w:p>
          <w:p w14:paraId="371178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eastAsia" w:cs="Times New Roman"/>
                <w:b/>
                <w:bCs/>
                <w:i w:val="0"/>
                <w:iCs w:val="0"/>
                <w:color w:val="auto"/>
                <w:kern w:val="2"/>
                <w:sz w:val="24"/>
                <w:szCs w:val="24"/>
                <w:lang w:val="en-US" w:eastAsia="zh-CN" w:bidi="ar-SA"/>
              </w:rPr>
            </w:pPr>
            <w:r>
              <w:rPr>
                <w:rFonts w:hint="eastAsia" w:cs="Times New Roman"/>
                <w:b/>
                <w:bCs/>
                <w:i w:val="0"/>
                <w:iCs w:val="0"/>
                <w:color w:val="auto"/>
                <w:kern w:val="2"/>
                <w:sz w:val="24"/>
                <w:szCs w:val="24"/>
                <w:lang w:val="en-US" w:eastAsia="zh-CN" w:bidi="ar-SA"/>
              </w:rPr>
              <w:t>二、现有工程概况</w:t>
            </w:r>
          </w:p>
          <w:p w14:paraId="55E1B0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1、现有工程建设内容</w:t>
            </w:r>
          </w:p>
          <w:p w14:paraId="14B8AF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8</w:t>
            </w:r>
            <w:r>
              <w:rPr>
                <w:rFonts w:hint="default" w:ascii="Times New Roman" w:hAnsi="Times New Roman" w:eastAsia="宋体" w:cs="Times New Roman"/>
                <w:b/>
                <w:bCs/>
                <w:color w:val="auto"/>
                <w:kern w:val="2"/>
                <w:sz w:val="24"/>
                <w:szCs w:val="24"/>
                <w:highlight w:val="none"/>
                <w:lang w:val="en-US" w:eastAsia="zh-CN" w:bidi="ar-SA"/>
              </w:rPr>
              <w:t xml:space="preserve">  项目主要建设内容及规模一览表</w:t>
            </w:r>
          </w:p>
          <w:tbl>
            <w:tblPr>
              <w:tblStyle w:val="3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650"/>
              <w:gridCol w:w="1117"/>
              <w:gridCol w:w="5053"/>
              <w:gridCol w:w="714"/>
            </w:tblGrid>
            <w:tr w14:paraId="2C01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blHeader/>
              </w:trPr>
              <w:tc>
                <w:tcPr>
                  <w:tcW w:w="1505" w:type="pct"/>
                  <w:gridSpan w:val="3"/>
                  <w:tcBorders>
                    <w:tl2br w:val="nil"/>
                    <w:tr2bl w:val="nil"/>
                  </w:tcBorders>
                  <w:shd w:val="clear" w:color="auto" w:fill="auto"/>
                  <w:noWrap w:val="0"/>
                  <w:vAlign w:val="center"/>
                </w:tcPr>
                <w:p w14:paraId="424F3AAA">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工程内容</w:t>
                  </w:r>
                </w:p>
              </w:tc>
              <w:tc>
                <w:tcPr>
                  <w:tcW w:w="3061" w:type="pct"/>
                  <w:tcBorders>
                    <w:tl2br w:val="nil"/>
                    <w:tr2bl w:val="nil"/>
                  </w:tcBorders>
                  <w:shd w:val="clear" w:color="auto" w:fill="auto"/>
                  <w:noWrap w:val="0"/>
                  <w:vAlign w:val="center"/>
                </w:tcPr>
                <w:p w14:paraId="780EEA10">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建设内容</w:t>
                  </w:r>
                </w:p>
              </w:tc>
              <w:tc>
                <w:tcPr>
                  <w:tcW w:w="432" w:type="pct"/>
                  <w:tcBorders>
                    <w:tl2br w:val="nil"/>
                    <w:tr2bl w:val="nil"/>
                  </w:tcBorders>
                  <w:shd w:val="clear" w:color="auto" w:fill="auto"/>
                  <w:noWrap w:val="0"/>
                  <w:vAlign w:val="center"/>
                </w:tcPr>
                <w:p w14:paraId="07FE2856">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备注</w:t>
                  </w:r>
                </w:p>
              </w:tc>
            </w:tr>
            <w:tr w14:paraId="70E1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34" w:type="pct"/>
                  <w:vMerge w:val="restart"/>
                  <w:tcBorders>
                    <w:tl2br w:val="nil"/>
                    <w:tr2bl w:val="nil"/>
                  </w:tcBorders>
                  <w:noWrap w:val="0"/>
                  <w:vAlign w:val="center"/>
                </w:tcPr>
                <w:p w14:paraId="53F49AF9">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主体</w:t>
                  </w:r>
                </w:p>
                <w:p w14:paraId="31F40762">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工程</w:t>
                  </w:r>
                </w:p>
              </w:tc>
              <w:tc>
                <w:tcPr>
                  <w:tcW w:w="1070" w:type="pct"/>
                  <w:gridSpan w:val="2"/>
                  <w:tcBorders>
                    <w:tl2br w:val="nil"/>
                    <w:tr2bl w:val="nil"/>
                  </w:tcBorders>
                  <w:noWrap w:val="0"/>
                  <w:vAlign w:val="center"/>
                </w:tcPr>
                <w:p w14:paraId="0A99941A">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高频淬火区</w:t>
                  </w:r>
                </w:p>
              </w:tc>
              <w:tc>
                <w:tcPr>
                  <w:tcW w:w="3061" w:type="pct"/>
                  <w:tcBorders>
                    <w:tl2br w:val="nil"/>
                    <w:tr2bl w:val="nil"/>
                  </w:tcBorders>
                  <w:noWrap w:val="0"/>
                  <w:vAlign w:val="center"/>
                </w:tcPr>
                <w:p w14:paraId="077A1041">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钢架结构，位于1#栋厂房内北侧，占地面积约960m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vertAlign w:val="baseline"/>
                      <w:lang w:val="en-US" w:eastAsia="zh-CN" w:bidi="ar-SA"/>
                    </w:rPr>
                    <w:t>，</w:t>
                  </w:r>
                  <w:r>
                    <w:rPr>
                      <w:rFonts w:hint="eastAsia" w:cs="Times New Roman"/>
                      <w:color w:val="auto"/>
                      <w:kern w:val="2"/>
                      <w:sz w:val="21"/>
                      <w:szCs w:val="21"/>
                      <w:highlight w:val="none"/>
                      <w:u w:val="none"/>
                      <w:lang w:val="en-US" w:eastAsia="zh-CN" w:bidi="ar-SA"/>
                    </w:rPr>
                    <w:t>布置高频淬火机及相关物料车</w:t>
                  </w:r>
                </w:p>
              </w:tc>
              <w:tc>
                <w:tcPr>
                  <w:tcW w:w="432" w:type="pct"/>
                  <w:tcBorders>
                    <w:tl2br w:val="nil"/>
                    <w:tr2bl w:val="nil"/>
                  </w:tcBorders>
                  <w:noWrap w:val="0"/>
                  <w:vAlign w:val="center"/>
                </w:tcPr>
                <w:p w14:paraId="2BC75688">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6302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34" w:type="pct"/>
                  <w:vMerge w:val="continue"/>
                  <w:tcBorders>
                    <w:tl2br w:val="nil"/>
                    <w:tr2bl w:val="nil"/>
                  </w:tcBorders>
                  <w:noWrap w:val="0"/>
                  <w:vAlign w:val="center"/>
                </w:tcPr>
                <w:p w14:paraId="5E180B8F">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7E139CF3">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热处理后时效放置区</w:t>
                  </w:r>
                </w:p>
              </w:tc>
              <w:tc>
                <w:tcPr>
                  <w:tcW w:w="3061" w:type="pct"/>
                  <w:tcBorders>
                    <w:tl2br w:val="nil"/>
                    <w:tr2bl w:val="nil"/>
                  </w:tcBorders>
                  <w:noWrap w:val="0"/>
                  <w:vAlign w:val="center"/>
                </w:tcPr>
                <w:p w14:paraId="147B6EEF">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钢架结构，1#栋厂房内北侧，占地面积约320m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vertAlign w:val="baseline"/>
                      <w:lang w:val="en-US" w:eastAsia="zh-CN" w:bidi="ar-SA"/>
                    </w:rPr>
                    <w:t>，布置若干置物架</w:t>
                  </w:r>
                </w:p>
              </w:tc>
              <w:tc>
                <w:tcPr>
                  <w:tcW w:w="432" w:type="pct"/>
                  <w:tcBorders>
                    <w:tl2br w:val="nil"/>
                    <w:tr2bl w:val="nil"/>
                  </w:tcBorders>
                  <w:noWrap w:val="0"/>
                  <w:vAlign w:val="center"/>
                </w:tcPr>
                <w:p w14:paraId="07BF431A">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6B77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34" w:type="pct"/>
                  <w:vMerge w:val="continue"/>
                  <w:tcBorders>
                    <w:tl2br w:val="nil"/>
                    <w:tr2bl w:val="nil"/>
                  </w:tcBorders>
                  <w:noWrap w:val="0"/>
                  <w:vAlign w:val="center"/>
                </w:tcPr>
                <w:p w14:paraId="070EDA31">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2AB5FF22">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校直区</w:t>
                  </w:r>
                </w:p>
              </w:tc>
              <w:tc>
                <w:tcPr>
                  <w:tcW w:w="3061" w:type="pct"/>
                  <w:tcBorders>
                    <w:tl2br w:val="nil"/>
                    <w:tr2bl w:val="nil"/>
                  </w:tcBorders>
                  <w:noWrap w:val="0"/>
                  <w:vAlign w:val="center"/>
                </w:tcPr>
                <w:p w14:paraId="5EEC3585">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钢架结构，布置在1#栋厂房内中央偏西侧，占地面积约420m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，布置校直机</w:t>
                  </w:r>
                </w:p>
              </w:tc>
              <w:tc>
                <w:tcPr>
                  <w:tcW w:w="432" w:type="pct"/>
                  <w:tcBorders>
                    <w:tl2br w:val="nil"/>
                    <w:tr2bl w:val="nil"/>
                  </w:tcBorders>
                  <w:noWrap w:val="0"/>
                  <w:vAlign w:val="center"/>
                </w:tcPr>
                <w:p w14:paraId="246535E7">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6B56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34" w:type="pct"/>
                  <w:vMerge w:val="continue"/>
                  <w:tcBorders>
                    <w:tl2br w:val="nil"/>
                    <w:tr2bl w:val="nil"/>
                  </w:tcBorders>
                  <w:noWrap w:val="0"/>
                  <w:vAlign w:val="center"/>
                </w:tcPr>
                <w:p w14:paraId="08214356">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584367CB">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线轨机加工区</w:t>
                  </w:r>
                </w:p>
              </w:tc>
              <w:tc>
                <w:tcPr>
                  <w:tcW w:w="3061" w:type="pct"/>
                  <w:tcBorders>
                    <w:tl2br w:val="nil"/>
                    <w:tr2bl w:val="nil"/>
                  </w:tcBorders>
                  <w:noWrap w:val="0"/>
                  <w:vAlign w:val="center"/>
                </w:tcPr>
                <w:p w14:paraId="5EB72A4C">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钢架结构，布置在1#栋厂房内中央区域，占地面积约2160m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，布置有表面喷砂处理机、钻铣机、磨床以及相关物料车</w:t>
                  </w:r>
                </w:p>
              </w:tc>
              <w:tc>
                <w:tcPr>
                  <w:tcW w:w="432" w:type="pct"/>
                  <w:tcBorders>
                    <w:tl2br w:val="nil"/>
                    <w:tr2bl w:val="nil"/>
                  </w:tcBorders>
                  <w:noWrap w:val="0"/>
                  <w:vAlign w:val="center"/>
                </w:tcPr>
                <w:p w14:paraId="6AD5A445">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0BC4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34" w:type="pct"/>
                  <w:vMerge w:val="continue"/>
                  <w:tcBorders>
                    <w:tl2br w:val="nil"/>
                    <w:tr2bl w:val="nil"/>
                  </w:tcBorders>
                  <w:noWrap w:val="0"/>
                  <w:vAlign w:val="center"/>
                </w:tcPr>
                <w:p w14:paraId="2B5F3F1B">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750866A9">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轨道球道磨区</w:t>
                  </w:r>
                </w:p>
              </w:tc>
              <w:tc>
                <w:tcPr>
                  <w:tcW w:w="3061" w:type="pct"/>
                  <w:tcBorders>
                    <w:tl2br w:val="nil"/>
                    <w:tr2bl w:val="nil"/>
                  </w:tcBorders>
                  <w:noWrap w:val="0"/>
                  <w:vAlign w:val="center"/>
                </w:tcPr>
                <w:p w14:paraId="2D869407">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钢架结构，位于1#栋厂房内西侧，占地面积约3580m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，布置有球道磨机床及相关物料车</w:t>
                  </w:r>
                </w:p>
              </w:tc>
              <w:tc>
                <w:tcPr>
                  <w:tcW w:w="432" w:type="pct"/>
                  <w:tcBorders>
                    <w:tl2br w:val="nil"/>
                    <w:tr2bl w:val="nil"/>
                  </w:tcBorders>
                  <w:noWrap w:val="0"/>
                  <w:vAlign w:val="center"/>
                </w:tcPr>
                <w:p w14:paraId="544E1B58">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232B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34" w:type="pct"/>
                  <w:vMerge w:val="continue"/>
                  <w:tcBorders>
                    <w:tl2br w:val="nil"/>
                    <w:tr2bl w:val="nil"/>
                  </w:tcBorders>
                  <w:noWrap w:val="0"/>
                  <w:vAlign w:val="center"/>
                </w:tcPr>
                <w:p w14:paraId="5F344119">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0D267619">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滑块机加工区</w:t>
                  </w:r>
                </w:p>
              </w:tc>
              <w:tc>
                <w:tcPr>
                  <w:tcW w:w="3061" w:type="pct"/>
                  <w:tcBorders>
                    <w:tl2br w:val="nil"/>
                    <w:tr2bl w:val="nil"/>
                  </w:tcBorders>
                  <w:noWrap w:val="0"/>
                  <w:vAlign w:val="center"/>
                </w:tcPr>
                <w:p w14:paraId="75DB5FEF">
                  <w:pPr>
                    <w:keepNext w:val="0"/>
                    <w:keepLines w:val="0"/>
                    <w:widowControl/>
                    <w:suppressLineNumbers w:val="0"/>
                    <w:spacing w:before="0" w:beforeAutospacing="0" w:after="0" w:afterAutospacing="0"/>
                    <w:ind w:left="0" w:right="0"/>
                    <w:jc w:val="both"/>
                    <w:rPr>
                      <w:rFonts w:hint="default"/>
                      <w:color w:val="auto"/>
                      <w:sz w:val="21"/>
                      <w:szCs w:val="21"/>
                      <w:u w:val="none"/>
                      <w:lang w:val="en-US" w:eastAsia="zh-CN"/>
                    </w:rPr>
                  </w:pPr>
                  <w:r>
                    <w:rPr>
                      <w:rFonts w:hint="eastAsia" w:cs="Times New Roman"/>
                      <w:color w:val="auto"/>
                      <w:kern w:val="2"/>
                      <w:sz w:val="21"/>
                      <w:szCs w:val="21"/>
                      <w:highlight w:val="none"/>
                      <w:u w:val="none"/>
                      <w:lang w:val="en-US" w:eastAsia="zh-CN" w:bidi="ar-SA"/>
                    </w:rPr>
                    <w:t>钢架结构，位于1#栋厂房内东侧，占地面积1045m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，布置钻铣床。</w:t>
                  </w:r>
                </w:p>
              </w:tc>
              <w:tc>
                <w:tcPr>
                  <w:tcW w:w="432" w:type="pct"/>
                  <w:tcBorders>
                    <w:tl2br w:val="nil"/>
                    <w:tr2bl w:val="nil"/>
                  </w:tcBorders>
                  <w:noWrap w:val="0"/>
                  <w:vAlign w:val="center"/>
                </w:tcPr>
                <w:p w14:paraId="3589DE79">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4BD6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34" w:type="pct"/>
                  <w:vMerge w:val="continue"/>
                  <w:tcBorders>
                    <w:tl2br w:val="nil"/>
                    <w:tr2bl w:val="nil"/>
                  </w:tcBorders>
                  <w:noWrap w:val="0"/>
                  <w:vAlign w:val="center"/>
                </w:tcPr>
                <w:p w14:paraId="2B9BAECA">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0F539B80">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滑块磨床区</w:t>
                  </w:r>
                </w:p>
              </w:tc>
              <w:tc>
                <w:tcPr>
                  <w:tcW w:w="3061" w:type="pct"/>
                  <w:tcBorders>
                    <w:tl2br w:val="nil"/>
                    <w:tr2bl w:val="nil"/>
                  </w:tcBorders>
                  <w:noWrap w:val="0"/>
                  <w:vAlign w:val="center"/>
                </w:tcPr>
                <w:p w14:paraId="0169094D">
                  <w:pPr>
                    <w:keepNext w:val="0"/>
                    <w:keepLines w:val="0"/>
                    <w:widowControl/>
                    <w:suppressLineNumbers w:val="0"/>
                    <w:spacing w:before="0" w:beforeAutospacing="0" w:after="0" w:afterAutospacing="0"/>
                    <w:ind w:left="0" w:right="0"/>
                    <w:jc w:val="both"/>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钢架结构，位于1#栋厂房内北偏东侧，占地面积1656m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vertAlign w:val="baseline"/>
                      <w:lang w:val="en-US" w:eastAsia="zh-CN" w:bidi="ar-SA"/>
                    </w:rPr>
                    <w:t>，布置有磨床等设备</w:t>
                  </w:r>
                </w:p>
              </w:tc>
              <w:tc>
                <w:tcPr>
                  <w:tcW w:w="432" w:type="pct"/>
                  <w:tcBorders>
                    <w:tl2br w:val="nil"/>
                    <w:tr2bl w:val="nil"/>
                  </w:tcBorders>
                  <w:noWrap w:val="0"/>
                  <w:vAlign w:val="center"/>
                </w:tcPr>
                <w:p w14:paraId="38BCC8D5">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6221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34" w:type="pct"/>
                  <w:vMerge w:val="restart"/>
                  <w:tcBorders>
                    <w:tl2br w:val="nil"/>
                    <w:tr2bl w:val="nil"/>
                  </w:tcBorders>
                  <w:noWrap w:val="0"/>
                  <w:vAlign w:val="center"/>
                </w:tcPr>
                <w:p w14:paraId="7940A317">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储运</w:t>
                  </w:r>
                </w:p>
                <w:p w14:paraId="0FD501AC">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工程</w:t>
                  </w:r>
                </w:p>
              </w:tc>
              <w:tc>
                <w:tcPr>
                  <w:tcW w:w="1070" w:type="pct"/>
                  <w:gridSpan w:val="2"/>
                  <w:tcBorders>
                    <w:tl2br w:val="nil"/>
                    <w:tr2bl w:val="nil"/>
                  </w:tcBorders>
                  <w:noWrap w:val="0"/>
                  <w:vAlign w:val="center"/>
                </w:tcPr>
                <w:p w14:paraId="49A1212D">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线轨原料存放区</w:t>
                  </w:r>
                </w:p>
              </w:tc>
              <w:tc>
                <w:tcPr>
                  <w:tcW w:w="3061" w:type="pct"/>
                  <w:tcBorders>
                    <w:tl2br w:val="nil"/>
                    <w:tr2bl w:val="nil"/>
                  </w:tcBorders>
                  <w:noWrap w:val="0"/>
                  <w:vAlign w:val="center"/>
                </w:tcPr>
                <w:p w14:paraId="6142F25A">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位置</w:t>
                  </w:r>
                  <w:r>
                    <w:rPr>
                      <w:rFonts w:hint="eastAsia" w:cs="Times New Roman"/>
                      <w:color w:val="auto"/>
                      <w:kern w:val="2"/>
                      <w:sz w:val="21"/>
                      <w:szCs w:val="21"/>
                      <w:highlight w:val="none"/>
                      <w:u w:val="none"/>
                      <w:lang w:val="en-US" w:eastAsia="zh-CN" w:bidi="ar-SA"/>
                    </w:rPr>
                    <w:t>1#栋厂房内北侧</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靠近高频淬火机，</w:t>
                  </w:r>
                  <w:r>
                    <w:rPr>
                      <w:rFonts w:hint="eastAsia" w:ascii="Times New Roman" w:hAnsi="Times New Roman" w:eastAsia="宋体" w:cs="Times New Roman"/>
                      <w:color w:val="auto"/>
                      <w:kern w:val="2"/>
                      <w:sz w:val="21"/>
                      <w:szCs w:val="21"/>
                      <w:highlight w:val="none"/>
                      <w:u w:val="none"/>
                      <w:lang w:val="en-US" w:eastAsia="zh-CN" w:bidi="ar-SA"/>
                    </w:rPr>
                    <w:t>面积约</w:t>
                  </w:r>
                  <w:r>
                    <w:rPr>
                      <w:rFonts w:hint="eastAsia" w:cs="Times New Roman"/>
                      <w:color w:val="auto"/>
                      <w:kern w:val="2"/>
                      <w:sz w:val="21"/>
                      <w:szCs w:val="21"/>
                      <w:highlight w:val="none"/>
                      <w:u w:val="none"/>
                      <w:lang w:val="en-US" w:eastAsia="zh-CN" w:bidi="ar-SA"/>
                    </w:rPr>
                    <w:t>3</w:t>
                  </w:r>
                  <w:r>
                    <w:rPr>
                      <w:rFonts w:hint="eastAsia" w:ascii="Times New Roman" w:hAnsi="Times New Roman" w:eastAsia="宋体" w:cs="Times New Roman"/>
                      <w:color w:val="auto"/>
                      <w:kern w:val="2"/>
                      <w:sz w:val="21"/>
                      <w:szCs w:val="21"/>
                      <w:highlight w:val="none"/>
                      <w:u w:val="none"/>
                      <w:lang w:val="en-US" w:eastAsia="zh-CN" w:bidi="ar-SA"/>
                    </w:rPr>
                    <w:t>20m</w:t>
                  </w:r>
                  <w:r>
                    <w:rPr>
                      <w:rFonts w:hint="eastAsia" w:ascii="Times New Roman" w:hAnsi="Times New Roman" w:eastAsia="宋体"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，布置置物架若干</w:t>
                  </w:r>
                </w:p>
              </w:tc>
              <w:tc>
                <w:tcPr>
                  <w:tcW w:w="432" w:type="pct"/>
                  <w:tcBorders>
                    <w:tl2br w:val="nil"/>
                    <w:tr2bl w:val="nil"/>
                  </w:tcBorders>
                  <w:noWrap w:val="0"/>
                  <w:vAlign w:val="center"/>
                </w:tcPr>
                <w:p w14:paraId="6913E39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174E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34" w:type="pct"/>
                  <w:vMerge w:val="continue"/>
                  <w:tcBorders>
                    <w:tl2br w:val="nil"/>
                    <w:tr2bl w:val="nil"/>
                  </w:tcBorders>
                  <w:noWrap w:val="0"/>
                  <w:vAlign w:val="center"/>
                </w:tcPr>
                <w:p w14:paraId="67FAA213">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6E4EE356">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滑块原料存放区</w:t>
                  </w:r>
                </w:p>
              </w:tc>
              <w:tc>
                <w:tcPr>
                  <w:tcW w:w="3061" w:type="pct"/>
                  <w:tcBorders>
                    <w:tl2br w:val="nil"/>
                    <w:tr2bl w:val="nil"/>
                  </w:tcBorders>
                  <w:noWrap w:val="0"/>
                  <w:vAlign w:val="center"/>
                </w:tcPr>
                <w:p w14:paraId="3E0010D6">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钢架结构，位于1#栋厂房内北侧，占地面积220m</w:t>
                  </w:r>
                  <w:r>
                    <w:rPr>
                      <w:rFonts w:hint="eastAsia" w:cs="Times New Roman"/>
                      <w:color w:val="auto"/>
                      <w:kern w:val="2"/>
                      <w:sz w:val="21"/>
                      <w:szCs w:val="21"/>
                      <w:highlight w:val="none"/>
                      <w:u w:val="none"/>
                      <w:vertAlign w:val="superscript"/>
                      <w:lang w:val="en-US" w:eastAsia="zh-CN" w:bidi="ar-SA"/>
                    </w:rPr>
                    <w:t>2</w:t>
                  </w:r>
                </w:p>
              </w:tc>
              <w:tc>
                <w:tcPr>
                  <w:tcW w:w="432" w:type="pct"/>
                  <w:tcBorders>
                    <w:tl2br w:val="nil"/>
                    <w:tr2bl w:val="nil"/>
                  </w:tcBorders>
                  <w:noWrap w:val="0"/>
                  <w:vAlign w:val="center"/>
                </w:tcPr>
                <w:p w14:paraId="03CA8AA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5EA6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34" w:type="pct"/>
                  <w:vMerge w:val="continue"/>
                  <w:tcBorders>
                    <w:tl2br w:val="nil"/>
                    <w:tr2bl w:val="nil"/>
                  </w:tcBorders>
                  <w:noWrap w:val="0"/>
                  <w:vAlign w:val="center"/>
                </w:tcPr>
                <w:p w14:paraId="2E336281">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4AEA15E2">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成品存放区</w:t>
                  </w:r>
                </w:p>
              </w:tc>
              <w:tc>
                <w:tcPr>
                  <w:tcW w:w="3061" w:type="pct"/>
                  <w:tcBorders>
                    <w:tl2br w:val="nil"/>
                    <w:tr2bl w:val="nil"/>
                  </w:tcBorders>
                  <w:noWrap w:val="0"/>
                  <w:vAlign w:val="center"/>
                </w:tcPr>
                <w:p w14:paraId="7C406250">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钢架结构，位于1#栋厂房内房东侧占地面积2500m</w:t>
                  </w:r>
                  <w:r>
                    <w:rPr>
                      <w:rFonts w:hint="eastAsia" w:cs="Times New Roman"/>
                      <w:color w:val="auto"/>
                      <w:kern w:val="2"/>
                      <w:sz w:val="21"/>
                      <w:szCs w:val="21"/>
                      <w:highlight w:val="none"/>
                      <w:u w:val="none"/>
                      <w:vertAlign w:val="superscript"/>
                      <w:lang w:val="en-US" w:eastAsia="zh-CN" w:bidi="ar-SA"/>
                    </w:rPr>
                    <w:t>2</w:t>
                  </w:r>
                </w:p>
              </w:tc>
              <w:tc>
                <w:tcPr>
                  <w:tcW w:w="432" w:type="pct"/>
                  <w:tcBorders>
                    <w:tl2br w:val="nil"/>
                    <w:tr2bl w:val="nil"/>
                  </w:tcBorders>
                  <w:noWrap w:val="0"/>
                  <w:vAlign w:val="center"/>
                </w:tcPr>
                <w:p w14:paraId="23F46AA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605F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34" w:type="pct"/>
                  <w:vMerge w:val="continue"/>
                  <w:tcBorders>
                    <w:tl2br w:val="nil"/>
                    <w:tr2bl w:val="nil"/>
                  </w:tcBorders>
                  <w:noWrap w:val="0"/>
                  <w:vAlign w:val="center"/>
                </w:tcPr>
                <w:p w14:paraId="085C5137">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6BEDE7BE">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油品仓</w:t>
                  </w:r>
                </w:p>
              </w:tc>
              <w:tc>
                <w:tcPr>
                  <w:tcW w:w="3061" w:type="pct"/>
                  <w:tcBorders>
                    <w:tl2br w:val="nil"/>
                    <w:tr2bl w:val="nil"/>
                  </w:tcBorders>
                  <w:noWrap w:val="0"/>
                  <w:vAlign w:val="center"/>
                </w:tcPr>
                <w:p w14:paraId="27070358">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钢架结构，位于1#厂房外东侧，占地面积57m</w:t>
                  </w:r>
                  <w:r>
                    <w:rPr>
                      <w:rFonts w:hint="eastAsia" w:cs="Times New Roman"/>
                      <w:color w:val="auto"/>
                      <w:kern w:val="2"/>
                      <w:sz w:val="21"/>
                      <w:szCs w:val="21"/>
                      <w:highlight w:val="none"/>
                      <w:u w:val="none"/>
                      <w:vertAlign w:val="superscript"/>
                      <w:lang w:val="en-US" w:eastAsia="zh-CN" w:bidi="ar-SA"/>
                    </w:rPr>
                    <w:t>2</w:t>
                  </w:r>
                </w:p>
              </w:tc>
              <w:tc>
                <w:tcPr>
                  <w:tcW w:w="432" w:type="pct"/>
                  <w:tcBorders>
                    <w:tl2br w:val="nil"/>
                    <w:tr2bl w:val="nil"/>
                  </w:tcBorders>
                  <w:noWrap w:val="0"/>
                  <w:vAlign w:val="center"/>
                </w:tcPr>
                <w:p w14:paraId="22B1FEF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04E1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34" w:type="pct"/>
                  <w:vMerge w:val="continue"/>
                  <w:tcBorders>
                    <w:tl2br w:val="nil"/>
                    <w:tr2bl w:val="nil"/>
                  </w:tcBorders>
                  <w:noWrap w:val="0"/>
                  <w:vAlign w:val="center"/>
                </w:tcPr>
                <w:p w14:paraId="52A0D153">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399D1587">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铁屑固废仓</w:t>
                  </w:r>
                </w:p>
              </w:tc>
              <w:tc>
                <w:tcPr>
                  <w:tcW w:w="3061" w:type="pct"/>
                  <w:tcBorders>
                    <w:tl2br w:val="nil"/>
                    <w:tr2bl w:val="nil"/>
                  </w:tcBorders>
                  <w:noWrap w:val="0"/>
                  <w:vAlign w:val="center"/>
                </w:tcPr>
                <w:p w14:paraId="29D95DDE">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钢架结构，位于1#厂房外东侧，占地面积57m</w:t>
                  </w:r>
                  <w:r>
                    <w:rPr>
                      <w:rFonts w:hint="eastAsia" w:cs="Times New Roman"/>
                      <w:color w:val="auto"/>
                      <w:kern w:val="2"/>
                      <w:sz w:val="21"/>
                      <w:szCs w:val="21"/>
                      <w:highlight w:val="none"/>
                      <w:u w:val="none"/>
                      <w:vertAlign w:val="superscript"/>
                      <w:lang w:val="en-US" w:eastAsia="zh-CN" w:bidi="ar-SA"/>
                    </w:rPr>
                    <w:t>2</w:t>
                  </w:r>
                </w:p>
              </w:tc>
              <w:tc>
                <w:tcPr>
                  <w:tcW w:w="432" w:type="pct"/>
                  <w:tcBorders>
                    <w:tl2br w:val="nil"/>
                    <w:tr2bl w:val="nil"/>
                  </w:tcBorders>
                  <w:noWrap w:val="0"/>
                  <w:vAlign w:val="center"/>
                </w:tcPr>
                <w:p w14:paraId="491B02A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20F1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34" w:type="pct"/>
                  <w:vMerge w:val="continue"/>
                  <w:tcBorders>
                    <w:tl2br w:val="nil"/>
                    <w:tr2bl w:val="nil"/>
                  </w:tcBorders>
                  <w:noWrap w:val="0"/>
                  <w:vAlign w:val="center"/>
                </w:tcPr>
                <w:p w14:paraId="59708694">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17ADE8DD">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一般固废间</w:t>
                  </w:r>
                </w:p>
              </w:tc>
              <w:tc>
                <w:tcPr>
                  <w:tcW w:w="3061" w:type="pct"/>
                  <w:tcBorders>
                    <w:tl2br w:val="nil"/>
                    <w:tr2bl w:val="nil"/>
                  </w:tcBorders>
                  <w:noWrap w:val="0"/>
                  <w:vAlign w:val="center"/>
                </w:tcPr>
                <w:p w14:paraId="1A804242">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钢架结构，位于1#厂房外东侧，占地面积57m</w:t>
                  </w:r>
                  <w:r>
                    <w:rPr>
                      <w:rFonts w:hint="eastAsia" w:cs="Times New Roman"/>
                      <w:color w:val="auto"/>
                      <w:kern w:val="2"/>
                      <w:sz w:val="21"/>
                      <w:szCs w:val="21"/>
                      <w:highlight w:val="none"/>
                      <w:u w:val="none"/>
                      <w:vertAlign w:val="superscript"/>
                      <w:lang w:val="en-US" w:eastAsia="zh-CN" w:bidi="ar-SA"/>
                    </w:rPr>
                    <w:t>2</w:t>
                  </w:r>
                </w:p>
              </w:tc>
              <w:tc>
                <w:tcPr>
                  <w:tcW w:w="432" w:type="pct"/>
                  <w:tcBorders>
                    <w:tl2br w:val="nil"/>
                    <w:tr2bl w:val="nil"/>
                  </w:tcBorders>
                  <w:noWrap w:val="0"/>
                  <w:vAlign w:val="center"/>
                </w:tcPr>
                <w:p w14:paraId="507129B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6BEF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34" w:type="pct"/>
                  <w:vMerge w:val="continue"/>
                  <w:tcBorders>
                    <w:tl2br w:val="nil"/>
                    <w:tr2bl w:val="nil"/>
                  </w:tcBorders>
                  <w:noWrap w:val="0"/>
                  <w:vAlign w:val="center"/>
                </w:tcPr>
                <w:p w14:paraId="758BA009">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5AF766E0">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危废暂存间</w:t>
                  </w:r>
                </w:p>
              </w:tc>
              <w:tc>
                <w:tcPr>
                  <w:tcW w:w="3061" w:type="pct"/>
                  <w:tcBorders>
                    <w:tl2br w:val="nil"/>
                    <w:tr2bl w:val="nil"/>
                  </w:tcBorders>
                  <w:noWrap w:val="0"/>
                  <w:vAlign w:val="center"/>
                </w:tcPr>
                <w:p w14:paraId="6957B0B2">
                  <w:pPr>
                    <w:pStyle w:val="125"/>
                    <w:keepNext w:val="0"/>
                    <w:keepLines w:val="0"/>
                    <w:suppressLineNumbers w:val="0"/>
                    <w:spacing w:before="0" w:beforeAutospacing="0" w:after="0" w:afterAutospacing="0"/>
                    <w:ind w:left="0" w:right="0"/>
                    <w:jc w:val="left"/>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钢架结构，位于1#厂房外东侧，占地面积20m</w:t>
                  </w:r>
                  <w:r>
                    <w:rPr>
                      <w:rFonts w:hint="eastAsia" w:cs="Times New Roman"/>
                      <w:color w:val="auto"/>
                      <w:kern w:val="2"/>
                      <w:sz w:val="21"/>
                      <w:szCs w:val="21"/>
                      <w:highlight w:val="none"/>
                      <w:u w:val="none"/>
                      <w:vertAlign w:val="superscript"/>
                      <w:lang w:val="en-US" w:eastAsia="zh-CN" w:bidi="ar-SA"/>
                    </w:rPr>
                    <w:t>2</w:t>
                  </w:r>
                </w:p>
              </w:tc>
              <w:tc>
                <w:tcPr>
                  <w:tcW w:w="432" w:type="pct"/>
                  <w:tcBorders>
                    <w:tl2br w:val="nil"/>
                    <w:tr2bl w:val="nil"/>
                  </w:tcBorders>
                  <w:noWrap w:val="0"/>
                  <w:vAlign w:val="center"/>
                </w:tcPr>
                <w:p w14:paraId="06376C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4DAC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34" w:type="pct"/>
                  <w:vMerge w:val="restart"/>
                  <w:tcBorders>
                    <w:tl2br w:val="nil"/>
                    <w:tr2bl w:val="nil"/>
                  </w:tcBorders>
                  <w:noWrap w:val="0"/>
                  <w:vAlign w:val="center"/>
                </w:tcPr>
                <w:p w14:paraId="646261E4">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辅助</w:t>
                  </w:r>
                  <w:r>
                    <w:rPr>
                      <w:rFonts w:hint="eastAsia" w:ascii="Times New Roman" w:hAnsi="Times New Roman" w:eastAsia="宋体" w:cs="Times New Roman"/>
                      <w:color w:val="auto"/>
                      <w:kern w:val="2"/>
                      <w:sz w:val="21"/>
                      <w:szCs w:val="21"/>
                      <w:highlight w:val="none"/>
                      <w:u w:val="none"/>
                      <w:lang w:val="en-US" w:eastAsia="zh-CN" w:bidi="ar-SA"/>
                    </w:rPr>
                    <w:t>工程</w:t>
                  </w:r>
                </w:p>
              </w:tc>
              <w:tc>
                <w:tcPr>
                  <w:tcW w:w="1070" w:type="pct"/>
                  <w:gridSpan w:val="2"/>
                  <w:tcBorders>
                    <w:tl2br w:val="nil"/>
                    <w:tr2bl w:val="nil"/>
                  </w:tcBorders>
                  <w:noWrap w:val="0"/>
                  <w:vAlign w:val="center"/>
                </w:tcPr>
                <w:p w14:paraId="39307F76">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办公区</w:t>
                  </w:r>
                </w:p>
              </w:tc>
              <w:tc>
                <w:tcPr>
                  <w:tcW w:w="3061" w:type="pct"/>
                  <w:tcBorders>
                    <w:tl2br w:val="nil"/>
                    <w:tr2bl w:val="nil"/>
                  </w:tcBorders>
                  <w:noWrap w:val="0"/>
                  <w:vAlign w:val="center"/>
                </w:tcPr>
                <w:p w14:paraId="7E04C916">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占地面积720m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位于</w:t>
                  </w:r>
                  <w:r>
                    <w:rPr>
                      <w:rFonts w:hint="eastAsia" w:cs="Times New Roman"/>
                      <w:color w:val="auto"/>
                      <w:kern w:val="2"/>
                      <w:sz w:val="21"/>
                      <w:szCs w:val="21"/>
                      <w:highlight w:val="none"/>
                      <w:u w:val="none"/>
                      <w:lang w:val="en-US" w:eastAsia="zh-CN" w:bidi="ar-SA"/>
                    </w:rPr>
                    <w:t>1#厂房内南侧，2层，第一层主要为办公会客展览区，第二层主要为检测、试验室</w:t>
                  </w:r>
                </w:p>
              </w:tc>
              <w:tc>
                <w:tcPr>
                  <w:tcW w:w="432" w:type="pct"/>
                  <w:tcBorders>
                    <w:tl2br w:val="nil"/>
                    <w:tr2bl w:val="nil"/>
                  </w:tcBorders>
                  <w:noWrap w:val="0"/>
                  <w:vAlign w:val="center"/>
                </w:tcPr>
                <w:p w14:paraId="3E93A0A9">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1003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34" w:type="pct"/>
                  <w:vMerge w:val="continue"/>
                  <w:tcBorders>
                    <w:tl2br w:val="nil"/>
                    <w:tr2bl w:val="nil"/>
                  </w:tcBorders>
                  <w:noWrap w:val="0"/>
                  <w:vAlign w:val="center"/>
                </w:tcPr>
                <w:p w14:paraId="5C9DFFC8">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463CD075">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空调机房</w:t>
                  </w:r>
                </w:p>
              </w:tc>
              <w:tc>
                <w:tcPr>
                  <w:tcW w:w="3061" w:type="pct"/>
                  <w:tcBorders>
                    <w:tl2br w:val="nil"/>
                    <w:tr2bl w:val="nil"/>
                  </w:tcBorders>
                  <w:noWrap w:val="0"/>
                  <w:vAlign w:val="center"/>
                </w:tcPr>
                <w:p w14:paraId="42FE4273">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钢架结构，占地面积75m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432" w:type="pct"/>
                  <w:tcBorders>
                    <w:tl2br w:val="nil"/>
                    <w:tr2bl w:val="nil"/>
                  </w:tcBorders>
                  <w:noWrap w:val="0"/>
                  <w:vAlign w:val="center"/>
                </w:tcPr>
                <w:p w14:paraId="7B32F3EF">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14D5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34" w:type="pct"/>
                  <w:vMerge w:val="continue"/>
                  <w:tcBorders>
                    <w:tl2br w:val="nil"/>
                    <w:tr2bl w:val="nil"/>
                  </w:tcBorders>
                  <w:noWrap w:val="0"/>
                  <w:vAlign w:val="center"/>
                </w:tcPr>
                <w:p w14:paraId="220B99DA">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39627AA7">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1#配电间</w:t>
                  </w:r>
                </w:p>
              </w:tc>
              <w:tc>
                <w:tcPr>
                  <w:tcW w:w="3061" w:type="pct"/>
                  <w:tcBorders>
                    <w:tl2br w:val="nil"/>
                    <w:tr2bl w:val="nil"/>
                  </w:tcBorders>
                  <w:noWrap w:val="0"/>
                  <w:vAlign w:val="center"/>
                </w:tcPr>
                <w:p w14:paraId="148EA85F">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钢架结构，占地面积257m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432" w:type="pct"/>
                  <w:tcBorders>
                    <w:tl2br w:val="nil"/>
                    <w:tr2bl w:val="nil"/>
                  </w:tcBorders>
                  <w:noWrap w:val="0"/>
                  <w:vAlign w:val="center"/>
                </w:tcPr>
                <w:p w14:paraId="45E9BB26">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5C18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34" w:type="pct"/>
                  <w:vMerge w:val="continue"/>
                  <w:tcBorders>
                    <w:tl2br w:val="nil"/>
                    <w:tr2bl w:val="nil"/>
                  </w:tcBorders>
                  <w:noWrap w:val="0"/>
                  <w:vAlign w:val="center"/>
                </w:tcPr>
                <w:p w14:paraId="0B7A2BC2">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4E0D2694">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2#配电间</w:t>
                  </w:r>
                </w:p>
              </w:tc>
              <w:tc>
                <w:tcPr>
                  <w:tcW w:w="3061" w:type="pct"/>
                  <w:tcBorders>
                    <w:tl2br w:val="nil"/>
                    <w:tr2bl w:val="nil"/>
                  </w:tcBorders>
                  <w:noWrap w:val="0"/>
                  <w:vAlign w:val="center"/>
                </w:tcPr>
                <w:p w14:paraId="27D89A4F">
                  <w:pPr>
                    <w:pStyle w:val="125"/>
                    <w:keepNext w:val="0"/>
                    <w:keepLines w:val="0"/>
                    <w:suppressLineNumbers w:val="0"/>
                    <w:spacing w:before="0" w:beforeAutospacing="0" w:after="0" w:afterAutospacing="0"/>
                    <w:ind w:left="0" w:right="0"/>
                    <w:jc w:val="left"/>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钢架结构，占地面积257m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432" w:type="pct"/>
                  <w:tcBorders>
                    <w:tl2br w:val="nil"/>
                    <w:tr2bl w:val="nil"/>
                  </w:tcBorders>
                  <w:noWrap w:val="0"/>
                  <w:vAlign w:val="center"/>
                </w:tcPr>
                <w:p w14:paraId="2D32A262">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206A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34" w:type="pct"/>
                  <w:vMerge w:val="continue"/>
                  <w:tcBorders>
                    <w:tl2br w:val="nil"/>
                    <w:tr2bl w:val="nil"/>
                  </w:tcBorders>
                  <w:noWrap w:val="0"/>
                  <w:vAlign w:val="center"/>
                </w:tcPr>
                <w:p w14:paraId="14F14EE7">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7F135C71">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空压机房</w:t>
                  </w:r>
                </w:p>
              </w:tc>
              <w:tc>
                <w:tcPr>
                  <w:tcW w:w="3061" w:type="pct"/>
                  <w:tcBorders>
                    <w:tl2br w:val="nil"/>
                    <w:tr2bl w:val="nil"/>
                  </w:tcBorders>
                  <w:noWrap w:val="0"/>
                  <w:vAlign w:val="center"/>
                </w:tcPr>
                <w:p w14:paraId="48BA26F5">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钢架结构，占地面积75m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432" w:type="pct"/>
                  <w:tcBorders>
                    <w:tl2br w:val="nil"/>
                    <w:tr2bl w:val="nil"/>
                  </w:tcBorders>
                  <w:noWrap w:val="0"/>
                  <w:vAlign w:val="center"/>
                </w:tcPr>
                <w:p w14:paraId="38251316">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66CF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34" w:type="pct"/>
                  <w:vMerge w:val="continue"/>
                  <w:tcBorders>
                    <w:tl2br w:val="nil"/>
                    <w:tr2bl w:val="nil"/>
                  </w:tcBorders>
                  <w:noWrap w:val="0"/>
                  <w:vAlign w:val="center"/>
                </w:tcPr>
                <w:p w14:paraId="3CBC2340">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3EFFD72E">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过道就其他</w:t>
                  </w:r>
                </w:p>
              </w:tc>
              <w:tc>
                <w:tcPr>
                  <w:tcW w:w="3061" w:type="pct"/>
                  <w:tcBorders>
                    <w:tl2br w:val="nil"/>
                    <w:tr2bl w:val="nil"/>
                  </w:tcBorders>
                  <w:noWrap w:val="0"/>
                  <w:vAlign w:val="center"/>
                </w:tcPr>
                <w:p w14:paraId="351C02B2">
                  <w:pPr>
                    <w:pStyle w:val="125"/>
                    <w:keepNext w:val="0"/>
                    <w:keepLines w:val="0"/>
                    <w:suppressLineNumbers w:val="0"/>
                    <w:spacing w:before="0" w:beforeAutospacing="0" w:after="0" w:afterAutospacing="0"/>
                    <w:ind w:left="0" w:right="0"/>
                    <w:jc w:val="left"/>
                    <w:rPr>
                      <w:rFonts w:hint="default"/>
                      <w:u w:val="none"/>
                      <w:lang w:val="en-US"/>
                    </w:rPr>
                  </w:pPr>
                  <w:r>
                    <w:rPr>
                      <w:rFonts w:hint="eastAsia" w:cs="Times New Roman"/>
                      <w:color w:val="auto"/>
                      <w:kern w:val="2"/>
                      <w:sz w:val="21"/>
                      <w:szCs w:val="21"/>
                      <w:highlight w:val="none"/>
                      <w:u w:val="none"/>
                      <w:lang w:val="en-US" w:eastAsia="zh-CN" w:bidi="ar-SA"/>
                    </w:rPr>
                    <w:t>用于人流和物流的通道，其他包括厕所、楼梯间等，占地面积9543m</w:t>
                  </w:r>
                  <w:r>
                    <w:rPr>
                      <w:rFonts w:hint="eastAsia" w:cs="Times New Roman"/>
                      <w:color w:val="auto"/>
                      <w:kern w:val="2"/>
                      <w:sz w:val="21"/>
                      <w:szCs w:val="21"/>
                      <w:highlight w:val="none"/>
                      <w:u w:val="none"/>
                      <w:vertAlign w:val="superscript"/>
                      <w:lang w:val="en-US" w:eastAsia="zh-CN" w:bidi="ar-SA"/>
                    </w:rPr>
                    <w:t>2</w:t>
                  </w:r>
                </w:p>
              </w:tc>
              <w:tc>
                <w:tcPr>
                  <w:tcW w:w="432" w:type="pct"/>
                  <w:tcBorders>
                    <w:tl2br w:val="nil"/>
                    <w:tr2bl w:val="nil"/>
                  </w:tcBorders>
                  <w:noWrap w:val="0"/>
                  <w:vAlign w:val="center"/>
                </w:tcPr>
                <w:p w14:paraId="6301ACA3">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48A4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34" w:type="pct"/>
                  <w:vMerge w:val="continue"/>
                  <w:tcBorders>
                    <w:tl2br w:val="nil"/>
                    <w:tr2bl w:val="nil"/>
                  </w:tcBorders>
                  <w:noWrap w:val="0"/>
                  <w:vAlign w:val="center"/>
                </w:tcPr>
                <w:p w14:paraId="2EC39FA4">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15DFC3A7">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柴油发电机房</w:t>
                  </w:r>
                </w:p>
              </w:tc>
              <w:tc>
                <w:tcPr>
                  <w:tcW w:w="3061" w:type="pct"/>
                  <w:tcBorders>
                    <w:tl2br w:val="nil"/>
                    <w:tr2bl w:val="nil"/>
                  </w:tcBorders>
                  <w:noWrap w:val="0"/>
                  <w:vAlign w:val="center"/>
                </w:tcPr>
                <w:p w14:paraId="73C04B19">
                  <w:pPr>
                    <w:pStyle w:val="125"/>
                    <w:keepNext w:val="0"/>
                    <w:keepLines w:val="0"/>
                    <w:suppressLineNumbers w:val="0"/>
                    <w:spacing w:before="0" w:beforeAutospacing="0" w:after="0" w:afterAutospacing="0"/>
                    <w:ind w:left="0" w:right="0"/>
                    <w:jc w:val="left"/>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钢架结构，占地面积35m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，位于1#厂房外西侧</w:t>
                  </w:r>
                </w:p>
              </w:tc>
              <w:tc>
                <w:tcPr>
                  <w:tcW w:w="432" w:type="pct"/>
                  <w:tcBorders>
                    <w:tl2br w:val="nil"/>
                    <w:tr2bl w:val="nil"/>
                  </w:tcBorders>
                  <w:noWrap w:val="0"/>
                  <w:vAlign w:val="center"/>
                </w:tcPr>
                <w:p w14:paraId="7A7189E8">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 xml:space="preserve">新建 </w:t>
                  </w:r>
                </w:p>
              </w:tc>
            </w:tr>
            <w:tr w14:paraId="6BE6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34" w:type="pct"/>
                  <w:vMerge w:val="continue"/>
                  <w:tcBorders>
                    <w:tl2br w:val="nil"/>
                    <w:tr2bl w:val="nil"/>
                  </w:tcBorders>
                  <w:noWrap w:val="0"/>
                  <w:vAlign w:val="center"/>
                </w:tcPr>
                <w:p w14:paraId="6523DE5B">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7F9A84B3">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员工宿舍及食堂</w:t>
                  </w:r>
                </w:p>
              </w:tc>
              <w:tc>
                <w:tcPr>
                  <w:tcW w:w="3061" w:type="pct"/>
                  <w:tcBorders>
                    <w:tl2br w:val="nil"/>
                    <w:tr2bl w:val="nil"/>
                  </w:tcBorders>
                  <w:noWrap w:val="0"/>
                  <w:vAlign w:val="center"/>
                </w:tcPr>
                <w:p w14:paraId="47CE1D3B">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位于厂区西南角，砖混结构，占地面积1098m</w:t>
                  </w:r>
                  <w:r>
                    <w:rPr>
                      <w:rFonts w:hint="eastAsia" w:cs="Times New Roman"/>
                      <w:color w:val="auto"/>
                      <w:kern w:val="2"/>
                      <w:sz w:val="21"/>
                      <w:szCs w:val="21"/>
                      <w:highlight w:val="none"/>
                      <w:u w:val="none"/>
                      <w:vertAlign w:val="superscript"/>
                      <w:lang w:val="en-US" w:eastAsia="zh-CN" w:bidi="ar-SA"/>
                    </w:rPr>
                    <w:t>2</w:t>
                  </w:r>
                </w:p>
              </w:tc>
              <w:tc>
                <w:tcPr>
                  <w:tcW w:w="432" w:type="pct"/>
                  <w:tcBorders>
                    <w:tl2br w:val="nil"/>
                    <w:tr2bl w:val="nil"/>
                  </w:tcBorders>
                  <w:noWrap w:val="0"/>
                  <w:vAlign w:val="center"/>
                </w:tcPr>
                <w:p w14:paraId="0FC9C99E">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45F6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34" w:type="pct"/>
                  <w:vMerge w:val="continue"/>
                  <w:tcBorders>
                    <w:tl2br w:val="nil"/>
                    <w:tr2bl w:val="nil"/>
                  </w:tcBorders>
                  <w:noWrap w:val="0"/>
                  <w:vAlign w:val="center"/>
                </w:tcPr>
                <w:p w14:paraId="54790578">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798DA151">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厂内道路</w:t>
                  </w:r>
                </w:p>
              </w:tc>
              <w:tc>
                <w:tcPr>
                  <w:tcW w:w="3061" w:type="pct"/>
                  <w:tcBorders>
                    <w:tl2br w:val="nil"/>
                    <w:tr2bl w:val="nil"/>
                  </w:tcBorders>
                  <w:noWrap w:val="0"/>
                  <w:vAlign w:val="center"/>
                </w:tcPr>
                <w:p w14:paraId="6548C9E1">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厂内设置宽6m，长度约600m的物流车道，占地面积约为3600m</w:t>
                  </w:r>
                  <w:r>
                    <w:rPr>
                      <w:rFonts w:hint="eastAsia" w:cs="Times New Roman"/>
                      <w:color w:val="auto"/>
                      <w:kern w:val="2"/>
                      <w:sz w:val="21"/>
                      <w:szCs w:val="21"/>
                      <w:highlight w:val="none"/>
                      <w:u w:val="none"/>
                      <w:vertAlign w:val="superscript"/>
                      <w:lang w:val="en-US" w:eastAsia="zh-CN" w:bidi="ar-SA"/>
                    </w:rPr>
                    <w:t>2</w:t>
                  </w:r>
                </w:p>
              </w:tc>
              <w:tc>
                <w:tcPr>
                  <w:tcW w:w="432" w:type="pct"/>
                  <w:tcBorders>
                    <w:tl2br w:val="nil"/>
                    <w:tr2bl w:val="nil"/>
                  </w:tcBorders>
                  <w:noWrap w:val="0"/>
                  <w:vAlign w:val="center"/>
                </w:tcPr>
                <w:p w14:paraId="6E7227DE">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0061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34" w:type="pct"/>
                  <w:vMerge w:val="continue"/>
                  <w:tcBorders>
                    <w:tl2br w:val="nil"/>
                    <w:tr2bl w:val="nil"/>
                  </w:tcBorders>
                  <w:noWrap w:val="0"/>
                  <w:vAlign w:val="center"/>
                </w:tcPr>
                <w:p w14:paraId="03735ED7">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23CC1F7F">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绿化</w:t>
                  </w:r>
                </w:p>
              </w:tc>
              <w:tc>
                <w:tcPr>
                  <w:tcW w:w="3061" w:type="pct"/>
                  <w:tcBorders>
                    <w:tl2br w:val="nil"/>
                    <w:tr2bl w:val="nil"/>
                  </w:tcBorders>
                  <w:noWrap w:val="0"/>
                  <w:vAlign w:val="center"/>
                </w:tcPr>
                <w:p w14:paraId="5F5A78A7">
                  <w:pPr>
                    <w:pStyle w:val="125"/>
                    <w:keepNext w:val="0"/>
                    <w:keepLines w:val="0"/>
                    <w:suppressLineNumbers w:val="0"/>
                    <w:spacing w:before="0" w:beforeAutospacing="0" w:after="0" w:afterAutospacing="0"/>
                    <w:ind w:left="0" w:right="0"/>
                    <w:jc w:val="left"/>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占地面积5317.34m</w:t>
                  </w:r>
                  <w:r>
                    <w:rPr>
                      <w:rFonts w:hint="eastAsia" w:cs="Times New Roman"/>
                      <w:color w:val="auto"/>
                      <w:kern w:val="2"/>
                      <w:sz w:val="21"/>
                      <w:szCs w:val="21"/>
                      <w:highlight w:val="none"/>
                      <w:u w:val="none"/>
                      <w:vertAlign w:val="superscript"/>
                      <w:lang w:val="en-US" w:eastAsia="zh-CN" w:bidi="ar-SA"/>
                    </w:rPr>
                    <w:t>2</w:t>
                  </w:r>
                </w:p>
              </w:tc>
              <w:tc>
                <w:tcPr>
                  <w:tcW w:w="432" w:type="pct"/>
                  <w:tcBorders>
                    <w:tl2br w:val="nil"/>
                    <w:tr2bl w:val="nil"/>
                  </w:tcBorders>
                  <w:noWrap w:val="0"/>
                  <w:vAlign w:val="center"/>
                </w:tcPr>
                <w:p w14:paraId="252A38D3">
                  <w:pPr>
                    <w:pStyle w:val="125"/>
                    <w:keepNext w:val="0"/>
                    <w:keepLines w:val="0"/>
                    <w:suppressLineNumbers w:val="0"/>
                    <w:spacing w:before="0" w:beforeAutospacing="0" w:after="0" w:afterAutospacing="0"/>
                    <w:ind w:left="0" w:right="0"/>
                    <w:jc w:val="center"/>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7D27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34" w:type="pct"/>
                  <w:vMerge w:val="restart"/>
                  <w:tcBorders>
                    <w:tl2br w:val="nil"/>
                    <w:tr2bl w:val="nil"/>
                  </w:tcBorders>
                  <w:noWrap w:val="0"/>
                  <w:vAlign w:val="center"/>
                </w:tcPr>
                <w:p w14:paraId="3329C98F">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公用</w:t>
                  </w:r>
                </w:p>
                <w:p w14:paraId="46AB9D1F">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工程</w:t>
                  </w:r>
                </w:p>
              </w:tc>
              <w:tc>
                <w:tcPr>
                  <w:tcW w:w="1070" w:type="pct"/>
                  <w:gridSpan w:val="2"/>
                  <w:tcBorders>
                    <w:tl2br w:val="nil"/>
                    <w:tr2bl w:val="nil"/>
                  </w:tcBorders>
                  <w:noWrap w:val="0"/>
                  <w:vAlign w:val="center"/>
                </w:tcPr>
                <w:p w14:paraId="2FCD54CB">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给水</w:t>
                  </w:r>
                </w:p>
              </w:tc>
              <w:tc>
                <w:tcPr>
                  <w:tcW w:w="3061" w:type="pct"/>
                  <w:tcBorders>
                    <w:tl2br w:val="nil"/>
                    <w:tr2bl w:val="nil"/>
                  </w:tcBorders>
                  <w:noWrap w:val="0"/>
                  <w:vAlign w:val="center"/>
                </w:tcPr>
                <w:p w14:paraId="139F8D24">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市政供水管网接入</w:t>
                  </w:r>
                </w:p>
              </w:tc>
              <w:tc>
                <w:tcPr>
                  <w:tcW w:w="432" w:type="pct"/>
                  <w:tcBorders>
                    <w:tl2br w:val="nil"/>
                    <w:tr2bl w:val="nil"/>
                  </w:tcBorders>
                  <w:noWrap w:val="0"/>
                  <w:vAlign w:val="center"/>
                </w:tcPr>
                <w:p w14:paraId="112017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依托</w:t>
                  </w:r>
                </w:p>
              </w:tc>
            </w:tr>
            <w:tr w14:paraId="2E57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34" w:type="pct"/>
                  <w:vMerge w:val="continue"/>
                  <w:tcBorders>
                    <w:tl2br w:val="nil"/>
                    <w:tr2bl w:val="nil"/>
                  </w:tcBorders>
                  <w:noWrap w:val="0"/>
                  <w:vAlign w:val="center"/>
                </w:tcPr>
                <w:p w14:paraId="1ABCCB69">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656693BB">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排水</w:t>
                  </w:r>
                </w:p>
              </w:tc>
              <w:tc>
                <w:tcPr>
                  <w:tcW w:w="3061" w:type="pct"/>
                  <w:tcBorders>
                    <w:tl2br w:val="nil"/>
                    <w:tr2bl w:val="nil"/>
                  </w:tcBorders>
                  <w:noWrap w:val="0"/>
                  <w:vAlign w:val="center"/>
                </w:tcPr>
                <w:p w14:paraId="246CC8D8">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雨污分流，污水管网</w:t>
                  </w:r>
                </w:p>
              </w:tc>
              <w:tc>
                <w:tcPr>
                  <w:tcW w:w="432" w:type="pct"/>
                  <w:tcBorders>
                    <w:tl2br w:val="nil"/>
                    <w:tr2bl w:val="nil"/>
                  </w:tcBorders>
                  <w:noWrap w:val="0"/>
                  <w:vAlign w:val="center"/>
                </w:tcPr>
                <w:p w14:paraId="108A86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依托</w:t>
                  </w:r>
                </w:p>
              </w:tc>
            </w:tr>
            <w:tr w14:paraId="5FEF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34" w:type="pct"/>
                  <w:vMerge w:val="continue"/>
                  <w:tcBorders>
                    <w:tl2br w:val="nil"/>
                    <w:tr2bl w:val="nil"/>
                  </w:tcBorders>
                  <w:noWrap w:val="0"/>
                  <w:vAlign w:val="center"/>
                </w:tcPr>
                <w:p w14:paraId="77A575EE">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09184FFB">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供</w:t>
                  </w:r>
                  <w:r>
                    <w:rPr>
                      <w:rFonts w:hint="default" w:ascii="Times New Roman" w:hAnsi="Times New Roman" w:eastAsia="宋体" w:cs="Times New Roman"/>
                      <w:color w:val="auto"/>
                      <w:kern w:val="2"/>
                      <w:sz w:val="21"/>
                      <w:szCs w:val="21"/>
                      <w:highlight w:val="none"/>
                      <w:u w:val="none"/>
                      <w:lang w:val="en-US" w:eastAsia="zh-CN" w:bidi="ar-SA"/>
                    </w:rPr>
                    <w:t>电</w:t>
                  </w:r>
                </w:p>
              </w:tc>
              <w:tc>
                <w:tcPr>
                  <w:tcW w:w="3061" w:type="pct"/>
                  <w:tcBorders>
                    <w:tl2br w:val="nil"/>
                    <w:tr2bl w:val="nil"/>
                  </w:tcBorders>
                  <w:noWrap w:val="0"/>
                  <w:vAlign w:val="center"/>
                </w:tcPr>
                <w:p w14:paraId="35E3ED15">
                  <w:pPr>
                    <w:pStyle w:val="125"/>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由</w:t>
                  </w:r>
                  <w:r>
                    <w:rPr>
                      <w:rFonts w:hint="eastAsia" w:ascii="Times New Roman" w:hAnsi="Times New Roman" w:eastAsia="宋体" w:cs="Times New Roman"/>
                      <w:color w:val="auto"/>
                      <w:kern w:val="2"/>
                      <w:sz w:val="21"/>
                      <w:szCs w:val="21"/>
                      <w:highlight w:val="none"/>
                      <w:u w:val="none"/>
                      <w:lang w:val="en-US" w:eastAsia="zh-CN" w:bidi="ar-SA"/>
                    </w:rPr>
                    <w:t>市政</w:t>
                  </w:r>
                  <w:r>
                    <w:rPr>
                      <w:rFonts w:hint="default" w:ascii="Times New Roman" w:hAnsi="Times New Roman" w:eastAsia="宋体" w:cs="Times New Roman"/>
                      <w:color w:val="auto"/>
                      <w:kern w:val="2"/>
                      <w:sz w:val="21"/>
                      <w:szCs w:val="21"/>
                      <w:highlight w:val="none"/>
                      <w:u w:val="none"/>
                      <w:lang w:val="en-US" w:eastAsia="zh-CN" w:bidi="ar-SA"/>
                    </w:rPr>
                    <w:t>电网提供</w:t>
                  </w:r>
                </w:p>
              </w:tc>
              <w:tc>
                <w:tcPr>
                  <w:tcW w:w="432" w:type="pct"/>
                  <w:tcBorders>
                    <w:tl2br w:val="nil"/>
                    <w:tr2bl w:val="nil"/>
                  </w:tcBorders>
                  <w:noWrap w:val="0"/>
                  <w:vAlign w:val="center"/>
                </w:tcPr>
                <w:p w14:paraId="1FFA1F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依托</w:t>
                  </w:r>
                </w:p>
              </w:tc>
            </w:tr>
            <w:tr w14:paraId="2757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4" w:type="pct"/>
                  <w:vMerge w:val="restart"/>
                  <w:tcBorders>
                    <w:tl2br w:val="nil"/>
                    <w:tr2bl w:val="nil"/>
                  </w:tcBorders>
                  <w:noWrap w:val="0"/>
                  <w:vAlign w:val="center"/>
                </w:tcPr>
                <w:p w14:paraId="5868DC42">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环保</w:t>
                  </w:r>
                </w:p>
                <w:p w14:paraId="6F533751">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工程</w:t>
                  </w:r>
                </w:p>
              </w:tc>
              <w:tc>
                <w:tcPr>
                  <w:tcW w:w="394" w:type="pct"/>
                  <w:vMerge w:val="restart"/>
                  <w:tcBorders>
                    <w:tl2br w:val="nil"/>
                    <w:tr2bl w:val="nil"/>
                  </w:tcBorders>
                  <w:noWrap w:val="0"/>
                  <w:vAlign w:val="center"/>
                </w:tcPr>
                <w:p w14:paraId="7F318955">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废气防治措施</w:t>
                  </w:r>
                </w:p>
              </w:tc>
              <w:tc>
                <w:tcPr>
                  <w:tcW w:w="676" w:type="pct"/>
                  <w:tcBorders>
                    <w:tl2br w:val="nil"/>
                    <w:tr2bl w:val="nil"/>
                  </w:tcBorders>
                  <w:noWrap w:val="0"/>
                  <w:vAlign w:val="center"/>
                </w:tcPr>
                <w:p w14:paraId="7A58CA1C">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高频淬火油烟</w:t>
                  </w:r>
                </w:p>
              </w:tc>
              <w:tc>
                <w:tcPr>
                  <w:tcW w:w="3061" w:type="pct"/>
                  <w:tcBorders>
                    <w:tl2br w:val="nil"/>
                    <w:tr2bl w:val="nil"/>
                  </w:tcBorders>
                  <w:noWrap w:val="0"/>
                  <w:vAlign w:val="center"/>
                </w:tcPr>
                <w:p w14:paraId="23581903">
                  <w:pPr>
                    <w:pStyle w:val="125"/>
                    <w:keepNext w:val="0"/>
                    <w:keepLines w:val="0"/>
                    <w:numPr>
                      <w:ilvl w:val="0"/>
                      <w:numId w:val="0"/>
                    </w:numPr>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使用水性水性淬火剂，无组织排放</w:t>
                  </w:r>
                </w:p>
              </w:tc>
              <w:tc>
                <w:tcPr>
                  <w:tcW w:w="432" w:type="pct"/>
                  <w:tcBorders>
                    <w:tl2br w:val="nil"/>
                    <w:tr2bl w:val="nil"/>
                  </w:tcBorders>
                  <w:noWrap w:val="0"/>
                  <w:vAlign w:val="center"/>
                </w:tcPr>
                <w:p w14:paraId="50F7BA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28F2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434" w:type="pct"/>
                  <w:vMerge w:val="continue"/>
                  <w:tcBorders>
                    <w:tl2br w:val="nil"/>
                    <w:tr2bl w:val="nil"/>
                  </w:tcBorders>
                  <w:noWrap w:val="0"/>
                  <w:vAlign w:val="center"/>
                </w:tcPr>
                <w:p w14:paraId="7D4B4778">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394" w:type="pct"/>
                  <w:vMerge w:val="continue"/>
                  <w:tcBorders>
                    <w:tl2br w:val="nil"/>
                    <w:tr2bl w:val="nil"/>
                  </w:tcBorders>
                  <w:noWrap w:val="0"/>
                  <w:vAlign w:val="center"/>
                </w:tcPr>
                <w:p w14:paraId="5920AEC0">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676" w:type="pct"/>
                  <w:tcBorders>
                    <w:tl2br w:val="nil"/>
                    <w:tr2bl w:val="nil"/>
                  </w:tcBorders>
                  <w:noWrap w:val="0"/>
                  <w:vAlign w:val="center"/>
                </w:tcPr>
                <w:p w14:paraId="18873611">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机加工废气</w:t>
                  </w:r>
                </w:p>
              </w:tc>
              <w:tc>
                <w:tcPr>
                  <w:tcW w:w="3061" w:type="pct"/>
                  <w:tcBorders>
                    <w:tl2br w:val="nil"/>
                    <w:tr2bl w:val="nil"/>
                  </w:tcBorders>
                  <w:noWrap w:val="0"/>
                  <w:vAlign w:val="center"/>
                </w:tcPr>
                <w:p w14:paraId="3E631DE5">
                  <w:pPr>
                    <w:pStyle w:val="125"/>
                    <w:keepNext w:val="0"/>
                    <w:keepLines w:val="0"/>
                    <w:numPr>
                      <w:ilvl w:val="0"/>
                      <w:numId w:val="0"/>
                    </w:numPr>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密闭机床加工+负压收集+机械过滤</w:t>
                  </w:r>
                </w:p>
              </w:tc>
              <w:tc>
                <w:tcPr>
                  <w:tcW w:w="432" w:type="pct"/>
                  <w:tcBorders>
                    <w:tl2br w:val="nil"/>
                    <w:tr2bl w:val="nil"/>
                  </w:tcBorders>
                  <w:noWrap w:val="0"/>
                  <w:vAlign w:val="center"/>
                </w:tcPr>
                <w:p w14:paraId="6ED54C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618C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4" w:type="pct"/>
                  <w:vMerge w:val="continue"/>
                  <w:tcBorders>
                    <w:tl2br w:val="nil"/>
                    <w:tr2bl w:val="nil"/>
                  </w:tcBorders>
                  <w:noWrap w:val="0"/>
                  <w:vAlign w:val="center"/>
                </w:tcPr>
                <w:p w14:paraId="7140328A">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394" w:type="pct"/>
                  <w:vMerge w:val="continue"/>
                  <w:tcBorders>
                    <w:tl2br w:val="nil"/>
                    <w:tr2bl w:val="nil"/>
                  </w:tcBorders>
                  <w:noWrap w:val="0"/>
                  <w:vAlign w:val="center"/>
                </w:tcPr>
                <w:p w14:paraId="37452CB8">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676" w:type="pct"/>
                  <w:tcBorders>
                    <w:tl2br w:val="nil"/>
                    <w:tr2bl w:val="nil"/>
                  </w:tcBorders>
                  <w:noWrap w:val="0"/>
                  <w:vAlign w:val="center"/>
                </w:tcPr>
                <w:p w14:paraId="29891F72">
                  <w:pPr>
                    <w:pStyle w:val="125"/>
                    <w:keepNext w:val="0"/>
                    <w:keepLines w:val="0"/>
                    <w:suppressLineNumbers w:val="0"/>
                    <w:spacing w:before="0" w:beforeAutospacing="0" w:after="0" w:afterAutospacing="0"/>
                    <w:ind w:left="0" w:right="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表面喷砂处理废气</w:t>
                  </w:r>
                </w:p>
              </w:tc>
              <w:tc>
                <w:tcPr>
                  <w:tcW w:w="3061" w:type="pct"/>
                  <w:tcBorders>
                    <w:tl2br w:val="nil"/>
                    <w:tr2bl w:val="nil"/>
                  </w:tcBorders>
                  <w:noWrap w:val="0"/>
                  <w:vAlign w:val="center"/>
                </w:tcPr>
                <w:p w14:paraId="7A0EF0BC">
                  <w:pPr>
                    <w:pStyle w:val="125"/>
                    <w:keepNext w:val="0"/>
                    <w:keepLines w:val="0"/>
                    <w:numPr>
                      <w:ilvl w:val="0"/>
                      <w:numId w:val="0"/>
                    </w:numPr>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密闭机床加工+设备自带收集处理装置（布袋除尘）+15m高排气筒</w:t>
                  </w:r>
                </w:p>
              </w:tc>
              <w:tc>
                <w:tcPr>
                  <w:tcW w:w="432" w:type="pct"/>
                  <w:tcBorders>
                    <w:tl2br w:val="nil"/>
                    <w:tr2bl w:val="nil"/>
                  </w:tcBorders>
                  <w:noWrap w:val="0"/>
                  <w:vAlign w:val="center"/>
                </w:tcPr>
                <w:p w14:paraId="62AFFE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3B0F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34" w:type="pct"/>
                  <w:vMerge w:val="continue"/>
                  <w:tcBorders>
                    <w:tl2br w:val="nil"/>
                    <w:tr2bl w:val="nil"/>
                  </w:tcBorders>
                  <w:noWrap w:val="0"/>
                  <w:vAlign w:val="center"/>
                </w:tcPr>
                <w:p w14:paraId="1D87AE97">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394" w:type="pct"/>
                  <w:tcBorders>
                    <w:tl2br w:val="nil"/>
                    <w:tr2bl w:val="nil"/>
                  </w:tcBorders>
                  <w:noWrap w:val="0"/>
                  <w:vAlign w:val="center"/>
                </w:tcPr>
                <w:p w14:paraId="58A01B28">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废水治理措施</w:t>
                  </w:r>
                </w:p>
              </w:tc>
              <w:tc>
                <w:tcPr>
                  <w:tcW w:w="676" w:type="pct"/>
                  <w:tcBorders>
                    <w:tl2br w:val="nil"/>
                    <w:tr2bl w:val="nil"/>
                  </w:tcBorders>
                  <w:noWrap w:val="0"/>
                  <w:vAlign w:val="center"/>
                </w:tcPr>
                <w:p w14:paraId="43536A20">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生活污水</w:t>
                  </w:r>
                </w:p>
              </w:tc>
              <w:tc>
                <w:tcPr>
                  <w:tcW w:w="3061" w:type="pct"/>
                  <w:tcBorders>
                    <w:tl2br w:val="nil"/>
                    <w:tr2bl w:val="nil"/>
                  </w:tcBorders>
                  <w:noWrap w:val="0"/>
                  <w:vAlign w:val="center"/>
                </w:tcPr>
                <w:p w14:paraId="0B46131E">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经化粪池处理后排入园区管网，进入湘阴县第二污水处理厂深度处理；</w:t>
                  </w:r>
                </w:p>
              </w:tc>
              <w:tc>
                <w:tcPr>
                  <w:tcW w:w="432" w:type="pct"/>
                  <w:tcBorders>
                    <w:tl2br w:val="nil"/>
                    <w:tr2bl w:val="nil"/>
                  </w:tcBorders>
                  <w:noWrap w:val="0"/>
                  <w:vAlign w:val="center"/>
                </w:tcPr>
                <w:p w14:paraId="1CEE52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新建</w:t>
                  </w:r>
                </w:p>
              </w:tc>
            </w:tr>
            <w:tr w14:paraId="7D32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34" w:type="pct"/>
                  <w:vMerge w:val="continue"/>
                  <w:tcBorders>
                    <w:tl2br w:val="nil"/>
                    <w:tr2bl w:val="nil"/>
                  </w:tcBorders>
                  <w:noWrap w:val="0"/>
                  <w:vAlign w:val="center"/>
                </w:tcPr>
                <w:p w14:paraId="79D747F0">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068B8739">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噪声防治措施</w:t>
                  </w:r>
                </w:p>
              </w:tc>
              <w:tc>
                <w:tcPr>
                  <w:tcW w:w="3061" w:type="pct"/>
                  <w:tcBorders>
                    <w:tl2br w:val="nil"/>
                    <w:tr2bl w:val="nil"/>
                  </w:tcBorders>
                  <w:noWrap w:val="0"/>
                  <w:vAlign w:val="center"/>
                </w:tcPr>
                <w:p w14:paraId="73AC5AF5">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优先选用低噪声设备，合理布局高噪声设备，</w:t>
                  </w:r>
                  <w:r>
                    <w:rPr>
                      <w:rFonts w:hint="eastAsia" w:cs="Times New Roman"/>
                      <w:color w:val="auto"/>
                      <w:kern w:val="2"/>
                      <w:sz w:val="21"/>
                      <w:szCs w:val="21"/>
                      <w:highlight w:val="none"/>
                      <w:u w:val="none"/>
                      <w:lang w:val="en-US" w:eastAsia="zh-CN" w:bidi="ar-SA"/>
                    </w:rPr>
                    <w:t>厂房</w:t>
                  </w:r>
                  <w:r>
                    <w:rPr>
                      <w:rFonts w:hint="default" w:ascii="Times New Roman" w:hAnsi="Times New Roman" w:eastAsia="宋体" w:cs="Times New Roman"/>
                      <w:color w:val="auto"/>
                      <w:kern w:val="2"/>
                      <w:sz w:val="21"/>
                      <w:szCs w:val="21"/>
                      <w:highlight w:val="none"/>
                      <w:u w:val="none"/>
                      <w:lang w:val="en-US" w:eastAsia="zh-CN" w:bidi="ar-SA"/>
                    </w:rPr>
                    <w:t>隔声等降噪措施。</w:t>
                  </w:r>
                </w:p>
              </w:tc>
              <w:tc>
                <w:tcPr>
                  <w:tcW w:w="432" w:type="pct"/>
                  <w:tcBorders>
                    <w:tl2br w:val="nil"/>
                    <w:tr2bl w:val="nil"/>
                  </w:tcBorders>
                  <w:noWrap w:val="0"/>
                  <w:vAlign w:val="center"/>
                </w:tcPr>
                <w:p w14:paraId="4A8438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50CE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34" w:type="pct"/>
                  <w:vMerge w:val="continue"/>
                  <w:tcBorders>
                    <w:tl2br w:val="nil"/>
                    <w:tr2bl w:val="nil"/>
                  </w:tcBorders>
                  <w:noWrap w:val="0"/>
                  <w:vAlign w:val="center"/>
                </w:tcPr>
                <w:p w14:paraId="413F2878">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7EB759CB">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固废防治措施</w:t>
                  </w:r>
                </w:p>
              </w:tc>
              <w:tc>
                <w:tcPr>
                  <w:tcW w:w="3061" w:type="pct"/>
                  <w:tcBorders>
                    <w:tl2br w:val="nil"/>
                    <w:tr2bl w:val="nil"/>
                  </w:tcBorders>
                  <w:noWrap w:val="0"/>
                  <w:vAlign w:val="center"/>
                </w:tcPr>
                <w:p w14:paraId="78F3D9C7">
                  <w:pPr>
                    <w:pStyle w:val="12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一般</w:t>
                  </w:r>
                  <w:r>
                    <w:rPr>
                      <w:rFonts w:hint="default" w:ascii="Times New Roman" w:hAnsi="Times New Roman" w:eastAsia="宋体" w:cs="Times New Roman"/>
                      <w:color w:val="auto"/>
                      <w:kern w:val="2"/>
                      <w:sz w:val="21"/>
                      <w:szCs w:val="21"/>
                      <w:highlight w:val="none"/>
                      <w:u w:val="none"/>
                      <w:lang w:val="en-US" w:eastAsia="zh-CN" w:bidi="ar-SA"/>
                    </w:rPr>
                    <w:t>工业固废</w:t>
                  </w:r>
                  <w:r>
                    <w:rPr>
                      <w:rFonts w:hint="eastAsia" w:cs="Times New Roman"/>
                      <w:color w:val="auto"/>
                      <w:kern w:val="2"/>
                      <w:sz w:val="21"/>
                      <w:szCs w:val="21"/>
                      <w:highlight w:val="none"/>
                      <w:u w:val="none"/>
                      <w:lang w:val="en-US" w:eastAsia="zh-CN" w:bidi="ar-SA"/>
                    </w:rPr>
                    <w:t>（建设一般固废暂存间位于厂房外占地面积57m</w:t>
                  </w:r>
                  <w:r>
                    <w:rPr>
                      <w:rFonts w:hint="eastAsia" w:cs="Times New Roman"/>
                      <w:color w:val="auto"/>
                      <w:kern w:val="2"/>
                      <w:sz w:val="21"/>
                      <w:szCs w:val="21"/>
                      <w:highlight w:val="none"/>
                      <w:u w:val="none"/>
                      <w:vertAlign w:val="superscript"/>
                      <w:lang w:val="en-US" w:eastAsia="zh-CN" w:bidi="ar-SA"/>
                    </w:rPr>
                    <w:t>2</w:t>
                  </w:r>
                  <w:r>
                    <w:rPr>
                      <w:rFonts w:hint="eastAsia" w:cs="Times New Roman"/>
                      <w:color w:val="auto"/>
                      <w:kern w:val="2"/>
                      <w:sz w:val="21"/>
                      <w:szCs w:val="21"/>
                      <w:highlight w:val="none"/>
                      <w:u w:val="none"/>
                      <w:lang w:val="en-US" w:eastAsia="zh-CN" w:bidi="ar-SA"/>
                    </w:rPr>
                    <w:t>），</w:t>
                  </w:r>
                  <w:r>
                    <w:rPr>
                      <w:rFonts w:hint="eastAsia"/>
                      <w:u w:val="none"/>
                      <w:lang w:val="en-US" w:eastAsia="zh-CN"/>
                    </w:rPr>
                    <w:t>有利用价值的由废品回收站回收再利用；危废主要为含油废铁屑、废润滑油等，建设有两个危废暂存间，一个为含油废铁屑暂存间（57m</w:t>
                  </w:r>
                  <w:r>
                    <w:rPr>
                      <w:rFonts w:hint="eastAsia"/>
                      <w:u w:val="none"/>
                      <w:vertAlign w:val="superscript"/>
                      <w:lang w:val="en-US" w:eastAsia="zh-CN"/>
                    </w:rPr>
                    <w:t>2</w:t>
                  </w:r>
                  <w:r>
                    <w:rPr>
                      <w:rFonts w:hint="eastAsia"/>
                      <w:u w:val="none"/>
                      <w:lang w:val="en-US" w:eastAsia="zh-CN"/>
                    </w:rPr>
                    <w:t>）、另一个为其他危废暂存间（57m</w:t>
                  </w:r>
                  <w:r>
                    <w:rPr>
                      <w:rFonts w:hint="eastAsia"/>
                      <w:u w:val="none"/>
                      <w:vertAlign w:val="superscript"/>
                      <w:lang w:val="en-US" w:eastAsia="zh-CN"/>
                    </w:rPr>
                    <w:t>2</w:t>
                  </w:r>
                  <w:r>
                    <w:rPr>
                      <w:rFonts w:hint="eastAsia"/>
                      <w:u w:val="none"/>
                      <w:lang w:val="en-US" w:eastAsia="zh-CN"/>
                    </w:rPr>
                    <w:t>），危废集中收集后由有资质单位回收处置</w:t>
                  </w:r>
                  <w:r>
                    <w:rPr>
                      <w:rFonts w:hint="eastAsia" w:ascii="Times New Roman" w:hAnsi="Times New Roman" w:eastAsia="宋体" w:cs="Times New Roman"/>
                      <w:color w:val="auto"/>
                      <w:kern w:val="2"/>
                      <w:sz w:val="21"/>
                      <w:szCs w:val="21"/>
                      <w:highlight w:val="none"/>
                      <w:u w:val="none"/>
                      <w:lang w:val="en-US" w:eastAsia="zh-CN" w:bidi="ar-SA"/>
                    </w:rPr>
                    <w:t>。</w:t>
                  </w:r>
                </w:p>
              </w:tc>
              <w:tc>
                <w:tcPr>
                  <w:tcW w:w="432" w:type="pct"/>
                  <w:tcBorders>
                    <w:tl2br w:val="nil"/>
                    <w:tr2bl w:val="nil"/>
                  </w:tcBorders>
                  <w:noWrap w:val="0"/>
                  <w:vAlign w:val="center"/>
                </w:tcPr>
                <w:p w14:paraId="23B208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r w14:paraId="1906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434" w:type="pct"/>
                  <w:vMerge w:val="continue"/>
                  <w:tcBorders>
                    <w:tl2br w:val="nil"/>
                    <w:tr2bl w:val="nil"/>
                  </w:tcBorders>
                  <w:noWrap w:val="0"/>
                  <w:vAlign w:val="center"/>
                </w:tcPr>
                <w:p w14:paraId="53077A9D">
                  <w:pPr>
                    <w:pStyle w:val="12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p>
              </w:tc>
              <w:tc>
                <w:tcPr>
                  <w:tcW w:w="1070" w:type="pct"/>
                  <w:gridSpan w:val="2"/>
                  <w:tcBorders>
                    <w:tl2br w:val="nil"/>
                    <w:tr2bl w:val="nil"/>
                  </w:tcBorders>
                  <w:noWrap w:val="0"/>
                  <w:vAlign w:val="center"/>
                </w:tcPr>
                <w:p w14:paraId="7FECB44A">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风险防范</w:t>
                  </w:r>
                </w:p>
              </w:tc>
              <w:tc>
                <w:tcPr>
                  <w:tcW w:w="3061" w:type="pct"/>
                  <w:tcBorders>
                    <w:tl2br w:val="nil"/>
                    <w:tr2bl w:val="nil"/>
                  </w:tcBorders>
                  <w:noWrap w:val="0"/>
                  <w:vAlign w:val="center"/>
                </w:tcPr>
                <w:p w14:paraId="2DEEA7AD">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加强对固废及危废的管理，建立台账管理制度。</w:t>
                  </w:r>
                </w:p>
              </w:tc>
              <w:tc>
                <w:tcPr>
                  <w:tcW w:w="432" w:type="pct"/>
                  <w:tcBorders>
                    <w:tl2br w:val="nil"/>
                    <w:tr2bl w:val="nil"/>
                  </w:tcBorders>
                  <w:noWrap w:val="0"/>
                  <w:vAlign w:val="center"/>
                </w:tcPr>
                <w:p w14:paraId="785D95E3">
                  <w:pPr>
                    <w:pStyle w:val="1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新建</w:t>
                  </w:r>
                </w:p>
              </w:tc>
            </w:tr>
          </w:tbl>
          <w:p w14:paraId="6C189B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现有工程</w:t>
            </w:r>
            <w:r>
              <w:rPr>
                <w:rFonts w:hint="eastAsia" w:ascii="Times New Roman" w:hAnsi="Times New Roman" w:eastAsia="宋体" w:cs="Times New Roman"/>
                <w:b/>
                <w:bCs/>
                <w:color w:val="auto"/>
                <w:kern w:val="2"/>
                <w:sz w:val="24"/>
                <w:szCs w:val="24"/>
                <w:highlight w:val="none"/>
                <w:lang w:val="en-US" w:eastAsia="zh-CN" w:bidi="ar-SA"/>
              </w:rPr>
              <w:t>生产规模</w:t>
            </w:r>
          </w:p>
          <w:p w14:paraId="52FC4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本项目主要产品为线轨和滑块，</w:t>
            </w:r>
            <w:r>
              <w:rPr>
                <w:rFonts w:hint="default" w:ascii="Times New Roman" w:hAnsi="Times New Roman" w:eastAsia="宋体" w:cs="Times New Roman"/>
                <w:color w:val="auto"/>
                <w:kern w:val="2"/>
                <w:sz w:val="24"/>
                <w:szCs w:val="24"/>
                <w:highlight w:val="none"/>
                <w:lang w:val="en-US" w:eastAsia="zh-CN" w:bidi="ar-SA"/>
              </w:rPr>
              <w:t>项目产品方案见</w:t>
            </w:r>
            <w:r>
              <w:rPr>
                <w:rFonts w:hint="eastAsia" w:cs="Times New Roman"/>
                <w:color w:val="auto"/>
                <w:kern w:val="2"/>
                <w:sz w:val="24"/>
                <w:szCs w:val="24"/>
                <w:highlight w:val="none"/>
                <w:lang w:val="en-US" w:eastAsia="zh-CN" w:bidi="ar-SA"/>
              </w:rPr>
              <w:t>下表</w:t>
            </w:r>
            <w:r>
              <w:rPr>
                <w:rFonts w:hint="default" w:ascii="Times New Roman" w:hAnsi="Times New Roman" w:eastAsia="宋体" w:cs="Times New Roman"/>
                <w:color w:val="auto"/>
                <w:kern w:val="2"/>
                <w:sz w:val="24"/>
                <w:szCs w:val="24"/>
                <w:highlight w:val="none"/>
                <w:lang w:val="en-US" w:eastAsia="zh-CN" w:bidi="ar-SA"/>
              </w:rPr>
              <w:t>。</w:t>
            </w:r>
          </w:p>
          <w:p w14:paraId="2BF63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9</w:t>
            </w:r>
            <w:r>
              <w:rPr>
                <w:rFonts w:hint="default" w:ascii="Times New Roman" w:hAnsi="Times New Roman" w:eastAsia="宋体" w:cs="Times New Roman"/>
                <w:b/>
                <w:bCs/>
                <w:color w:val="auto"/>
                <w:kern w:val="2"/>
                <w:sz w:val="24"/>
                <w:szCs w:val="24"/>
                <w:highlight w:val="none"/>
                <w:lang w:val="en-US" w:eastAsia="zh-CN" w:bidi="ar-SA"/>
              </w:rPr>
              <w:t xml:space="preserve">  项目产品生产方案</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9"/>
              <w:gridCol w:w="2103"/>
              <w:gridCol w:w="2841"/>
            </w:tblGrid>
            <w:tr w14:paraId="0FDA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4" w:type="dxa"/>
                  <w:vMerge w:val="restart"/>
                  <w:vAlign w:val="center"/>
                </w:tcPr>
                <w:p w14:paraId="4EC774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产品类型、规格及生产规模（年产量）</w:t>
                  </w:r>
                </w:p>
              </w:tc>
              <w:tc>
                <w:tcPr>
                  <w:tcW w:w="1210" w:type="dxa"/>
                  <w:vAlign w:val="center"/>
                </w:tcPr>
                <w:p w14:paraId="37AC0A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产品</w:t>
                  </w:r>
                </w:p>
              </w:tc>
              <w:tc>
                <w:tcPr>
                  <w:tcW w:w="1635" w:type="dxa"/>
                  <w:vAlign w:val="center"/>
                </w:tcPr>
                <w:p w14:paraId="303034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变更前设计产能</w:t>
                  </w:r>
                </w:p>
              </w:tc>
            </w:tr>
            <w:tr w14:paraId="7858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04" w:type="dxa"/>
                  <w:vMerge w:val="continue"/>
                  <w:vAlign w:val="center"/>
                </w:tcPr>
                <w:p w14:paraId="760400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210" w:type="dxa"/>
                  <w:vAlign w:val="center"/>
                </w:tcPr>
                <w:p w14:paraId="220203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线轨</w:t>
                  </w:r>
                </w:p>
              </w:tc>
              <w:tc>
                <w:tcPr>
                  <w:tcW w:w="1635" w:type="dxa"/>
                  <w:vAlign w:val="center"/>
                </w:tcPr>
                <w:p w14:paraId="22ABA5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160000条</w:t>
                  </w:r>
                </w:p>
              </w:tc>
            </w:tr>
            <w:tr w14:paraId="2513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904" w:type="dxa"/>
                  <w:vMerge w:val="continue"/>
                  <w:vAlign w:val="center"/>
                </w:tcPr>
                <w:p w14:paraId="70CDCB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210" w:type="dxa"/>
                  <w:vAlign w:val="center"/>
                </w:tcPr>
                <w:p w14:paraId="5D8A1CB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滑块</w:t>
                  </w:r>
                </w:p>
              </w:tc>
              <w:tc>
                <w:tcPr>
                  <w:tcW w:w="1635" w:type="dxa"/>
                  <w:vAlign w:val="center"/>
                </w:tcPr>
                <w:p w14:paraId="533EA2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540000件</w:t>
                  </w:r>
                </w:p>
              </w:tc>
            </w:tr>
          </w:tbl>
          <w:p w14:paraId="33D9D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现有工程</w:t>
            </w:r>
            <w:r>
              <w:rPr>
                <w:rFonts w:hint="default" w:ascii="Times New Roman" w:hAnsi="Times New Roman" w:eastAsia="宋体" w:cs="Times New Roman"/>
                <w:b/>
                <w:bCs/>
                <w:color w:val="auto"/>
                <w:kern w:val="2"/>
                <w:sz w:val="24"/>
                <w:szCs w:val="24"/>
                <w:highlight w:val="none"/>
                <w:lang w:val="en-US" w:eastAsia="zh-CN" w:bidi="ar-SA"/>
              </w:rPr>
              <w:t>主要生产设施</w:t>
            </w:r>
          </w:p>
          <w:p w14:paraId="43529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现有工程</w:t>
            </w:r>
            <w:r>
              <w:rPr>
                <w:rFonts w:hint="default" w:ascii="Times New Roman" w:hAnsi="Times New Roman" w:eastAsia="宋体" w:cs="Times New Roman"/>
                <w:color w:val="auto"/>
                <w:kern w:val="2"/>
                <w:sz w:val="24"/>
                <w:szCs w:val="24"/>
                <w:highlight w:val="none"/>
                <w:lang w:val="en-US" w:eastAsia="zh-CN" w:bidi="ar-SA"/>
              </w:rPr>
              <w:t>主要生产设施见下表：</w:t>
            </w:r>
          </w:p>
          <w:p w14:paraId="4A7D73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表2-</w:t>
            </w:r>
            <w:r>
              <w:rPr>
                <w:rFonts w:hint="eastAsia" w:cs="Times New Roman"/>
                <w:b/>
                <w:bCs/>
                <w:color w:val="auto"/>
                <w:kern w:val="2"/>
                <w:sz w:val="24"/>
                <w:szCs w:val="24"/>
                <w:highlight w:val="none"/>
                <w:u w:val="none"/>
                <w:lang w:val="en-US" w:eastAsia="zh-CN" w:bidi="ar-SA"/>
              </w:rPr>
              <w:t>10</w:t>
            </w:r>
            <w:r>
              <w:rPr>
                <w:rFonts w:hint="default" w:ascii="Times New Roman" w:hAnsi="Times New Roman" w:eastAsia="宋体" w:cs="Times New Roman"/>
                <w:b/>
                <w:bCs/>
                <w:color w:val="auto"/>
                <w:kern w:val="2"/>
                <w:sz w:val="24"/>
                <w:szCs w:val="24"/>
                <w:highlight w:val="none"/>
                <w:u w:val="none"/>
                <w:lang w:val="en-US" w:eastAsia="zh-CN" w:bidi="ar-SA"/>
              </w:rPr>
              <w:t xml:space="preserve">  </w:t>
            </w:r>
            <w:r>
              <w:rPr>
                <w:rFonts w:hint="eastAsia" w:cs="Times New Roman"/>
                <w:b/>
                <w:bCs/>
                <w:color w:val="auto"/>
                <w:kern w:val="2"/>
                <w:sz w:val="24"/>
                <w:szCs w:val="24"/>
                <w:highlight w:val="none"/>
                <w:u w:val="none"/>
                <w:lang w:val="en-US" w:eastAsia="zh-CN" w:bidi="ar-SA"/>
              </w:rPr>
              <w:t>现有工程</w:t>
            </w:r>
            <w:r>
              <w:rPr>
                <w:rFonts w:hint="default" w:ascii="Times New Roman" w:hAnsi="Times New Roman" w:eastAsia="宋体" w:cs="Times New Roman"/>
                <w:b/>
                <w:bCs/>
                <w:color w:val="auto"/>
                <w:kern w:val="2"/>
                <w:sz w:val="24"/>
                <w:szCs w:val="24"/>
                <w:highlight w:val="none"/>
                <w:u w:val="none"/>
                <w:lang w:val="en-US" w:eastAsia="zh-CN" w:bidi="ar-SA"/>
              </w:rPr>
              <w:t>主要生产设施</w:t>
            </w:r>
            <w:r>
              <w:rPr>
                <w:rFonts w:hint="eastAsia" w:ascii="Times New Roman" w:hAnsi="Times New Roman" w:eastAsia="宋体" w:cs="Times New Roman"/>
                <w:b/>
                <w:bCs/>
                <w:color w:val="auto"/>
                <w:kern w:val="2"/>
                <w:sz w:val="24"/>
                <w:szCs w:val="24"/>
                <w:highlight w:val="none"/>
                <w:u w:val="none"/>
                <w:lang w:val="en-US" w:eastAsia="zh-CN" w:bidi="ar-SA"/>
              </w:rPr>
              <w:t>一览</w:t>
            </w:r>
            <w:r>
              <w:rPr>
                <w:rFonts w:hint="default" w:ascii="Times New Roman" w:hAnsi="Times New Roman" w:eastAsia="宋体" w:cs="Times New Roman"/>
                <w:b/>
                <w:bCs/>
                <w:color w:val="auto"/>
                <w:kern w:val="2"/>
                <w:sz w:val="24"/>
                <w:szCs w:val="24"/>
                <w:highlight w:val="none"/>
                <w:u w:val="none"/>
                <w:lang w:val="en-US" w:eastAsia="zh-CN" w:bidi="ar-SA"/>
              </w:rPr>
              <w:t>表</w:t>
            </w:r>
          </w:p>
          <w:tbl>
            <w:tblPr>
              <w:tblStyle w:val="33"/>
              <w:tblW w:w="80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8"/>
              <w:gridCol w:w="2376"/>
              <w:gridCol w:w="754"/>
              <w:gridCol w:w="785"/>
              <w:gridCol w:w="2234"/>
              <w:gridCol w:w="1169"/>
            </w:tblGrid>
            <w:tr w14:paraId="2FE4E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768" w:type="dxa"/>
                  <w:tcBorders>
                    <w:top w:val="single" w:color="000000" w:sz="4" w:space="0"/>
                    <w:left w:val="single" w:color="000000" w:sz="4" w:space="0"/>
                    <w:right w:val="single" w:color="000000" w:sz="4" w:space="0"/>
                  </w:tcBorders>
                  <w:shd w:val="clear" w:color="auto" w:fill="auto"/>
                  <w:vAlign w:val="center"/>
                </w:tcPr>
                <w:p w14:paraId="400B2C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2376" w:type="dxa"/>
                  <w:tcBorders>
                    <w:top w:val="single" w:color="000000" w:sz="4" w:space="0"/>
                    <w:left w:val="single" w:color="000000" w:sz="4" w:space="0"/>
                    <w:right w:val="single" w:color="000000" w:sz="4" w:space="0"/>
                  </w:tcBorders>
                  <w:shd w:val="clear" w:color="auto" w:fill="auto"/>
                  <w:vAlign w:val="center"/>
                </w:tcPr>
                <w:p w14:paraId="0B5B7C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设备名称</w:t>
                  </w:r>
                </w:p>
              </w:tc>
              <w:tc>
                <w:tcPr>
                  <w:tcW w:w="754" w:type="dxa"/>
                  <w:tcBorders>
                    <w:top w:val="single" w:color="000000" w:sz="4" w:space="0"/>
                    <w:left w:val="single" w:color="000000" w:sz="4" w:space="0"/>
                    <w:right w:val="single" w:color="000000" w:sz="4" w:space="0"/>
                  </w:tcBorders>
                  <w:shd w:val="clear" w:color="auto" w:fill="auto"/>
                  <w:vAlign w:val="center"/>
                </w:tcPr>
                <w:p w14:paraId="56CCB1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单位</w:t>
                  </w:r>
                </w:p>
              </w:tc>
              <w:tc>
                <w:tcPr>
                  <w:tcW w:w="785" w:type="dxa"/>
                  <w:tcBorders>
                    <w:top w:val="single" w:color="000000" w:sz="4" w:space="0"/>
                    <w:left w:val="single" w:color="000000" w:sz="4" w:space="0"/>
                    <w:right w:val="single" w:color="000000" w:sz="4" w:space="0"/>
                  </w:tcBorders>
                  <w:shd w:val="clear" w:color="auto" w:fill="auto"/>
                  <w:vAlign w:val="center"/>
                </w:tcPr>
                <w:p w14:paraId="5FD962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A4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型号</w:t>
                  </w:r>
                </w:p>
              </w:tc>
              <w:tc>
                <w:tcPr>
                  <w:tcW w:w="1169" w:type="dxa"/>
                  <w:tcBorders>
                    <w:top w:val="single" w:color="000000" w:sz="4" w:space="0"/>
                    <w:left w:val="single" w:color="000000" w:sz="4" w:space="0"/>
                    <w:right w:val="single" w:color="000000" w:sz="4" w:space="0"/>
                  </w:tcBorders>
                  <w:shd w:val="clear" w:color="auto" w:fill="auto"/>
                  <w:vAlign w:val="center"/>
                </w:tcPr>
                <w:p w14:paraId="46DC79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备注</w:t>
                  </w:r>
                </w:p>
              </w:tc>
            </w:tr>
            <w:tr w14:paraId="4FBA2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ED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5C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线轨</w:t>
                  </w:r>
                  <w:r>
                    <w:rPr>
                      <w:rFonts w:hint="default" w:ascii="Times New Roman" w:hAnsi="Times New Roman" w:eastAsia="宋体" w:cs="Times New Roman"/>
                      <w:i w:val="0"/>
                      <w:iCs w:val="0"/>
                      <w:color w:val="000000"/>
                      <w:kern w:val="0"/>
                      <w:sz w:val="21"/>
                      <w:szCs w:val="21"/>
                      <w:u w:val="none"/>
                      <w:lang w:val="en-US" w:eastAsia="zh-CN" w:bidi="ar"/>
                    </w:rPr>
                    <w:t>高频处理机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3C6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BC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1A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TSDG-4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B16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14:paraId="49F5F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64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DF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校直机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89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51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2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069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YW41-16T</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53C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14:paraId="64551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5C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9D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导轨表面处理机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75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CA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949B">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76B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喷砂</w:t>
                  </w:r>
                </w:p>
              </w:tc>
            </w:tr>
            <w:tr w14:paraId="3EEAD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C6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D8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数控钻孔机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F1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61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E2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HJDK7166-00</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DE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14:paraId="6FEA9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29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34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高精度立磨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F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24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A9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MPL440</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BA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14:paraId="7A879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21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0A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龙门平面磨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B6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41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45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GM-4512</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29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14:paraId="7D794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34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38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导轨球道磨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E1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7B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67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MHL4000G</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52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14:paraId="2E459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60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23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导轨激光打标机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38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A2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B6F5">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B920">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5621C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04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59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导轨防锈处理机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64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FA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29F5">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457C">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332CF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11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EA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包装机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E1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A8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4424">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B2BC">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06221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F0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42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圆盘下料机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79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E4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89EE">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BA71">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71998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77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60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钻铣CNC</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21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0E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95</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4E2D">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88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13936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52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F64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滑块表面处理机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5B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29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97F0">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04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喷砂</w:t>
                  </w:r>
                </w:p>
              </w:tc>
            </w:tr>
            <w:tr w14:paraId="27EC1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00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73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平面磨床</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BF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D9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E50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SG-104SD</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837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458F8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C6B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B9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平侧磨床</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0E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45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92E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MHHK-24SP</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92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315D9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966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96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滑块球道磨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1A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5B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2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126D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MHHK-8D</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E36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4A2E7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5E3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63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滑块组装线</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D8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条</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10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99B4">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6E3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789BC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DC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C8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滑块激光打标机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4C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39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A202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LS-MFP30L-C</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0651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51334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18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B0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滑块防锈处理机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84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16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4AE2">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444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7D51A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3C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9F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滑块包装机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1B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C8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447D">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0A9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2ABB2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4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24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砂轮切割机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F7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0F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87E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37B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4971C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D0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EC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倒角机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3E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E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B5224">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631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25C80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B2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09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线切割</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BB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3E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66C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1A5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1BB30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8B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B8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端面磨床</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85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04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51C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MF-350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3A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1BDD5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B5B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B0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配对打标机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B8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B4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58F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LS-MFP30L-S-4M</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493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60044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16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7B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平面磨床(配磨用)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89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68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15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KGS-4012MC</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E6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w:t>
                  </w:r>
                </w:p>
              </w:tc>
            </w:tr>
            <w:tr w14:paraId="04FE7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E7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C7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防锈包装机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EB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01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112A">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0BC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2D409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5F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CD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辅助恒温设备</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6B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C1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09F5">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5C0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bl>
          <w:p w14:paraId="29F864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现有</w:t>
            </w:r>
            <w:r>
              <w:rPr>
                <w:rFonts w:hint="default" w:ascii="Times New Roman" w:hAnsi="Times New Roman" w:eastAsia="宋体" w:cs="Times New Roman"/>
                <w:b/>
                <w:bCs/>
                <w:color w:val="auto"/>
                <w:kern w:val="2"/>
                <w:sz w:val="24"/>
                <w:szCs w:val="24"/>
                <w:highlight w:val="none"/>
                <w:lang w:val="en-US" w:eastAsia="zh-CN" w:bidi="ar-SA"/>
              </w:rPr>
              <w:t>主要原辅材料的种类和用量</w:t>
            </w:r>
          </w:p>
          <w:p w14:paraId="44D842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现有工程</w:t>
            </w:r>
            <w:r>
              <w:rPr>
                <w:rFonts w:hint="default" w:ascii="Times New Roman" w:hAnsi="Times New Roman" w:eastAsia="宋体" w:cs="Times New Roman"/>
                <w:color w:val="auto"/>
                <w:kern w:val="2"/>
                <w:sz w:val="24"/>
                <w:szCs w:val="24"/>
                <w:highlight w:val="none"/>
                <w:lang w:val="en-US" w:eastAsia="zh-CN" w:bidi="ar-SA"/>
              </w:rPr>
              <w:t>主要原辅材料的种类和用量详见下表：</w:t>
            </w:r>
          </w:p>
          <w:p w14:paraId="3875C4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11</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主要原辅材料的种类和用量一览表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1599"/>
              <w:gridCol w:w="1045"/>
              <w:gridCol w:w="1521"/>
              <w:gridCol w:w="1736"/>
              <w:gridCol w:w="1369"/>
            </w:tblGrid>
            <w:tr w14:paraId="0C4A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724" w:type="dxa"/>
                  <w:vAlign w:val="center"/>
                </w:tcPr>
                <w:p w14:paraId="60C85F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1178" w:type="dxa"/>
                  <w:vAlign w:val="center"/>
                </w:tcPr>
                <w:p w14:paraId="59034E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名称</w:t>
                  </w:r>
                </w:p>
              </w:tc>
              <w:tc>
                <w:tcPr>
                  <w:tcW w:w="770" w:type="dxa"/>
                  <w:vAlign w:val="center"/>
                </w:tcPr>
                <w:p w14:paraId="4749EB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单位</w:t>
                  </w:r>
                </w:p>
              </w:tc>
              <w:tc>
                <w:tcPr>
                  <w:tcW w:w="1121" w:type="dxa"/>
                  <w:vAlign w:val="center"/>
                </w:tcPr>
                <w:p w14:paraId="696AF3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年用量</w:t>
                  </w:r>
                </w:p>
              </w:tc>
              <w:tc>
                <w:tcPr>
                  <w:tcW w:w="1279" w:type="dxa"/>
                  <w:vAlign w:val="center"/>
                </w:tcPr>
                <w:p w14:paraId="3A80F7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最大储存量</w:t>
                  </w:r>
                </w:p>
              </w:tc>
              <w:tc>
                <w:tcPr>
                  <w:tcW w:w="1009" w:type="dxa"/>
                  <w:vAlign w:val="center"/>
                </w:tcPr>
                <w:p w14:paraId="616E824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备注</w:t>
                  </w:r>
                </w:p>
              </w:tc>
            </w:tr>
            <w:tr w14:paraId="5B1B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4" w:type="dxa"/>
                  <w:vAlign w:val="center"/>
                </w:tcPr>
                <w:p w14:paraId="2A7A8F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178" w:type="dxa"/>
                  <w:vAlign w:val="center"/>
                </w:tcPr>
                <w:p w14:paraId="590FF2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线轨</w:t>
                  </w:r>
                  <w:r>
                    <w:rPr>
                      <w:rFonts w:hint="eastAsia" w:ascii="Times New Roman" w:hAnsi="Times New Roman" w:eastAsia="宋体" w:cs="Times New Roman"/>
                      <w:color w:val="auto"/>
                      <w:kern w:val="2"/>
                      <w:sz w:val="21"/>
                      <w:szCs w:val="21"/>
                      <w:highlight w:val="none"/>
                      <w:lang w:val="en-US" w:eastAsia="zh-CN" w:bidi="ar-SA"/>
                    </w:rPr>
                    <w:t>毛坯</w:t>
                  </w:r>
                </w:p>
              </w:tc>
              <w:tc>
                <w:tcPr>
                  <w:tcW w:w="770" w:type="dxa"/>
                  <w:vAlign w:val="center"/>
                </w:tcPr>
                <w:p w14:paraId="05EEFF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吨</w:t>
                  </w:r>
                </w:p>
              </w:tc>
              <w:tc>
                <w:tcPr>
                  <w:tcW w:w="1121" w:type="dxa"/>
                  <w:vAlign w:val="center"/>
                </w:tcPr>
                <w:p w14:paraId="66EEC9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2725</w:t>
                  </w:r>
                </w:p>
              </w:tc>
              <w:tc>
                <w:tcPr>
                  <w:tcW w:w="1279" w:type="dxa"/>
                  <w:vAlign w:val="center"/>
                </w:tcPr>
                <w:p w14:paraId="58FEE1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700</w:t>
                  </w:r>
                </w:p>
              </w:tc>
              <w:tc>
                <w:tcPr>
                  <w:tcW w:w="1009" w:type="dxa"/>
                  <w:vAlign w:val="center"/>
                </w:tcPr>
                <w:p w14:paraId="14D883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798C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4" w:type="dxa"/>
                  <w:vAlign w:val="center"/>
                </w:tcPr>
                <w:p w14:paraId="6AE24B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1178" w:type="dxa"/>
                  <w:vAlign w:val="center"/>
                </w:tcPr>
                <w:p w14:paraId="54CC76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滑块毛坯</w:t>
                  </w:r>
                </w:p>
              </w:tc>
              <w:tc>
                <w:tcPr>
                  <w:tcW w:w="770" w:type="dxa"/>
                  <w:vAlign w:val="center"/>
                </w:tcPr>
                <w:p w14:paraId="4436E8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吨</w:t>
                  </w:r>
                </w:p>
              </w:tc>
              <w:tc>
                <w:tcPr>
                  <w:tcW w:w="1121" w:type="dxa"/>
                  <w:vAlign w:val="center"/>
                </w:tcPr>
                <w:p w14:paraId="114CC8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507</w:t>
                  </w:r>
                </w:p>
              </w:tc>
              <w:tc>
                <w:tcPr>
                  <w:tcW w:w="1279" w:type="dxa"/>
                  <w:vAlign w:val="center"/>
                </w:tcPr>
                <w:p w14:paraId="7379CF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120</w:t>
                  </w:r>
                </w:p>
              </w:tc>
              <w:tc>
                <w:tcPr>
                  <w:tcW w:w="1009" w:type="dxa"/>
                  <w:vAlign w:val="center"/>
                </w:tcPr>
                <w:p w14:paraId="3DC3E9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533D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4" w:type="dxa"/>
                  <w:vAlign w:val="center"/>
                </w:tcPr>
                <w:p w14:paraId="4F2270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1178" w:type="dxa"/>
                  <w:vAlign w:val="center"/>
                </w:tcPr>
                <w:p w14:paraId="6CBDF9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纸箱</w:t>
                  </w:r>
                </w:p>
              </w:tc>
              <w:tc>
                <w:tcPr>
                  <w:tcW w:w="770" w:type="dxa"/>
                  <w:vAlign w:val="center"/>
                </w:tcPr>
                <w:p w14:paraId="6EC6D52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件</w:t>
                  </w:r>
                </w:p>
              </w:tc>
              <w:tc>
                <w:tcPr>
                  <w:tcW w:w="1121" w:type="dxa"/>
                  <w:vAlign w:val="center"/>
                </w:tcPr>
                <w:p w14:paraId="024A4B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50000</w:t>
                  </w:r>
                </w:p>
              </w:tc>
              <w:tc>
                <w:tcPr>
                  <w:tcW w:w="1279" w:type="dxa"/>
                  <w:vAlign w:val="center"/>
                </w:tcPr>
                <w:p w14:paraId="169E2A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1009" w:type="dxa"/>
                  <w:vAlign w:val="center"/>
                </w:tcPr>
                <w:p w14:paraId="55294F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27BE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4" w:type="dxa"/>
                  <w:vAlign w:val="center"/>
                </w:tcPr>
                <w:p w14:paraId="29D470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1178" w:type="dxa"/>
                  <w:vAlign w:val="center"/>
                </w:tcPr>
                <w:p w14:paraId="34D61D3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木箱</w:t>
                  </w:r>
                </w:p>
              </w:tc>
              <w:tc>
                <w:tcPr>
                  <w:tcW w:w="770" w:type="dxa"/>
                  <w:vAlign w:val="center"/>
                </w:tcPr>
                <w:p w14:paraId="692E51E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件</w:t>
                  </w:r>
                </w:p>
              </w:tc>
              <w:tc>
                <w:tcPr>
                  <w:tcW w:w="1121" w:type="dxa"/>
                  <w:vAlign w:val="center"/>
                </w:tcPr>
                <w:p w14:paraId="2B1DDB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32000</w:t>
                  </w:r>
                </w:p>
              </w:tc>
              <w:tc>
                <w:tcPr>
                  <w:tcW w:w="1279" w:type="dxa"/>
                  <w:vAlign w:val="center"/>
                </w:tcPr>
                <w:p w14:paraId="4834C0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1009" w:type="dxa"/>
                  <w:vAlign w:val="center"/>
                </w:tcPr>
                <w:p w14:paraId="6C60A2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73F1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4" w:type="dxa"/>
                  <w:vAlign w:val="center"/>
                </w:tcPr>
                <w:p w14:paraId="09C767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1178" w:type="dxa"/>
                  <w:vAlign w:val="center"/>
                </w:tcPr>
                <w:p w14:paraId="3E4E3E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切</w:t>
                  </w:r>
                  <w:r>
                    <w:rPr>
                      <w:rFonts w:hint="eastAsia" w:ascii="Times New Roman" w:hAnsi="Times New Roman" w:eastAsia="宋体" w:cs="Times New Roman"/>
                      <w:color w:val="auto"/>
                      <w:kern w:val="2"/>
                      <w:sz w:val="21"/>
                      <w:szCs w:val="21"/>
                      <w:highlight w:val="none"/>
                      <w:lang w:val="en-US" w:eastAsia="zh-CN" w:bidi="ar-SA"/>
                    </w:rPr>
                    <w:t>削液</w:t>
                  </w:r>
                </w:p>
              </w:tc>
              <w:tc>
                <w:tcPr>
                  <w:tcW w:w="770" w:type="dxa"/>
                  <w:vAlign w:val="center"/>
                </w:tcPr>
                <w:p w14:paraId="212CBA8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w:t>
                  </w:r>
                </w:p>
              </w:tc>
              <w:tc>
                <w:tcPr>
                  <w:tcW w:w="1121" w:type="dxa"/>
                  <w:vAlign w:val="center"/>
                </w:tcPr>
                <w:p w14:paraId="00C3E2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w:t>
                  </w:r>
                </w:p>
              </w:tc>
              <w:tc>
                <w:tcPr>
                  <w:tcW w:w="1279" w:type="dxa"/>
                  <w:vAlign w:val="center"/>
                </w:tcPr>
                <w:p w14:paraId="27BAEC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009" w:type="dxa"/>
                  <w:vAlign w:val="center"/>
                </w:tcPr>
                <w:p w14:paraId="506D5B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200L/桶</w:t>
                  </w:r>
                </w:p>
              </w:tc>
            </w:tr>
            <w:tr w14:paraId="3074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4" w:type="dxa"/>
                  <w:shd w:val="clear" w:color="auto" w:fill="auto"/>
                  <w:vAlign w:val="center"/>
                </w:tcPr>
                <w:p w14:paraId="52A5D12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1178" w:type="dxa"/>
                  <w:vAlign w:val="center"/>
                </w:tcPr>
                <w:p w14:paraId="3518463C">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润滑油</w:t>
                  </w:r>
                </w:p>
              </w:tc>
              <w:tc>
                <w:tcPr>
                  <w:tcW w:w="770" w:type="dxa"/>
                  <w:vAlign w:val="center"/>
                </w:tcPr>
                <w:p w14:paraId="5BADB6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桶</w:t>
                  </w:r>
                </w:p>
              </w:tc>
              <w:tc>
                <w:tcPr>
                  <w:tcW w:w="1121" w:type="dxa"/>
                  <w:vAlign w:val="center"/>
                </w:tcPr>
                <w:p w14:paraId="662FF9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1279" w:type="dxa"/>
                  <w:vAlign w:val="center"/>
                </w:tcPr>
                <w:p w14:paraId="33374348">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1009" w:type="dxa"/>
                  <w:vAlign w:val="center"/>
                </w:tcPr>
                <w:p w14:paraId="015FF68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20kg/桶</w:t>
                  </w:r>
                </w:p>
              </w:tc>
            </w:tr>
            <w:tr w14:paraId="6711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4" w:type="dxa"/>
                  <w:shd w:val="clear" w:color="auto" w:fill="auto"/>
                  <w:vAlign w:val="center"/>
                </w:tcPr>
                <w:p w14:paraId="5956991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1178" w:type="dxa"/>
                  <w:vAlign w:val="center"/>
                </w:tcPr>
                <w:p w14:paraId="4B4162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防锈油</w:t>
                  </w:r>
                </w:p>
              </w:tc>
              <w:tc>
                <w:tcPr>
                  <w:tcW w:w="770" w:type="dxa"/>
                  <w:vAlign w:val="center"/>
                </w:tcPr>
                <w:p w14:paraId="6761FD5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w:t>
                  </w:r>
                </w:p>
              </w:tc>
              <w:tc>
                <w:tcPr>
                  <w:tcW w:w="1121" w:type="dxa"/>
                  <w:vAlign w:val="center"/>
                </w:tcPr>
                <w:p w14:paraId="66CB13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1279" w:type="dxa"/>
                  <w:vAlign w:val="center"/>
                </w:tcPr>
                <w:p w14:paraId="602BB9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1009" w:type="dxa"/>
                  <w:vAlign w:val="center"/>
                </w:tcPr>
                <w:p w14:paraId="12C5CE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200L/桶</w:t>
                  </w:r>
                </w:p>
              </w:tc>
            </w:tr>
            <w:tr w14:paraId="053E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4" w:type="dxa"/>
                  <w:shd w:val="clear" w:color="auto" w:fill="auto"/>
                  <w:vAlign w:val="center"/>
                </w:tcPr>
                <w:p w14:paraId="6EEBC6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1178" w:type="dxa"/>
                  <w:vAlign w:val="center"/>
                </w:tcPr>
                <w:p w14:paraId="474C88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水性淬火剂</w:t>
                  </w:r>
                </w:p>
              </w:tc>
              <w:tc>
                <w:tcPr>
                  <w:tcW w:w="770" w:type="dxa"/>
                  <w:vAlign w:val="center"/>
                </w:tcPr>
                <w:p w14:paraId="5ED2F9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w:t>
                  </w:r>
                </w:p>
              </w:tc>
              <w:tc>
                <w:tcPr>
                  <w:tcW w:w="1121" w:type="dxa"/>
                  <w:vAlign w:val="center"/>
                </w:tcPr>
                <w:p w14:paraId="714305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1279" w:type="dxa"/>
                  <w:vAlign w:val="center"/>
                </w:tcPr>
                <w:p w14:paraId="692021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1009" w:type="dxa"/>
                  <w:vAlign w:val="center"/>
                </w:tcPr>
                <w:p w14:paraId="4D4FCC3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200L/桶</w:t>
                  </w:r>
                </w:p>
              </w:tc>
            </w:tr>
            <w:tr w14:paraId="38F8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4" w:type="dxa"/>
                  <w:shd w:val="clear" w:color="auto" w:fill="auto"/>
                  <w:vAlign w:val="center"/>
                </w:tcPr>
                <w:p w14:paraId="66F0FDB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1178" w:type="dxa"/>
                  <w:vAlign w:val="center"/>
                </w:tcPr>
                <w:p w14:paraId="118A88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柴油</w:t>
                  </w:r>
                </w:p>
              </w:tc>
              <w:tc>
                <w:tcPr>
                  <w:tcW w:w="770" w:type="dxa"/>
                  <w:vAlign w:val="center"/>
                </w:tcPr>
                <w:p w14:paraId="5A25C9F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w:t>
                  </w:r>
                </w:p>
              </w:tc>
              <w:tc>
                <w:tcPr>
                  <w:tcW w:w="1121" w:type="dxa"/>
                  <w:vAlign w:val="center"/>
                </w:tcPr>
                <w:p w14:paraId="7CBE53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1279" w:type="dxa"/>
                  <w:vAlign w:val="center"/>
                </w:tcPr>
                <w:p w14:paraId="7E5C9C04">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1009" w:type="dxa"/>
                  <w:vAlign w:val="center"/>
                </w:tcPr>
                <w:p w14:paraId="21344CF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20kg/桶</w:t>
                  </w:r>
                </w:p>
              </w:tc>
            </w:tr>
            <w:tr w14:paraId="1668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4" w:type="dxa"/>
                  <w:shd w:val="clear" w:color="auto" w:fill="auto"/>
                  <w:vAlign w:val="center"/>
                </w:tcPr>
                <w:p w14:paraId="2C170A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178" w:type="dxa"/>
                  <w:vAlign w:val="center"/>
                </w:tcPr>
                <w:p w14:paraId="7EFC4D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水</w:t>
                  </w:r>
                </w:p>
              </w:tc>
              <w:tc>
                <w:tcPr>
                  <w:tcW w:w="770" w:type="dxa"/>
                  <w:vAlign w:val="center"/>
                </w:tcPr>
                <w:p w14:paraId="20CC5C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立方米</w:t>
                  </w:r>
                </w:p>
              </w:tc>
              <w:tc>
                <w:tcPr>
                  <w:tcW w:w="1121" w:type="dxa"/>
                  <w:vAlign w:val="center"/>
                </w:tcPr>
                <w:p w14:paraId="7D4105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16169</w:t>
                  </w:r>
                </w:p>
              </w:tc>
              <w:tc>
                <w:tcPr>
                  <w:tcW w:w="1279" w:type="dxa"/>
                  <w:vAlign w:val="center"/>
                </w:tcPr>
                <w:p w14:paraId="6733C6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009" w:type="dxa"/>
                  <w:vAlign w:val="center"/>
                </w:tcPr>
                <w:p w14:paraId="3A85E8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5718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4" w:type="dxa"/>
                  <w:vAlign w:val="center"/>
                </w:tcPr>
                <w:p w14:paraId="063904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w:t>
                  </w:r>
                </w:p>
              </w:tc>
              <w:tc>
                <w:tcPr>
                  <w:tcW w:w="1178" w:type="dxa"/>
                  <w:vAlign w:val="center"/>
                </w:tcPr>
                <w:p w14:paraId="1ED53F7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电</w:t>
                  </w:r>
                </w:p>
              </w:tc>
              <w:tc>
                <w:tcPr>
                  <w:tcW w:w="770" w:type="dxa"/>
                  <w:vAlign w:val="center"/>
                </w:tcPr>
                <w:p w14:paraId="64F9AD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度</w:t>
                  </w:r>
                </w:p>
              </w:tc>
              <w:tc>
                <w:tcPr>
                  <w:tcW w:w="1121" w:type="dxa"/>
                  <w:vAlign w:val="center"/>
                </w:tcPr>
                <w:p w14:paraId="364A4F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1000万</w:t>
                  </w:r>
                </w:p>
              </w:tc>
              <w:tc>
                <w:tcPr>
                  <w:tcW w:w="1279" w:type="dxa"/>
                  <w:vAlign w:val="center"/>
                </w:tcPr>
                <w:p w14:paraId="6D748C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009" w:type="dxa"/>
                  <w:vAlign w:val="center"/>
                </w:tcPr>
                <w:p w14:paraId="70C47D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bl>
          <w:p w14:paraId="5B0E9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5、现有工程工艺流程</w:t>
            </w:r>
          </w:p>
          <w:p w14:paraId="53C006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1、线轨生产工艺</w:t>
            </w:r>
            <w:r>
              <w:rPr>
                <w:rFonts w:hint="default" w:ascii="Times New Roman" w:hAnsi="Times New Roman" w:eastAsia="宋体" w:cs="Times New Roman"/>
                <w:color w:val="auto"/>
                <w:sz w:val="24"/>
                <w:szCs w:val="24"/>
                <w:highlight w:val="none"/>
                <w:u w:val="none"/>
                <w:lang w:val="en-US" w:eastAsia="zh-CN"/>
              </w:rPr>
              <w:t>如下：</w:t>
            </w:r>
          </w:p>
          <w:p w14:paraId="4DC1A8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drawing>
                <wp:inline distT="0" distB="0" distL="114300" distR="114300">
                  <wp:extent cx="1838960" cy="5664835"/>
                  <wp:effectExtent l="0" t="0" r="0" b="0"/>
                  <wp:docPr id="4" name="ECB019B1-382A-4266-B25C-5B523AA43C14-4" descr="C:/Users/Administrator/AppData/Local/Temp/wps.HrLiQ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4" descr="C:/Users/Administrator/AppData/Local/Temp/wps.HrLiQowps"/>
                          <pic:cNvPicPr>
                            <a:picLocks noChangeAspect="1"/>
                          </pic:cNvPicPr>
                        </pic:nvPicPr>
                        <pic:blipFill>
                          <a:blip r:embed="rId10"/>
                          <a:stretch>
                            <a:fillRect/>
                          </a:stretch>
                        </pic:blipFill>
                        <pic:spPr>
                          <a:xfrm>
                            <a:off x="0" y="0"/>
                            <a:ext cx="1838960" cy="5664835"/>
                          </a:xfrm>
                          <a:prstGeom prst="rect">
                            <a:avLst/>
                          </a:prstGeom>
                        </pic:spPr>
                      </pic:pic>
                    </a:graphicData>
                  </a:graphic>
                </wp:inline>
              </w:drawing>
            </w:r>
          </w:p>
          <w:p w14:paraId="36741D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图2-4    线轨生产工艺流程及产排污节点图（所有环节均产生噪声）</w:t>
            </w:r>
          </w:p>
          <w:p w14:paraId="08B192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工艺流程简介</w:t>
            </w:r>
          </w:p>
          <w:p w14:paraId="3DF4FF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配料：根据客户需求，外购相应尺寸的粗毛坯线轨。</w:t>
            </w:r>
          </w:p>
          <w:p w14:paraId="1F3423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高频处理：高频淬火是一种利用电磁感应原理对金属工件表面进行快速加热并淬火的先进热处理工艺，其核心是通过交变电磁场在工件表面感应出涡流实现局部加热。金属工件置于磁场中时，表面会因电磁感应生成涡流，涡流在金属电阻作用下产生焦耳热</w:t>
            </w:r>
            <w:r>
              <w:rPr>
                <w:rFonts w:hint="default" w:ascii="Times New Roman" w:hAnsi="Times New Roman" w:eastAsia="宋体" w:cs="Times New Roman"/>
                <w:color w:val="auto"/>
                <w:kern w:val="2"/>
                <w:sz w:val="24"/>
                <w:szCs w:val="24"/>
                <w:lang w:val="en-US" w:eastAsia="zh-CN" w:bidi="ar-SA"/>
              </w:rPr>
              <w:t>，实现瞬时加热</w:t>
            </w:r>
            <w:r>
              <w:rPr>
                <w:rFonts w:hint="eastAsia" w:ascii="Times New Roman" w:hAnsi="Times New Roman" w:eastAsia="宋体" w:cs="Times New Roman"/>
                <w:color w:val="auto"/>
                <w:kern w:val="2"/>
                <w:sz w:val="24"/>
                <w:szCs w:val="24"/>
                <w:lang w:val="en-US" w:eastAsia="zh-CN" w:bidi="ar-SA"/>
              </w:rPr>
              <w:t>至900℃，</w:t>
            </w:r>
            <w:r>
              <w:rPr>
                <w:rFonts w:hint="default" w:ascii="Times New Roman" w:hAnsi="Times New Roman" w:eastAsia="宋体" w:cs="Times New Roman"/>
                <w:color w:val="auto"/>
                <w:kern w:val="2"/>
                <w:sz w:val="24"/>
                <w:szCs w:val="24"/>
                <w:lang w:val="en-US" w:eastAsia="zh-CN" w:bidi="ar-SA"/>
              </w:rPr>
              <w:t>原始铁素体转变为奥氏体，但心部因加热时间短仍保持原组织。</w:t>
            </w:r>
            <w:r>
              <w:rPr>
                <w:rFonts w:hint="eastAsia" w:ascii="Times New Roman" w:hAnsi="Times New Roman" w:eastAsia="宋体" w:cs="Times New Roman"/>
                <w:color w:val="auto"/>
                <w:kern w:val="2"/>
                <w:sz w:val="24"/>
                <w:szCs w:val="24"/>
                <w:lang w:val="en-US" w:eastAsia="zh-CN" w:bidi="ar-SA"/>
              </w:rPr>
              <w:t>加热后立即喷淋冷却介质（水性淬火剂），使奥氏体转变为高硬度的马氏体。</w:t>
            </w:r>
          </w:p>
          <w:p w14:paraId="559C7B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自然时效：淬火后的线轨自然冷却，放置在自然时效处理区域，放置时间2个月。</w:t>
            </w:r>
          </w:p>
          <w:p w14:paraId="004407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校直1：经过自然放置2个月的线轨需要通过校直机进行校直。</w:t>
            </w:r>
          </w:p>
          <w:p w14:paraId="36F1EB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喷砂表面处理：校直后的线轨使用喷砂机进行喷砂表面处理，提高其表面精度。此过程会产生废气颗粒物，通过设备自带的除尘设施进行处理，处理后的尾气通过1#排气筒高空排放（编号DA001）。</w:t>
            </w:r>
          </w:p>
          <w:p w14:paraId="388511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钻孔：用CNC数控钻铣机进行钻孔，CNC数控钻铣机在工作时关闭机床门，形成全封闭空间，切削液自动喷水对刀头进行降温，设备自带油雾回收器，回收的油雾形成液滴回流至沉淀池，经沉淀后二次利用，尾气车间内无组织排放。此过程会产生非甲烷总烃、颗粒物、固废。</w:t>
            </w:r>
          </w:p>
          <w:p w14:paraId="17D87E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校直2：再次用校直机进行校直。</w:t>
            </w:r>
          </w:p>
          <w:p w14:paraId="2D3F61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磨平面1：使用磨床进行磨平面，提高表面精度，此过程工作时关闭机床门，形成封闭空间，自动喷切削液对其进行降温，工作时产生的油雾经设备自带的油雾回收器，回收的油雾形成液滴回流至沉淀池，经沉淀后二次利用，尾气车间内无组织排放。此过程会产生非甲烷总烃、固废。</w:t>
            </w:r>
          </w:p>
          <w:p w14:paraId="652357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磨球道：使用线轨球道磨机进行磨球道，此过程工作时关闭机床门，形成封闭空间，自动喷切削液进行降温，工作时产生的油雾经设备自带的油雾回收器，回收的油雾形成液滴回流至沉淀池，经沉淀后二次利用，尾气车间内无组织排放。此过程会产生非甲烷总烃、颗粒物、臭气浓度、固废。</w:t>
            </w:r>
          </w:p>
          <w:p w14:paraId="1669F0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磨平面2：使用高精度磨床进行二次磨平面，提高线轨的精度，此过程工作时关闭机床门，形成封闭空间，自动喷切削液对其进行降温，工作时产生的油雾经设备自带的油雾回收器，回收的油雾形成液滴回流至沉淀池，经沉淀后二次利用，尾气车间内无组织排放。此过程会产生非甲烷总烃、颗粒物、固废。</w:t>
            </w:r>
          </w:p>
          <w:p w14:paraId="4B2A74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激光打标：利用激光发生器生成高能量的连续激光光束，聚焦后的激光作用于工件，使表面材料瞬间=气化，通过控制激光在工件表面的路径，从而形成需要的图文标记，此工序会产生少量的颗粒物。</w:t>
            </w:r>
          </w:p>
          <w:p w14:paraId="16E2BB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成品检验：经人工专业检验其性能，此过程会产生不合格产品。</w:t>
            </w:r>
          </w:p>
          <w:p w14:paraId="39BBA9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防锈：经检验合格的产品，涂防锈油后包装入库。防锈油常温下不产生挥发性气体。</w:t>
            </w:r>
          </w:p>
          <w:p w14:paraId="27B1C1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2、滑块生产工艺</w:t>
            </w:r>
            <w:r>
              <w:rPr>
                <w:rFonts w:hint="default" w:ascii="Times New Roman" w:hAnsi="Times New Roman" w:eastAsia="宋体" w:cs="Times New Roman"/>
                <w:color w:val="auto"/>
                <w:kern w:val="2"/>
                <w:sz w:val="24"/>
                <w:szCs w:val="24"/>
                <w:lang w:val="en-US" w:eastAsia="zh-CN" w:bidi="ar-SA"/>
              </w:rPr>
              <w:t>如下：</w:t>
            </w:r>
          </w:p>
          <w:p w14:paraId="3075A9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drawing>
                <wp:inline distT="0" distB="0" distL="114300" distR="114300">
                  <wp:extent cx="2178685" cy="5295900"/>
                  <wp:effectExtent l="0" t="0" r="0" b="0"/>
                  <wp:docPr id="15" name="ECB019B1-382A-4266-B25C-5B523AA43C14-5" descr="C:/Users/2022/AppData/Local/Temp/wps.AmFxm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5" descr="C:/Users/2022/AppData/Local/Temp/wps.AmFxmDwps"/>
                          <pic:cNvPicPr>
                            <a:picLocks noChangeAspect="1"/>
                          </pic:cNvPicPr>
                        </pic:nvPicPr>
                        <pic:blipFill>
                          <a:blip r:embed="rId11"/>
                          <a:stretch>
                            <a:fillRect/>
                          </a:stretch>
                        </pic:blipFill>
                        <pic:spPr>
                          <a:xfrm>
                            <a:off x="0" y="0"/>
                            <a:ext cx="2178685" cy="5295900"/>
                          </a:xfrm>
                          <a:prstGeom prst="rect">
                            <a:avLst/>
                          </a:prstGeom>
                        </pic:spPr>
                      </pic:pic>
                    </a:graphicData>
                  </a:graphic>
                </wp:inline>
              </w:drawing>
            </w:r>
          </w:p>
          <w:p w14:paraId="7F5101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附图2-5   滑块生产工艺流程及产排污节点图（所有环节均产生噪声）</w:t>
            </w:r>
          </w:p>
          <w:p w14:paraId="6F28A1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工艺流程简介</w:t>
            </w:r>
          </w:p>
          <w:p w14:paraId="5245D2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cs="Times New Roman"/>
                <w:color w:val="auto"/>
                <w:sz w:val="24"/>
                <w:szCs w:val="24"/>
                <w:highlight w:val="none"/>
                <w:lang w:val="en-US" w:eastAsia="zh-CN"/>
              </w:rPr>
              <w:t>下料：根据客户要求购买原材料粗胚。</w:t>
            </w:r>
          </w:p>
          <w:p w14:paraId="0E23BE9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sz w:val="24"/>
                <w:szCs w:val="24"/>
                <w:highlight w:val="none"/>
                <w:lang w:val="en-US" w:eastAsia="zh-CN"/>
              </w:rPr>
              <w:t>钻铣：使用CNC数控钻铣机进行钻孔，CNC数控钻铣机在工作时关闭机床门，形成全封闭空间，切削液自动喷水对刀头进行降温，设备自带油雾回收器，回收的油雾形成液滴回流至沉淀池，经沉淀后二次利用，尾气车间内无组织排放。此过程会产生非甲烷总烃、颗粒物、固废。</w:t>
            </w:r>
          </w:p>
          <w:p w14:paraId="18B208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（3）渗碳淬火：委外处理</w:t>
            </w:r>
          </w:p>
          <w:p w14:paraId="27A2FF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none"/>
                <w:lang w:val="en-US" w:eastAsia="zh-CN" w:bidi="ar-SA"/>
              </w:rPr>
              <w:t>（4）表面喷砂处理：委外渗碳淬火处理后的滑块，使用喷砂机进行喷砂表面处理，除锈并提高其表面精度。此过程会产生废气颗粒物，通过设备自带的除尘设施进行处理，处理后的尾气</w:t>
            </w:r>
            <w:r>
              <w:rPr>
                <w:rFonts w:hint="eastAsia" w:cs="Times New Roman"/>
                <w:color w:val="auto"/>
                <w:kern w:val="2"/>
                <w:sz w:val="24"/>
                <w:szCs w:val="24"/>
                <w:u w:val="none"/>
                <w:lang w:val="en-US" w:eastAsia="zh-CN" w:bidi="ar-SA"/>
              </w:rPr>
              <w:t>经1#排气筒（编号DA001）有</w:t>
            </w:r>
            <w:r>
              <w:rPr>
                <w:rFonts w:hint="eastAsia" w:ascii="Times New Roman" w:hAnsi="Times New Roman" w:eastAsia="宋体" w:cs="Times New Roman"/>
                <w:color w:val="auto"/>
                <w:kern w:val="2"/>
                <w:sz w:val="24"/>
                <w:szCs w:val="24"/>
                <w:u w:val="none"/>
                <w:lang w:val="en-US" w:eastAsia="zh-CN" w:bidi="ar-SA"/>
              </w:rPr>
              <w:t>组织排放。</w:t>
            </w:r>
          </w:p>
          <w:p w14:paraId="4C19739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（5）平面磨：使用磨床进行磨平面，提高表面精度，</w:t>
            </w:r>
            <w:r>
              <w:rPr>
                <w:rFonts w:hint="eastAsia" w:ascii="Times New Roman" w:hAnsi="Times New Roman" w:cs="Times New Roman"/>
                <w:color w:val="auto"/>
                <w:kern w:val="2"/>
                <w:sz w:val="24"/>
                <w:szCs w:val="24"/>
                <w:lang w:val="en-US" w:eastAsia="zh-CN" w:bidi="ar-SA"/>
              </w:rPr>
              <w:t>总共要进行2次平面磨和1次磨球道并打标，</w:t>
            </w:r>
            <w:r>
              <w:rPr>
                <w:rFonts w:hint="eastAsia" w:ascii="Times New Roman" w:hAnsi="Times New Roman" w:eastAsia="宋体" w:cs="Times New Roman"/>
                <w:color w:val="auto"/>
                <w:kern w:val="2"/>
                <w:sz w:val="24"/>
                <w:szCs w:val="24"/>
                <w:lang w:val="en-US" w:eastAsia="zh-CN" w:bidi="ar-SA"/>
              </w:rPr>
              <w:t>此过程工作时关闭机床门，形成封闭空间，自动喷切削液对其进行降温，工作时产生的油雾经设备自带的油雾回收器，回收的油雾形成液滴回流至沉淀池，经沉淀后二次利用，尾气车间内无组织排放。此过程会产生非甲烷总烃、臭气浓度、固废。</w:t>
            </w:r>
          </w:p>
          <w:p w14:paraId="1138810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（6）激光打标：利用激光发生器生成高能量的连续激光光束，聚焦后的激光作用于工件，使表面材料瞬间=气化，通过控制激光在工件表面的路径，从而形成需要的图文标记，此工序会产生少量的颗粒物。</w:t>
            </w:r>
          </w:p>
          <w:p w14:paraId="4C3475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7</w:t>
            </w:r>
            <w:r>
              <w:rPr>
                <w:rFonts w:hint="eastAsia" w:ascii="Times New Roman" w:hAnsi="Times New Roman" w:eastAsia="宋体" w:cs="Times New Roman"/>
                <w:color w:val="auto"/>
                <w:kern w:val="2"/>
                <w:sz w:val="24"/>
                <w:szCs w:val="24"/>
                <w:lang w:val="en-US" w:eastAsia="zh-CN" w:bidi="ar-SA"/>
              </w:rPr>
              <w:t>）防锈：经检验合格的产品，涂防锈油后包装入库。防锈油常温下不产生挥发性气体。</w:t>
            </w:r>
          </w:p>
          <w:p w14:paraId="021F97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（8）成品检验：人家检验合格后包装入库。</w:t>
            </w:r>
          </w:p>
          <w:p w14:paraId="30226F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三、</w:t>
            </w:r>
            <w:r>
              <w:rPr>
                <w:rFonts w:hint="eastAsia" w:cs="Times New Roman"/>
                <w:b/>
                <w:bCs/>
                <w:color w:val="auto"/>
                <w:kern w:val="2"/>
                <w:sz w:val="24"/>
                <w:szCs w:val="24"/>
                <w:lang w:val="en-US" w:eastAsia="zh-CN" w:bidi="ar-SA"/>
              </w:rPr>
              <w:t>现有工程污染源核算</w:t>
            </w:r>
          </w:p>
          <w:p w14:paraId="12FC1D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因项目原有工程暂未投产，因此本次评价对原有项目的产排污核算引用原有项目环评核算结果。</w:t>
            </w:r>
          </w:p>
          <w:p w14:paraId="19E919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1、废气</w:t>
            </w:r>
          </w:p>
          <w:p w14:paraId="279868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现有工程废气主要有喷砂产生废气、高频淬火产生的废气、机加工产生的废气，核算结果见下表：</w:t>
            </w:r>
          </w:p>
          <w:p w14:paraId="1CE2D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表2-1</w:t>
            </w: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 xml:space="preserve">   现有工程有组织排放量核算</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327"/>
              <w:gridCol w:w="1213"/>
              <w:gridCol w:w="1198"/>
              <w:gridCol w:w="1273"/>
              <w:gridCol w:w="1349"/>
              <w:gridCol w:w="1236"/>
            </w:tblGrid>
            <w:tr w14:paraId="0769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98" w:type="pct"/>
                  <w:noWrap w:val="0"/>
                  <w:vAlign w:val="center"/>
                </w:tcPr>
                <w:p w14:paraId="2D24554B">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序号</w:t>
                  </w:r>
                </w:p>
              </w:tc>
              <w:tc>
                <w:tcPr>
                  <w:tcW w:w="804" w:type="pct"/>
                  <w:noWrap w:val="0"/>
                  <w:vAlign w:val="center"/>
                </w:tcPr>
                <w:p w14:paraId="12388B38">
                  <w:pPr>
                    <w:keepNext w:val="0"/>
                    <w:keepLines w:val="0"/>
                    <w:suppressLineNumbers w:val="0"/>
                    <w:spacing w:before="0" w:beforeAutospacing="0" w:after="0" w:afterAutospacing="0"/>
                    <w:ind w:left="0" w:right="0"/>
                    <w:jc w:val="center"/>
                    <w:rPr>
                      <w:rFonts w:hint="eastAsia" w:ascii="Times New Roman" w:hAnsi="Times New Roman" w:eastAsia="宋体"/>
                      <w:sz w:val="21"/>
                      <w:szCs w:val="21"/>
                      <w:u w:val="none"/>
                      <w:lang w:val="en-US" w:eastAsia="zh-CN"/>
                    </w:rPr>
                  </w:pPr>
                  <w:r>
                    <w:rPr>
                      <w:rFonts w:hint="eastAsia" w:ascii="Times New Roman" w:hAnsi="Times New Roman"/>
                      <w:sz w:val="21"/>
                      <w:szCs w:val="21"/>
                      <w:u w:val="none"/>
                      <w:lang w:val="en-US" w:eastAsia="zh-CN"/>
                    </w:rPr>
                    <w:t>污染源</w:t>
                  </w:r>
                </w:p>
              </w:tc>
              <w:tc>
                <w:tcPr>
                  <w:tcW w:w="735" w:type="pct"/>
                  <w:noWrap w:val="0"/>
                  <w:vAlign w:val="center"/>
                </w:tcPr>
                <w:p w14:paraId="59B222FE">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排放口编号</w:t>
                  </w:r>
                </w:p>
              </w:tc>
              <w:tc>
                <w:tcPr>
                  <w:tcW w:w="726" w:type="pct"/>
                  <w:noWrap w:val="0"/>
                  <w:vAlign w:val="center"/>
                </w:tcPr>
                <w:p w14:paraId="36C86079">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污染物</w:t>
                  </w:r>
                </w:p>
              </w:tc>
              <w:tc>
                <w:tcPr>
                  <w:tcW w:w="771" w:type="pct"/>
                  <w:noWrap w:val="0"/>
                  <w:vAlign w:val="center"/>
                </w:tcPr>
                <w:p w14:paraId="4A3CD806">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核算排放浓度</w:t>
                  </w:r>
                </w:p>
                <w:p w14:paraId="2765D841">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（mg/m</w:t>
                  </w:r>
                  <w:r>
                    <w:rPr>
                      <w:rFonts w:hint="default" w:ascii="Times New Roman" w:hAnsi="Times New Roman"/>
                      <w:sz w:val="21"/>
                      <w:szCs w:val="21"/>
                      <w:u w:val="none"/>
                      <w:vertAlign w:val="superscript"/>
                    </w:rPr>
                    <w:t>3</w:t>
                  </w:r>
                  <w:r>
                    <w:rPr>
                      <w:rFonts w:hint="default" w:ascii="Times New Roman" w:hAnsi="Times New Roman"/>
                      <w:sz w:val="21"/>
                      <w:szCs w:val="21"/>
                      <w:u w:val="none"/>
                    </w:rPr>
                    <w:t>）</w:t>
                  </w:r>
                </w:p>
              </w:tc>
              <w:tc>
                <w:tcPr>
                  <w:tcW w:w="816" w:type="pct"/>
                  <w:noWrap w:val="0"/>
                  <w:vAlign w:val="center"/>
                </w:tcPr>
                <w:p w14:paraId="6C2DFF3C">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核算排放速率</w:t>
                  </w:r>
                </w:p>
                <w:p w14:paraId="1EDD4280">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（kg/h）</w:t>
                  </w:r>
                </w:p>
              </w:tc>
              <w:tc>
                <w:tcPr>
                  <w:tcW w:w="747" w:type="pct"/>
                  <w:noWrap w:val="0"/>
                  <w:vAlign w:val="center"/>
                </w:tcPr>
                <w:p w14:paraId="0D788134">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核算年排放量</w:t>
                  </w:r>
                </w:p>
                <w:p w14:paraId="4C4408F5">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（t/a）</w:t>
                  </w:r>
                </w:p>
              </w:tc>
            </w:tr>
            <w:tr w14:paraId="6A36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000" w:type="pct"/>
                  <w:gridSpan w:val="7"/>
                  <w:noWrap w:val="0"/>
                  <w:vAlign w:val="center"/>
                </w:tcPr>
                <w:p w14:paraId="34B8A5B9">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一般排放口</w:t>
                  </w:r>
                </w:p>
              </w:tc>
            </w:tr>
            <w:tr w14:paraId="698E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noWrap w:val="0"/>
                  <w:vAlign w:val="center"/>
                </w:tcPr>
                <w:p w14:paraId="5734D804">
                  <w:pPr>
                    <w:keepNext w:val="0"/>
                    <w:keepLines w:val="0"/>
                    <w:suppressLineNumbers w:val="0"/>
                    <w:spacing w:before="0" w:beforeAutospacing="0" w:after="0" w:afterAutospacing="0"/>
                    <w:ind w:left="0" w:right="0"/>
                    <w:jc w:val="center"/>
                    <w:rPr>
                      <w:rFonts w:hint="eastAsia" w:ascii="Times New Roman" w:hAnsi="Times New Roman" w:eastAsia="宋体"/>
                      <w:sz w:val="21"/>
                      <w:szCs w:val="21"/>
                      <w:u w:val="none"/>
                      <w:lang w:val="en-US" w:eastAsia="zh-CN"/>
                    </w:rPr>
                  </w:pPr>
                  <w:r>
                    <w:rPr>
                      <w:rFonts w:hint="eastAsia" w:ascii="Times New Roman" w:hAnsi="Times New Roman"/>
                      <w:sz w:val="21"/>
                      <w:szCs w:val="21"/>
                      <w:u w:val="none"/>
                      <w:lang w:val="en-US" w:eastAsia="zh-CN"/>
                    </w:rPr>
                    <w:t>1</w:t>
                  </w:r>
                </w:p>
              </w:tc>
              <w:tc>
                <w:tcPr>
                  <w:tcW w:w="804" w:type="pct"/>
                  <w:noWrap w:val="0"/>
                  <w:vAlign w:val="center"/>
                </w:tcPr>
                <w:p w14:paraId="18E36A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1#/2#喷砂机</w:t>
                  </w:r>
                </w:p>
              </w:tc>
              <w:tc>
                <w:tcPr>
                  <w:tcW w:w="735" w:type="pct"/>
                  <w:noWrap w:val="0"/>
                  <w:vAlign w:val="center"/>
                </w:tcPr>
                <w:p w14:paraId="543BC2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1#排气筒</w:t>
                  </w:r>
                </w:p>
              </w:tc>
              <w:tc>
                <w:tcPr>
                  <w:tcW w:w="726" w:type="pct"/>
                  <w:noWrap w:val="0"/>
                  <w:vAlign w:val="center"/>
                </w:tcPr>
                <w:p w14:paraId="3065E6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颗粒物</w:t>
                  </w:r>
                </w:p>
              </w:tc>
              <w:tc>
                <w:tcPr>
                  <w:tcW w:w="771" w:type="pct"/>
                  <w:noWrap w:val="0"/>
                  <w:vAlign w:val="center"/>
                </w:tcPr>
                <w:p w14:paraId="6B0ACF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u w:val="none"/>
                      <w:lang w:val="en-US"/>
                    </w:rPr>
                  </w:pPr>
                  <w:r>
                    <w:rPr>
                      <w:rFonts w:hint="eastAsia" w:ascii="Times New Roman" w:hAnsi="Times New Roman" w:eastAsia="宋体" w:cs="Times New Roman"/>
                      <w:sz w:val="21"/>
                      <w:szCs w:val="21"/>
                      <w:u w:val="none"/>
                      <w:lang w:val="en-US" w:eastAsia="zh-CN"/>
                    </w:rPr>
                    <w:t>25.25</w:t>
                  </w:r>
                </w:p>
              </w:tc>
              <w:tc>
                <w:tcPr>
                  <w:tcW w:w="816" w:type="pct"/>
                  <w:noWrap w:val="0"/>
                  <w:vAlign w:val="center"/>
                </w:tcPr>
                <w:p w14:paraId="6391CE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u w:val="none"/>
                      <w:lang w:val="en-US"/>
                    </w:rPr>
                  </w:pPr>
                  <w:r>
                    <w:rPr>
                      <w:rFonts w:hint="eastAsia" w:ascii="Times New Roman" w:hAnsi="Times New Roman" w:eastAsia="宋体" w:cs="Times New Roman"/>
                      <w:sz w:val="21"/>
                      <w:szCs w:val="21"/>
                      <w:u w:val="none"/>
                      <w:lang w:val="en-US" w:eastAsia="zh-CN"/>
                    </w:rPr>
                    <w:t>0.14</w:t>
                  </w:r>
                </w:p>
              </w:tc>
              <w:tc>
                <w:tcPr>
                  <w:tcW w:w="747" w:type="pct"/>
                  <w:noWrap w:val="0"/>
                  <w:vAlign w:val="center"/>
                </w:tcPr>
                <w:p w14:paraId="53D26E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u w:val="none"/>
                      <w:lang w:val="en-US"/>
                    </w:rPr>
                  </w:pPr>
                  <w:r>
                    <w:rPr>
                      <w:rFonts w:hint="eastAsia" w:ascii="Times New Roman" w:hAnsi="Times New Roman" w:eastAsia="宋体" w:cs="Times New Roman"/>
                      <w:sz w:val="21"/>
                      <w:szCs w:val="21"/>
                      <w:u w:val="none"/>
                      <w:lang w:val="en-US" w:eastAsia="zh-CN"/>
                    </w:rPr>
                    <w:t>0.69</w:t>
                  </w:r>
                </w:p>
              </w:tc>
            </w:tr>
            <w:tr w14:paraId="0135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02" w:type="pct"/>
                  <w:gridSpan w:val="2"/>
                  <w:noWrap w:val="0"/>
                  <w:vAlign w:val="center"/>
                </w:tcPr>
                <w:p w14:paraId="62B78D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排放口合计</w:t>
                  </w:r>
                </w:p>
              </w:tc>
              <w:tc>
                <w:tcPr>
                  <w:tcW w:w="735" w:type="pct"/>
                  <w:noWrap w:val="0"/>
                  <w:vAlign w:val="center"/>
                </w:tcPr>
                <w:p w14:paraId="0F4E7D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u w:val="none"/>
                      <w:lang w:val="en-US" w:eastAsia="zh-CN"/>
                    </w:rPr>
                  </w:pPr>
                </w:p>
              </w:tc>
              <w:tc>
                <w:tcPr>
                  <w:tcW w:w="2314" w:type="pct"/>
                  <w:gridSpan w:val="3"/>
                  <w:noWrap w:val="0"/>
                  <w:vAlign w:val="center"/>
                </w:tcPr>
                <w:p w14:paraId="241B32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颗粒物</w:t>
                  </w:r>
                </w:p>
              </w:tc>
              <w:tc>
                <w:tcPr>
                  <w:tcW w:w="747" w:type="pct"/>
                  <w:noWrap w:val="0"/>
                  <w:vAlign w:val="center"/>
                </w:tcPr>
                <w:p w14:paraId="291E5C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0.69</w:t>
                  </w:r>
                </w:p>
              </w:tc>
            </w:tr>
          </w:tbl>
          <w:p w14:paraId="08A397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表2-1</w:t>
            </w: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 xml:space="preserve">    现有工程无组织排放量核算</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631"/>
              <w:gridCol w:w="910"/>
              <w:gridCol w:w="1045"/>
              <w:gridCol w:w="994"/>
              <w:gridCol w:w="1986"/>
              <w:gridCol w:w="1222"/>
              <w:gridCol w:w="920"/>
            </w:tblGrid>
            <w:tr w14:paraId="663E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restart"/>
                  <w:noWrap w:val="0"/>
                  <w:vAlign w:val="center"/>
                </w:tcPr>
                <w:p w14:paraId="54A51E66">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序号</w:t>
                  </w:r>
                </w:p>
              </w:tc>
              <w:tc>
                <w:tcPr>
                  <w:tcW w:w="382" w:type="pct"/>
                  <w:vMerge w:val="restart"/>
                  <w:noWrap w:val="0"/>
                  <w:vAlign w:val="center"/>
                </w:tcPr>
                <w:p w14:paraId="303837DA">
                  <w:pPr>
                    <w:keepNext w:val="0"/>
                    <w:keepLines w:val="0"/>
                    <w:suppressLineNumbers w:val="0"/>
                    <w:spacing w:before="0" w:beforeAutospacing="0" w:after="0" w:afterAutospacing="0"/>
                    <w:ind w:left="0" w:right="0"/>
                    <w:jc w:val="center"/>
                    <w:rPr>
                      <w:rFonts w:hint="eastAsia" w:ascii="Times New Roman" w:hAnsi="Times New Roman"/>
                      <w:szCs w:val="21"/>
                      <w:u w:val="none"/>
                    </w:rPr>
                  </w:pPr>
                  <w:r>
                    <w:rPr>
                      <w:rFonts w:hint="default" w:ascii="Times New Roman" w:hAnsi="Times New Roman"/>
                      <w:szCs w:val="21"/>
                      <w:u w:val="none"/>
                    </w:rPr>
                    <w:t>排放</w:t>
                  </w:r>
                  <w:r>
                    <w:rPr>
                      <w:rFonts w:hint="eastAsia" w:ascii="Times New Roman" w:hAnsi="Times New Roman"/>
                      <w:szCs w:val="21"/>
                      <w:u w:val="none"/>
                    </w:rPr>
                    <w:t>位置</w:t>
                  </w:r>
                </w:p>
              </w:tc>
              <w:tc>
                <w:tcPr>
                  <w:tcW w:w="551" w:type="pct"/>
                  <w:vMerge w:val="restart"/>
                  <w:noWrap w:val="0"/>
                  <w:vAlign w:val="center"/>
                </w:tcPr>
                <w:p w14:paraId="7F50A31B">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产污环节</w:t>
                  </w:r>
                </w:p>
              </w:tc>
              <w:tc>
                <w:tcPr>
                  <w:tcW w:w="632" w:type="pct"/>
                  <w:vMerge w:val="restart"/>
                  <w:noWrap w:val="0"/>
                  <w:vAlign w:val="center"/>
                </w:tcPr>
                <w:p w14:paraId="479030D0">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污染物</w:t>
                  </w:r>
                </w:p>
              </w:tc>
              <w:tc>
                <w:tcPr>
                  <w:tcW w:w="602" w:type="pct"/>
                  <w:vMerge w:val="restart"/>
                  <w:noWrap w:val="0"/>
                  <w:vAlign w:val="center"/>
                </w:tcPr>
                <w:p w14:paraId="0894F844">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主要污染防治措施</w:t>
                  </w:r>
                </w:p>
              </w:tc>
              <w:tc>
                <w:tcPr>
                  <w:tcW w:w="1943" w:type="pct"/>
                  <w:gridSpan w:val="2"/>
                  <w:noWrap w:val="0"/>
                  <w:vAlign w:val="center"/>
                </w:tcPr>
                <w:p w14:paraId="6B719506">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国家或地方污染物排放标准</w:t>
                  </w:r>
                </w:p>
              </w:tc>
              <w:tc>
                <w:tcPr>
                  <w:tcW w:w="557" w:type="pct"/>
                  <w:vMerge w:val="restart"/>
                  <w:noWrap w:val="0"/>
                  <w:vAlign w:val="center"/>
                </w:tcPr>
                <w:p w14:paraId="67F87937">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年排放量（t/a）</w:t>
                  </w:r>
                </w:p>
              </w:tc>
            </w:tr>
            <w:tr w14:paraId="1590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continue"/>
                  <w:noWrap w:val="0"/>
                  <w:vAlign w:val="center"/>
                </w:tcPr>
                <w:p w14:paraId="6F45122B">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382" w:type="pct"/>
                  <w:vMerge w:val="continue"/>
                  <w:noWrap w:val="0"/>
                  <w:vAlign w:val="center"/>
                </w:tcPr>
                <w:p w14:paraId="44F21681">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551" w:type="pct"/>
                  <w:vMerge w:val="continue"/>
                  <w:noWrap w:val="0"/>
                  <w:vAlign w:val="center"/>
                </w:tcPr>
                <w:p w14:paraId="087E1FB1">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632" w:type="pct"/>
                  <w:vMerge w:val="continue"/>
                  <w:noWrap w:val="0"/>
                  <w:vAlign w:val="center"/>
                </w:tcPr>
                <w:p w14:paraId="64CC2302">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602" w:type="pct"/>
                  <w:vMerge w:val="continue"/>
                  <w:noWrap w:val="0"/>
                  <w:vAlign w:val="center"/>
                </w:tcPr>
                <w:p w14:paraId="1F31A383">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1202" w:type="pct"/>
                  <w:noWrap w:val="0"/>
                  <w:vAlign w:val="center"/>
                </w:tcPr>
                <w:p w14:paraId="0F7CD547">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标准名称</w:t>
                  </w:r>
                </w:p>
              </w:tc>
              <w:tc>
                <w:tcPr>
                  <w:tcW w:w="740" w:type="pct"/>
                  <w:noWrap w:val="0"/>
                  <w:vAlign w:val="center"/>
                </w:tcPr>
                <w:p w14:paraId="5659BF1D">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浓度限值（mg/m</w:t>
                  </w:r>
                  <w:r>
                    <w:rPr>
                      <w:rFonts w:hint="default" w:ascii="Times New Roman" w:hAnsi="Times New Roman"/>
                      <w:szCs w:val="21"/>
                      <w:u w:val="none"/>
                      <w:vertAlign w:val="superscript"/>
                    </w:rPr>
                    <w:t>3</w:t>
                  </w:r>
                  <w:r>
                    <w:rPr>
                      <w:rFonts w:hint="default" w:ascii="Times New Roman" w:hAnsi="Times New Roman"/>
                      <w:szCs w:val="21"/>
                      <w:u w:val="none"/>
                    </w:rPr>
                    <w:t>）</w:t>
                  </w:r>
                </w:p>
              </w:tc>
              <w:tc>
                <w:tcPr>
                  <w:tcW w:w="557" w:type="pct"/>
                  <w:vMerge w:val="continue"/>
                  <w:noWrap w:val="0"/>
                  <w:vAlign w:val="center"/>
                </w:tcPr>
                <w:p w14:paraId="0590EEAE">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r>
            <w:tr w14:paraId="1AE9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restart"/>
                  <w:noWrap w:val="0"/>
                  <w:vAlign w:val="center"/>
                </w:tcPr>
                <w:p w14:paraId="666A13C8">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1</w:t>
                  </w:r>
                </w:p>
              </w:tc>
              <w:tc>
                <w:tcPr>
                  <w:tcW w:w="382" w:type="pct"/>
                  <w:vMerge w:val="restart"/>
                  <w:noWrap w:val="0"/>
                  <w:vAlign w:val="center"/>
                </w:tcPr>
                <w:p w14:paraId="29466706">
                  <w:pPr>
                    <w:pStyle w:val="16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u w:val="none"/>
                    </w:rPr>
                  </w:pPr>
                  <w:r>
                    <w:rPr>
                      <w:rFonts w:hint="eastAsia" w:ascii="Times New Roman" w:hAnsi="Times New Roman"/>
                      <w:kern w:val="0"/>
                      <w:sz w:val="21"/>
                      <w:u w:val="none"/>
                    </w:rPr>
                    <w:t>1</w:t>
                  </w:r>
                  <w:r>
                    <w:rPr>
                      <w:rFonts w:hint="default" w:ascii="Times New Roman" w:hAnsi="Times New Roman"/>
                      <w:kern w:val="0"/>
                      <w:sz w:val="21"/>
                      <w:u w:val="none"/>
                    </w:rPr>
                    <w:t>#生产厂房</w:t>
                  </w:r>
                </w:p>
              </w:tc>
              <w:tc>
                <w:tcPr>
                  <w:tcW w:w="551" w:type="pct"/>
                  <w:vMerge w:val="restart"/>
                  <w:noWrap w:val="0"/>
                  <w:vAlign w:val="center"/>
                </w:tcPr>
                <w:p w14:paraId="14131674">
                  <w:pPr>
                    <w:pStyle w:val="16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u w:val="none"/>
                    </w:rPr>
                  </w:pPr>
                  <w:r>
                    <w:rPr>
                      <w:rFonts w:hint="eastAsia" w:ascii="Times New Roman" w:hAnsi="Times New Roman"/>
                      <w:bCs/>
                      <w:spacing w:val="-10"/>
                      <w:sz w:val="21"/>
                      <w:u w:val="none"/>
                    </w:rPr>
                    <w:t>机加工</w:t>
                  </w:r>
                </w:p>
              </w:tc>
              <w:tc>
                <w:tcPr>
                  <w:tcW w:w="632" w:type="pct"/>
                  <w:noWrap w:val="0"/>
                  <w:vAlign w:val="center"/>
                </w:tcPr>
                <w:p w14:paraId="172642B4">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eastAsia" w:ascii="Times New Roman" w:hAnsi="Times New Roman"/>
                      <w:szCs w:val="21"/>
                      <w:u w:val="none"/>
                    </w:rPr>
                    <w:t>颗粒物</w:t>
                  </w:r>
                </w:p>
              </w:tc>
              <w:tc>
                <w:tcPr>
                  <w:tcW w:w="602" w:type="pct"/>
                  <w:vMerge w:val="restart"/>
                  <w:noWrap w:val="0"/>
                  <w:vAlign w:val="center"/>
                </w:tcPr>
                <w:p w14:paraId="5D298E15">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密闭加工+负压收集+机械过滤</w:t>
                  </w:r>
                </w:p>
              </w:tc>
              <w:tc>
                <w:tcPr>
                  <w:tcW w:w="1202" w:type="pct"/>
                  <w:vMerge w:val="restart"/>
                  <w:noWrap w:val="0"/>
                  <w:vAlign w:val="center"/>
                </w:tcPr>
                <w:p w14:paraId="45E0746B">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eastAsia="zh-CN"/>
                    </w:rPr>
                    <w:t>《</w:t>
                  </w:r>
                  <w:r>
                    <w:rPr>
                      <w:rFonts w:hint="eastAsia" w:ascii="Times New Roman" w:hAnsi="Times New Roman"/>
                      <w:szCs w:val="21"/>
                      <w:u w:val="none"/>
                      <w:lang w:val="en-US" w:eastAsia="zh-CN"/>
                    </w:rPr>
                    <w:t>大气污染物综合排放标准</w:t>
                  </w:r>
                  <w:r>
                    <w:rPr>
                      <w:rFonts w:hint="eastAsia" w:ascii="Times New Roman" w:hAnsi="Times New Roman"/>
                      <w:szCs w:val="21"/>
                      <w:u w:val="none"/>
                      <w:lang w:eastAsia="zh-CN"/>
                    </w:rPr>
                    <w:t>》（</w:t>
                  </w:r>
                  <w:r>
                    <w:rPr>
                      <w:rFonts w:hint="eastAsia" w:ascii="Times New Roman" w:hAnsi="Times New Roman"/>
                      <w:szCs w:val="21"/>
                      <w:u w:val="none"/>
                      <w:lang w:val="en-US" w:eastAsia="zh-CN"/>
                    </w:rPr>
                    <w:t>GB16297-1996</w:t>
                  </w:r>
                  <w:r>
                    <w:rPr>
                      <w:rFonts w:hint="eastAsia" w:ascii="Times New Roman" w:hAnsi="Times New Roman"/>
                      <w:szCs w:val="21"/>
                      <w:u w:val="none"/>
                      <w:lang w:eastAsia="zh-CN"/>
                    </w:rPr>
                    <w:t>）</w:t>
                  </w:r>
                </w:p>
              </w:tc>
              <w:tc>
                <w:tcPr>
                  <w:tcW w:w="740" w:type="pct"/>
                  <w:noWrap w:val="0"/>
                  <w:vAlign w:val="center"/>
                </w:tcPr>
                <w:p w14:paraId="486F55DD">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eastAsia" w:ascii="Times New Roman" w:hAnsi="Times New Roman"/>
                      <w:szCs w:val="21"/>
                      <w:u w:val="none"/>
                    </w:rPr>
                    <w:t>1.0</w:t>
                  </w:r>
                </w:p>
              </w:tc>
              <w:tc>
                <w:tcPr>
                  <w:tcW w:w="557" w:type="pct"/>
                  <w:noWrap w:val="0"/>
                  <w:vAlign w:val="center"/>
                </w:tcPr>
                <w:p w14:paraId="489133AA">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0.0</w:t>
                  </w:r>
                  <w:r>
                    <w:rPr>
                      <w:rFonts w:hint="eastAsia"/>
                      <w:szCs w:val="21"/>
                      <w:u w:val="none"/>
                      <w:lang w:val="en-US" w:eastAsia="zh-CN"/>
                    </w:rPr>
                    <w:t>632</w:t>
                  </w:r>
                </w:p>
              </w:tc>
            </w:tr>
            <w:tr w14:paraId="4A04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continue"/>
                  <w:noWrap w:val="0"/>
                  <w:vAlign w:val="center"/>
                </w:tcPr>
                <w:p w14:paraId="66BF7544">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382" w:type="pct"/>
                  <w:vMerge w:val="continue"/>
                  <w:noWrap w:val="0"/>
                  <w:vAlign w:val="center"/>
                </w:tcPr>
                <w:p w14:paraId="23F91028">
                  <w:pPr>
                    <w:pStyle w:val="16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kern w:val="0"/>
                      <w:sz w:val="21"/>
                      <w:u w:val="none"/>
                    </w:rPr>
                  </w:pPr>
                </w:p>
              </w:tc>
              <w:tc>
                <w:tcPr>
                  <w:tcW w:w="551" w:type="pct"/>
                  <w:vMerge w:val="continue"/>
                  <w:noWrap w:val="0"/>
                  <w:vAlign w:val="center"/>
                </w:tcPr>
                <w:p w14:paraId="62B6A170">
                  <w:pPr>
                    <w:pStyle w:val="16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bCs/>
                      <w:spacing w:val="-10"/>
                      <w:sz w:val="21"/>
                      <w:u w:val="none"/>
                    </w:rPr>
                  </w:pPr>
                </w:p>
              </w:tc>
              <w:tc>
                <w:tcPr>
                  <w:tcW w:w="632" w:type="pct"/>
                  <w:noWrap w:val="0"/>
                  <w:vAlign w:val="center"/>
                </w:tcPr>
                <w:p w14:paraId="230B7520">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非甲烷总烃</w:t>
                  </w:r>
                </w:p>
              </w:tc>
              <w:tc>
                <w:tcPr>
                  <w:tcW w:w="602" w:type="pct"/>
                  <w:vMerge w:val="continue"/>
                  <w:noWrap w:val="0"/>
                  <w:vAlign w:val="center"/>
                </w:tcPr>
                <w:p w14:paraId="5CAF0320">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1202" w:type="pct"/>
                  <w:vMerge w:val="continue"/>
                  <w:noWrap w:val="0"/>
                  <w:vAlign w:val="center"/>
                </w:tcPr>
                <w:p w14:paraId="43BFFC17">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740" w:type="pct"/>
                  <w:noWrap w:val="0"/>
                  <w:vAlign w:val="center"/>
                </w:tcPr>
                <w:p w14:paraId="1B3948FB">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4.0</w:t>
                  </w:r>
                </w:p>
              </w:tc>
              <w:tc>
                <w:tcPr>
                  <w:tcW w:w="557" w:type="pct"/>
                  <w:noWrap w:val="0"/>
                  <w:vAlign w:val="center"/>
                </w:tcPr>
                <w:p w14:paraId="7A9978D4">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0.00</w:t>
                  </w:r>
                  <w:r>
                    <w:rPr>
                      <w:rFonts w:hint="eastAsia"/>
                      <w:szCs w:val="21"/>
                      <w:u w:val="none"/>
                      <w:lang w:val="en-US" w:eastAsia="zh-CN"/>
                    </w:rPr>
                    <w:t>451</w:t>
                  </w:r>
                </w:p>
              </w:tc>
            </w:tr>
            <w:tr w14:paraId="4BC4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continue"/>
                  <w:noWrap w:val="0"/>
                  <w:vAlign w:val="center"/>
                </w:tcPr>
                <w:p w14:paraId="563B9123">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382" w:type="pct"/>
                  <w:vMerge w:val="continue"/>
                  <w:noWrap w:val="0"/>
                  <w:vAlign w:val="center"/>
                </w:tcPr>
                <w:p w14:paraId="10719EC3">
                  <w:pPr>
                    <w:pStyle w:val="16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kern w:val="0"/>
                      <w:sz w:val="21"/>
                      <w:u w:val="none"/>
                    </w:rPr>
                  </w:pPr>
                </w:p>
              </w:tc>
              <w:tc>
                <w:tcPr>
                  <w:tcW w:w="551" w:type="pct"/>
                  <w:noWrap w:val="0"/>
                  <w:vAlign w:val="center"/>
                </w:tcPr>
                <w:p w14:paraId="5B838843">
                  <w:pPr>
                    <w:pStyle w:val="16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Cs/>
                      <w:spacing w:val="-10"/>
                      <w:sz w:val="21"/>
                      <w:u w:val="none"/>
                      <w:lang w:val="en-US" w:eastAsia="zh-CN"/>
                    </w:rPr>
                  </w:pPr>
                  <w:r>
                    <w:rPr>
                      <w:rFonts w:hint="eastAsia" w:ascii="Times New Roman" w:hAnsi="Times New Roman"/>
                      <w:bCs/>
                      <w:spacing w:val="-10"/>
                      <w:sz w:val="21"/>
                      <w:u w:val="none"/>
                      <w:lang w:val="en-US" w:eastAsia="zh-CN"/>
                    </w:rPr>
                    <w:t>高频淬火</w:t>
                  </w:r>
                </w:p>
              </w:tc>
              <w:tc>
                <w:tcPr>
                  <w:tcW w:w="632" w:type="pct"/>
                  <w:noWrap w:val="0"/>
                  <w:vAlign w:val="center"/>
                </w:tcPr>
                <w:p w14:paraId="2E5B4CC8">
                  <w:pPr>
                    <w:keepNext w:val="0"/>
                    <w:keepLines w:val="0"/>
                    <w:suppressLineNumbers w:val="0"/>
                    <w:spacing w:before="0" w:beforeAutospacing="0" w:after="0" w:afterAutospacing="0"/>
                    <w:ind w:left="0" w:right="0"/>
                    <w:jc w:val="center"/>
                    <w:rPr>
                      <w:rFonts w:hint="eastAsia" w:ascii="Times New Roman" w:hAnsi="Times New Roman"/>
                      <w:szCs w:val="21"/>
                      <w:u w:val="none"/>
                    </w:rPr>
                  </w:pPr>
                  <w:r>
                    <w:rPr>
                      <w:rFonts w:hint="eastAsia" w:ascii="Times New Roman" w:hAnsi="Times New Roman"/>
                      <w:szCs w:val="21"/>
                      <w:u w:val="none"/>
                      <w:lang w:val="en-US" w:eastAsia="zh-CN"/>
                    </w:rPr>
                    <w:t>非甲烷总烃</w:t>
                  </w:r>
                </w:p>
              </w:tc>
              <w:tc>
                <w:tcPr>
                  <w:tcW w:w="602" w:type="pct"/>
                  <w:noWrap w:val="0"/>
                  <w:vAlign w:val="center"/>
                </w:tcPr>
                <w:p w14:paraId="6759A131">
                  <w:pPr>
                    <w:keepNext w:val="0"/>
                    <w:keepLines w:val="0"/>
                    <w:suppressLineNumbers w:val="0"/>
                    <w:spacing w:before="0" w:beforeAutospacing="0" w:after="0" w:afterAutospacing="0"/>
                    <w:ind w:left="0" w:right="0"/>
                    <w:jc w:val="center"/>
                    <w:rPr>
                      <w:rFonts w:hint="eastAsia" w:ascii="Times New Roman" w:hAnsi="Times New Roman" w:eastAsia="宋体"/>
                      <w:szCs w:val="21"/>
                      <w:u w:val="none"/>
                      <w:lang w:val="en-US" w:eastAsia="zh-CN"/>
                    </w:rPr>
                  </w:pPr>
                  <w:r>
                    <w:rPr>
                      <w:rFonts w:hint="eastAsia" w:ascii="Times New Roman" w:hAnsi="Times New Roman"/>
                      <w:szCs w:val="21"/>
                      <w:u w:val="none"/>
                      <w:lang w:val="en-US" w:eastAsia="zh-CN"/>
                    </w:rPr>
                    <w:t>/</w:t>
                  </w:r>
                </w:p>
              </w:tc>
              <w:tc>
                <w:tcPr>
                  <w:tcW w:w="1202" w:type="pct"/>
                  <w:vMerge w:val="continue"/>
                  <w:noWrap w:val="0"/>
                  <w:vAlign w:val="center"/>
                </w:tcPr>
                <w:p w14:paraId="14789BAD">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740" w:type="pct"/>
                  <w:noWrap w:val="0"/>
                  <w:vAlign w:val="center"/>
                </w:tcPr>
                <w:p w14:paraId="50EBD30C">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4.0</w:t>
                  </w:r>
                </w:p>
              </w:tc>
              <w:tc>
                <w:tcPr>
                  <w:tcW w:w="557" w:type="pct"/>
                  <w:noWrap w:val="0"/>
                  <w:vAlign w:val="center"/>
                </w:tcPr>
                <w:p w14:paraId="009251EA">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0.0081</w:t>
                  </w:r>
                </w:p>
              </w:tc>
            </w:tr>
            <w:tr w14:paraId="02C3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continue"/>
                  <w:noWrap w:val="0"/>
                  <w:vAlign w:val="center"/>
                </w:tcPr>
                <w:p w14:paraId="285E4D6D">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382" w:type="pct"/>
                  <w:vMerge w:val="continue"/>
                  <w:noWrap w:val="0"/>
                  <w:vAlign w:val="center"/>
                </w:tcPr>
                <w:p w14:paraId="424AB5B2">
                  <w:pPr>
                    <w:pStyle w:val="16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kern w:val="0"/>
                      <w:sz w:val="21"/>
                      <w:u w:val="none"/>
                    </w:rPr>
                  </w:pPr>
                </w:p>
              </w:tc>
              <w:tc>
                <w:tcPr>
                  <w:tcW w:w="551" w:type="pct"/>
                  <w:noWrap w:val="0"/>
                  <w:vAlign w:val="center"/>
                </w:tcPr>
                <w:p w14:paraId="18CB654A">
                  <w:pPr>
                    <w:pStyle w:val="29"/>
                    <w:keepNext w:val="0"/>
                    <w:keepLines w:val="0"/>
                    <w:widowControl w:val="0"/>
                    <w:suppressLineNumbers w:val="0"/>
                    <w:spacing w:before="0" w:beforeAutospacing="0" w:after="0" w:afterAutospacing="0"/>
                    <w:ind w:left="0" w:right="0"/>
                    <w:jc w:val="center"/>
                    <w:rPr>
                      <w:rFonts w:hint="default" w:ascii="Times New Roman" w:hAnsi="Times New Roman"/>
                      <w:bCs/>
                      <w:spacing w:val="-10"/>
                      <w:sz w:val="21"/>
                      <w:szCs w:val="21"/>
                      <w:u w:val="none"/>
                      <w:lang w:val="en-US" w:eastAsia="zh-CN"/>
                    </w:rPr>
                  </w:pPr>
                  <w:r>
                    <w:rPr>
                      <w:rFonts w:hint="eastAsia" w:ascii="Times New Roman" w:hAnsi="Times New Roman"/>
                      <w:bCs/>
                      <w:spacing w:val="-10"/>
                      <w:sz w:val="21"/>
                      <w:szCs w:val="21"/>
                      <w:u w:val="none"/>
                      <w:lang w:val="en-US" w:eastAsia="zh-CN"/>
                    </w:rPr>
                    <w:t>表面喷砂</w:t>
                  </w:r>
                </w:p>
              </w:tc>
              <w:tc>
                <w:tcPr>
                  <w:tcW w:w="632" w:type="pct"/>
                  <w:noWrap w:val="0"/>
                  <w:vAlign w:val="center"/>
                </w:tcPr>
                <w:p w14:paraId="66E6112A">
                  <w:pPr>
                    <w:keepNext w:val="0"/>
                    <w:keepLines w:val="0"/>
                    <w:suppressLineNumbers w:val="0"/>
                    <w:spacing w:before="0" w:beforeAutospacing="0" w:after="0" w:afterAutospacing="0"/>
                    <w:ind w:left="0" w:right="0"/>
                    <w:jc w:val="center"/>
                    <w:rPr>
                      <w:rFonts w:hint="eastAsia" w:ascii="Times New Roman" w:hAnsi="Times New Roman" w:eastAsia="宋体"/>
                      <w:szCs w:val="21"/>
                      <w:u w:val="none"/>
                      <w:lang w:val="en-US" w:eastAsia="zh-CN"/>
                    </w:rPr>
                  </w:pPr>
                  <w:r>
                    <w:rPr>
                      <w:rFonts w:hint="eastAsia" w:ascii="Times New Roman" w:hAnsi="Times New Roman"/>
                      <w:szCs w:val="21"/>
                      <w:u w:val="none"/>
                      <w:lang w:val="en-US" w:eastAsia="zh-CN"/>
                    </w:rPr>
                    <w:t>颗粒物</w:t>
                  </w:r>
                </w:p>
              </w:tc>
              <w:tc>
                <w:tcPr>
                  <w:tcW w:w="602" w:type="pct"/>
                  <w:noWrap w:val="0"/>
                  <w:vAlign w:val="center"/>
                </w:tcPr>
                <w:p w14:paraId="549C43C2">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设备自带除尘设施</w:t>
                  </w:r>
                </w:p>
              </w:tc>
              <w:tc>
                <w:tcPr>
                  <w:tcW w:w="1202" w:type="pct"/>
                  <w:vMerge w:val="continue"/>
                  <w:noWrap w:val="0"/>
                  <w:vAlign w:val="center"/>
                </w:tcPr>
                <w:p w14:paraId="1F296001">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740" w:type="pct"/>
                  <w:noWrap w:val="0"/>
                  <w:vAlign w:val="center"/>
                </w:tcPr>
                <w:p w14:paraId="6D9D5193">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eastAsia" w:ascii="Times New Roman" w:hAnsi="Times New Roman"/>
                      <w:szCs w:val="21"/>
                      <w:u w:val="none"/>
                    </w:rPr>
                    <w:t>1.0</w:t>
                  </w:r>
                </w:p>
              </w:tc>
              <w:tc>
                <w:tcPr>
                  <w:tcW w:w="557" w:type="pct"/>
                  <w:noWrap w:val="0"/>
                  <w:vAlign w:val="center"/>
                </w:tcPr>
                <w:p w14:paraId="1DC653F2">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0.</w:t>
                  </w:r>
                  <w:r>
                    <w:rPr>
                      <w:rFonts w:hint="eastAsia"/>
                      <w:szCs w:val="21"/>
                      <w:u w:val="none"/>
                      <w:lang w:val="en-US" w:eastAsia="zh-CN"/>
                    </w:rPr>
                    <w:t>14</w:t>
                  </w:r>
                </w:p>
              </w:tc>
            </w:tr>
            <w:tr w14:paraId="23F5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6" w:type="pct"/>
                  <w:gridSpan w:val="4"/>
                  <w:vMerge w:val="restart"/>
                  <w:noWrap w:val="0"/>
                  <w:vAlign w:val="center"/>
                </w:tcPr>
                <w:p w14:paraId="71E54F69">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无组织排放总计</w:t>
                  </w:r>
                </w:p>
              </w:tc>
              <w:tc>
                <w:tcPr>
                  <w:tcW w:w="1805" w:type="pct"/>
                  <w:gridSpan w:val="2"/>
                  <w:noWrap w:val="0"/>
                  <w:vAlign w:val="center"/>
                </w:tcPr>
                <w:p w14:paraId="6ADFEDF6">
                  <w:pPr>
                    <w:keepNext w:val="0"/>
                    <w:keepLines w:val="0"/>
                    <w:suppressLineNumbers w:val="0"/>
                    <w:spacing w:before="0" w:beforeAutospacing="0" w:after="0" w:afterAutospacing="0"/>
                    <w:ind w:left="0" w:right="0"/>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非甲烷总烃</w:t>
                  </w:r>
                </w:p>
              </w:tc>
              <w:tc>
                <w:tcPr>
                  <w:tcW w:w="1297" w:type="pct"/>
                  <w:gridSpan w:val="2"/>
                  <w:noWrap w:val="0"/>
                  <w:vAlign w:val="center"/>
                </w:tcPr>
                <w:p w14:paraId="2702D61C">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szCs w:val="21"/>
                      <w:u w:val="none"/>
                      <w:lang w:val="en-US" w:eastAsia="zh-CN"/>
                    </w:rPr>
                    <w:t>0.01261</w:t>
                  </w:r>
                </w:p>
              </w:tc>
            </w:tr>
            <w:tr w14:paraId="2565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6" w:type="pct"/>
                  <w:gridSpan w:val="4"/>
                  <w:vMerge w:val="continue"/>
                  <w:noWrap w:val="0"/>
                  <w:vAlign w:val="center"/>
                </w:tcPr>
                <w:p w14:paraId="27F68736">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1805" w:type="pct"/>
                  <w:gridSpan w:val="2"/>
                  <w:noWrap w:val="0"/>
                  <w:vAlign w:val="center"/>
                </w:tcPr>
                <w:p w14:paraId="48D79961">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eastAsia" w:ascii="Times New Roman" w:hAnsi="Times New Roman"/>
                      <w:szCs w:val="21"/>
                      <w:u w:val="none"/>
                    </w:rPr>
                    <w:t>颗粒物</w:t>
                  </w:r>
                </w:p>
              </w:tc>
              <w:tc>
                <w:tcPr>
                  <w:tcW w:w="1297" w:type="pct"/>
                  <w:gridSpan w:val="2"/>
                  <w:noWrap w:val="0"/>
                  <w:vAlign w:val="center"/>
                </w:tcPr>
                <w:p w14:paraId="5772DA1E">
                  <w:pPr>
                    <w:keepNext w:val="0"/>
                    <w:keepLines w:val="0"/>
                    <w:suppressLineNumbers w:val="0"/>
                    <w:spacing w:before="0" w:beforeAutospacing="0" w:after="0" w:afterAutospacing="0"/>
                    <w:ind w:left="0" w:right="0"/>
                    <w:jc w:val="center"/>
                    <w:rPr>
                      <w:rFonts w:hint="default" w:ascii="Times New Roman" w:hAnsi="Times New Roman"/>
                      <w:szCs w:val="21"/>
                      <w:u w:val="none"/>
                      <w:lang w:val="en-US" w:eastAsia="zh-CN"/>
                    </w:rPr>
                  </w:pPr>
                  <w:r>
                    <w:rPr>
                      <w:rFonts w:hint="eastAsia"/>
                      <w:szCs w:val="21"/>
                      <w:u w:val="none"/>
                      <w:lang w:val="en-US" w:eastAsia="zh-CN"/>
                    </w:rPr>
                    <w:t>0.2032</w:t>
                  </w:r>
                </w:p>
              </w:tc>
            </w:tr>
          </w:tbl>
          <w:p w14:paraId="30C6166B">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废水</w:t>
            </w:r>
          </w:p>
          <w:p w14:paraId="09CEE5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现有工程主要废水为员工的生活污水，通过市政管网排入湘阴县第二污水处理厂深度处理。</w:t>
            </w:r>
          </w:p>
          <w:p w14:paraId="30CACDE5">
            <w:pPr>
              <w:keepNext w:val="0"/>
              <w:keepLines w:val="0"/>
              <w:suppressLineNumbers w:val="0"/>
              <w:spacing w:before="0" w:beforeAutospacing="0" w:after="0" w:afterAutospacing="0"/>
              <w:ind w:left="0" w:right="0"/>
              <w:jc w:val="center"/>
              <w:rPr>
                <w:rFonts w:hint="default"/>
                <w:b/>
                <w:bCs/>
                <w:lang w:val="en-US"/>
              </w:rPr>
            </w:pPr>
            <w:r>
              <w:rPr>
                <w:rFonts w:hint="eastAsia"/>
                <w:b/>
                <w:bCs/>
              </w:rPr>
              <w:t>表</w:t>
            </w:r>
            <w:r>
              <w:rPr>
                <w:rFonts w:hint="eastAsia"/>
                <w:b/>
                <w:bCs/>
                <w:lang w:val="en-US" w:eastAsia="zh-CN"/>
              </w:rPr>
              <w:t>2-14</w:t>
            </w:r>
            <w:r>
              <w:rPr>
                <w:rFonts w:hint="eastAsia"/>
                <w:b/>
                <w:bCs/>
              </w:rPr>
              <w:t xml:space="preserve">     </w:t>
            </w:r>
            <w:r>
              <w:rPr>
                <w:rFonts w:hint="eastAsia"/>
                <w:b/>
                <w:bCs/>
                <w:lang w:val="en-US" w:eastAsia="zh-CN"/>
              </w:rPr>
              <w:t>现有工程</w:t>
            </w:r>
            <w:r>
              <w:rPr>
                <w:rFonts w:hint="eastAsia"/>
                <w:b/>
                <w:bCs/>
                <w:lang w:eastAsia="zh-CN"/>
              </w:rPr>
              <w:t>生活污水</w:t>
            </w:r>
            <w:r>
              <w:rPr>
                <w:rFonts w:hint="eastAsia"/>
                <w:b/>
                <w:bCs/>
                <w:lang w:val="en-US" w:eastAsia="zh-CN"/>
              </w:rPr>
              <w:t>排放量核算</w:t>
            </w:r>
          </w:p>
          <w:tbl>
            <w:tblPr>
              <w:tblStyle w:val="33"/>
              <w:tblW w:w="82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6"/>
              <w:gridCol w:w="1177"/>
              <w:gridCol w:w="993"/>
              <w:gridCol w:w="1130"/>
              <w:gridCol w:w="1080"/>
              <w:gridCol w:w="1035"/>
              <w:gridCol w:w="1009"/>
              <w:gridCol w:w="1013"/>
            </w:tblGrid>
            <w:tr w14:paraId="2D137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20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5FD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产排污环节</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56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治理措施</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740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产生规模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F79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处理效率</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D3E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污染物排放量</w:t>
                  </w:r>
                  <w:r>
                    <w:rPr>
                      <w:rFonts w:hint="default" w:ascii="Times New Roman" w:hAnsi="Times New Roman" w:eastAsia="宋体" w:cs="Times New Roman"/>
                      <w:i w:val="0"/>
                      <w:iCs w:val="0"/>
                      <w:color w:val="000000"/>
                      <w:kern w:val="0"/>
                      <w:sz w:val="21"/>
                      <w:szCs w:val="21"/>
                      <w:u w:val="none"/>
                      <w:lang w:val="en-US" w:eastAsia="zh-CN" w:bidi="ar"/>
                    </w:rPr>
                    <w:t>t/a</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869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排放浓度</w:t>
                  </w: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106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排放口编号</w:t>
                  </w:r>
                </w:p>
              </w:tc>
            </w:tr>
            <w:tr w14:paraId="339BC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70D9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员工生活</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05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0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2BA4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三格化粪池</w:t>
                  </w: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7E19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11614.5</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52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0.43</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8D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1.8868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BE5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162.45</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09D7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DW001</w:t>
                  </w:r>
                </w:p>
              </w:tc>
            </w:tr>
            <w:tr w14:paraId="3209A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FABD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6E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04A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8596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7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0.275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E0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0.2383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23E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20.52</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8BB7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4B803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661B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3C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3234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9283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27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48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1.0453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0FA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90.00</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9091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18E4F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7547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14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4278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9ED8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9D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B1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0.5749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7B2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49.50</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8269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56023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1AF5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98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TN</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FCA1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D047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62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7D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0.3890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6E4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33.49</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A9CD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17937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8098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44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TP</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F5D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E03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2B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0.275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30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0.0345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B2E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2.97</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93B8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6BA33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DD7F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D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8280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1817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A7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0.756</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CC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0.0850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C99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7.32</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6E11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bl>
          <w:p w14:paraId="719B3B47">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噪声</w:t>
            </w:r>
          </w:p>
          <w:p w14:paraId="11B5AB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现有工程主要为设备生产的噪声，经预测，噪声贡献值如下</w:t>
            </w:r>
          </w:p>
          <w:p w14:paraId="76B77094">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表2-1</w:t>
            </w:r>
            <w:r>
              <w:rPr>
                <w:rFonts w:hint="eastAsia" w:cs="Times New Roman"/>
                <w:b/>
                <w:bCs/>
                <w:lang w:val="en-US" w:eastAsia="zh-CN"/>
              </w:rPr>
              <w:t>5</w:t>
            </w:r>
            <w:r>
              <w:rPr>
                <w:rFonts w:hint="eastAsia" w:ascii="Times New Roman" w:hAnsi="Times New Roman" w:eastAsia="宋体" w:cs="Times New Roman"/>
                <w:b/>
                <w:bCs/>
                <w:lang w:val="en-US" w:eastAsia="zh-CN"/>
              </w:rPr>
              <w:t xml:space="preserve">   现有工程噪声预测结果</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2"/>
              <w:gridCol w:w="2064"/>
              <w:gridCol w:w="2064"/>
              <w:gridCol w:w="2063"/>
            </w:tblGrid>
            <w:tr w14:paraId="3AE7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65" w:type="dxa"/>
                  <w:vAlign w:val="center"/>
                </w:tcPr>
                <w:p w14:paraId="4E1B85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方位</w:t>
                  </w:r>
                </w:p>
              </w:tc>
              <w:tc>
                <w:tcPr>
                  <w:tcW w:w="2066" w:type="dxa"/>
                  <w:vAlign w:val="center"/>
                </w:tcPr>
                <w:p w14:paraId="73482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预测结果</w:t>
                  </w:r>
                  <w:r>
                    <w:rPr>
                      <w:rFonts w:hint="eastAsia" w:ascii="Times New Roman" w:hAnsi="Times New Roman" w:cs="Times New Roman"/>
                      <w:bCs/>
                      <w:color w:val="auto"/>
                      <w:sz w:val="21"/>
                      <w:szCs w:val="21"/>
                      <w:highlight w:val="none"/>
                      <w:u w:val="none" w:color="auto"/>
                      <w:lang w:val="en-US" w:eastAsia="zh-CN"/>
                    </w:rPr>
                    <w:t>db（A）</w:t>
                  </w:r>
                </w:p>
              </w:tc>
              <w:tc>
                <w:tcPr>
                  <w:tcW w:w="2066" w:type="dxa"/>
                  <w:vAlign w:val="center"/>
                </w:tcPr>
                <w:p w14:paraId="61E4F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标准</w:t>
                  </w:r>
                  <w:r>
                    <w:rPr>
                      <w:rFonts w:hint="eastAsia" w:ascii="Times New Roman" w:hAnsi="Times New Roman" w:cs="Times New Roman"/>
                      <w:bCs/>
                      <w:color w:val="auto"/>
                      <w:sz w:val="21"/>
                      <w:szCs w:val="21"/>
                      <w:highlight w:val="none"/>
                      <w:u w:val="none" w:color="auto"/>
                      <w:lang w:val="en-US" w:eastAsia="zh-CN"/>
                    </w:rPr>
                    <w:t>db（A）</w:t>
                  </w:r>
                </w:p>
              </w:tc>
              <w:tc>
                <w:tcPr>
                  <w:tcW w:w="2066" w:type="dxa"/>
                  <w:vAlign w:val="center"/>
                </w:tcPr>
                <w:p w14:paraId="769B1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是否达标</w:t>
                  </w:r>
                </w:p>
              </w:tc>
            </w:tr>
            <w:tr w14:paraId="51ED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14:paraId="2AA84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厂界（东侧）</w:t>
                  </w:r>
                </w:p>
              </w:tc>
              <w:tc>
                <w:tcPr>
                  <w:tcW w:w="2066" w:type="dxa"/>
                  <w:vAlign w:val="center"/>
                </w:tcPr>
                <w:p w14:paraId="2B932A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55-60</w:t>
                  </w:r>
                </w:p>
              </w:tc>
              <w:tc>
                <w:tcPr>
                  <w:tcW w:w="2066" w:type="dxa"/>
                  <w:vAlign w:val="center"/>
                </w:tcPr>
                <w:p w14:paraId="1C4CF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65</w:t>
                  </w:r>
                </w:p>
              </w:tc>
              <w:tc>
                <w:tcPr>
                  <w:tcW w:w="2066" w:type="dxa"/>
                  <w:vAlign w:val="center"/>
                </w:tcPr>
                <w:p w14:paraId="607003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w:t>
                  </w:r>
                </w:p>
              </w:tc>
            </w:tr>
            <w:tr w14:paraId="4E18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14:paraId="714D4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厂界（南侧）</w:t>
                  </w:r>
                </w:p>
              </w:tc>
              <w:tc>
                <w:tcPr>
                  <w:tcW w:w="2066" w:type="dxa"/>
                  <w:vAlign w:val="center"/>
                </w:tcPr>
                <w:p w14:paraId="6E9B8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55-60</w:t>
                  </w:r>
                </w:p>
              </w:tc>
              <w:tc>
                <w:tcPr>
                  <w:tcW w:w="2066" w:type="dxa"/>
                  <w:vAlign w:val="center"/>
                </w:tcPr>
                <w:p w14:paraId="436BB2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65</w:t>
                  </w:r>
                </w:p>
              </w:tc>
              <w:tc>
                <w:tcPr>
                  <w:tcW w:w="2066" w:type="dxa"/>
                  <w:vAlign w:val="center"/>
                </w:tcPr>
                <w:p w14:paraId="6975AF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w:t>
                  </w:r>
                </w:p>
              </w:tc>
            </w:tr>
            <w:tr w14:paraId="38D2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14:paraId="48E47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厂界（西侧）</w:t>
                  </w:r>
                </w:p>
              </w:tc>
              <w:tc>
                <w:tcPr>
                  <w:tcW w:w="2066" w:type="dxa"/>
                  <w:vAlign w:val="center"/>
                </w:tcPr>
                <w:p w14:paraId="38E93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50-55</w:t>
                  </w:r>
                </w:p>
              </w:tc>
              <w:tc>
                <w:tcPr>
                  <w:tcW w:w="2066" w:type="dxa"/>
                  <w:vAlign w:val="center"/>
                </w:tcPr>
                <w:p w14:paraId="1F569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65</w:t>
                  </w:r>
                </w:p>
              </w:tc>
              <w:tc>
                <w:tcPr>
                  <w:tcW w:w="2066" w:type="dxa"/>
                  <w:vAlign w:val="center"/>
                </w:tcPr>
                <w:p w14:paraId="197B2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w:t>
                  </w:r>
                </w:p>
              </w:tc>
            </w:tr>
            <w:tr w14:paraId="6509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14:paraId="1AFAA5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厂界（北侧）</w:t>
                  </w:r>
                </w:p>
              </w:tc>
              <w:tc>
                <w:tcPr>
                  <w:tcW w:w="2066" w:type="dxa"/>
                  <w:vAlign w:val="center"/>
                </w:tcPr>
                <w:p w14:paraId="3B177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55-60</w:t>
                  </w:r>
                </w:p>
              </w:tc>
              <w:tc>
                <w:tcPr>
                  <w:tcW w:w="2066" w:type="dxa"/>
                  <w:vAlign w:val="center"/>
                </w:tcPr>
                <w:p w14:paraId="0AF09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65</w:t>
                  </w:r>
                </w:p>
              </w:tc>
              <w:tc>
                <w:tcPr>
                  <w:tcW w:w="2066" w:type="dxa"/>
                  <w:vAlign w:val="center"/>
                </w:tcPr>
                <w:p w14:paraId="561CA6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w:t>
                  </w:r>
                </w:p>
              </w:tc>
            </w:tr>
            <w:tr w14:paraId="6D88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14:paraId="653DA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敏感区</w:t>
                  </w:r>
                </w:p>
              </w:tc>
              <w:tc>
                <w:tcPr>
                  <w:tcW w:w="2066" w:type="dxa"/>
                  <w:vAlign w:val="center"/>
                </w:tcPr>
                <w:p w14:paraId="50EBB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50-55</w:t>
                  </w:r>
                </w:p>
              </w:tc>
              <w:tc>
                <w:tcPr>
                  <w:tcW w:w="2066" w:type="dxa"/>
                  <w:vAlign w:val="center"/>
                </w:tcPr>
                <w:p w14:paraId="25855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60</w:t>
                  </w:r>
                </w:p>
              </w:tc>
              <w:tc>
                <w:tcPr>
                  <w:tcW w:w="2066" w:type="dxa"/>
                  <w:vAlign w:val="center"/>
                </w:tcPr>
                <w:p w14:paraId="7F8092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w:t>
                  </w:r>
                </w:p>
              </w:tc>
            </w:tr>
          </w:tbl>
          <w:p w14:paraId="2B86321F">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固废</w:t>
            </w:r>
          </w:p>
          <w:p w14:paraId="053064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现有工程目主要固体废物有员工办公产生的生活垃圾，一般固废有机加工产生的废边角料、废包装，危险固废有废切削液、废切削液桶、废润滑油、废润滑油桶、含油抹布等</w:t>
            </w:r>
          </w:p>
          <w:p w14:paraId="57A9B645">
            <w:pPr>
              <w:keepNext w:val="0"/>
              <w:keepLines w:val="0"/>
              <w:suppressLineNumbers w:val="0"/>
              <w:spacing w:before="0" w:beforeAutospacing="0" w:after="0" w:afterAutospacing="0"/>
              <w:ind w:left="0" w:right="0" w:firstLine="48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表</w:t>
            </w:r>
            <w:r>
              <w:rPr>
                <w:rFonts w:hint="eastAsia" w:ascii="Times New Roman" w:hAnsi="Times New Roman" w:eastAsia="宋体" w:cs="Times New Roman"/>
                <w:b/>
                <w:bCs/>
                <w:color w:val="auto"/>
                <w:sz w:val="21"/>
                <w:szCs w:val="24"/>
                <w:lang w:val="en-US" w:eastAsia="zh-CN"/>
              </w:rPr>
              <w:t>2-1</w:t>
            </w:r>
            <w:r>
              <w:rPr>
                <w:rFonts w:hint="eastAsia" w:cs="Times New Roman"/>
                <w:b/>
                <w:bCs/>
                <w:color w:val="auto"/>
                <w:sz w:val="21"/>
                <w:szCs w:val="24"/>
                <w:lang w:val="en-US" w:eastAsia="zh-CN"/>
              </w:rPr>
              <w:t>6</w:t>
            </w:r>
            <w:r>
              <w:rPr>
                <w:rFonts w:hint="default" w:ascii="Times New Roman" w:hAnsi="Times New Roman" w:eastAsia="宋体" w:cs="Times New Roman"/>
                <w:b/>
                <w:bCs/>
                <w:color w:val="auto"/>
                <w:sz w:val="21"/>
                <w:szCs w:val="24"/>
              </w:rPr>
              <w:t xml:space="preserve">   固废产生一览表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978"/>
              <w:gridCol w:w="735"/>
              <w:gridCol w:w="794"/>
              <w:gridCol w:w="1313"/>
              <w:gridCol w:w="881"/>
              <w:gridCol w:w="939"/>
              <w:gridCol w:w="1830"/>
            </w:tblGrid>
            <w:tr w14:paraId="0D28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8" w:type="dxa"/>
                  <w:noWrap w:val="0"/>
                  <w:vAlign w:val="center"/>
                </w:tcPr>
                <w:p w14:paraId="7577A6C6">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产生位置</w:t>
                  </w:r>
                </w:p>
              </w:tc>
              <w:tc>
                <w:tcPr>
                  <w:tcW w:w="1036" w:type="dxa"/>
                  <w:noWrap w:val="0"/>
                  <w:vAlign w:val="center"/>
                </w:tcPr>
                <w:p w14:paraId="4F778F1D">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名称</w:t>
                  </w:r>
                </w:p>
              </w:tc>
              <w:tc>
                <w:tcPr>
                  <w:tcW w:w="767" w:type="dxa"/>
                  <w:noWrap w:val="0"/>
                  <w:vAlign w:val="center"/>
                </w:tcPr>
                <w:p w14:paraId="6FA3492B">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属性</w:t>
                  </w:r>
                </w:p>
              </w:tc>
              <w:tc>
                <w:tcPr>
                  <w:tcW w:w="796" w:type="dxa"/>
                  <w:noWrap w:val="0"/>
                  <w:vAlign w:val="center"/>
                </w:tcPr>
                <w:p w14:paraId="6BF4B244">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废物种类</w:t>
                  </w:r>
                </w:p>
              </w:tc>
              <w:tc>
                <w:tcPr>
                  <w:tcW w:w="1005" w:type="dxa"/>
                  <w:noWrap w:val="0"/>
                  <w:vAlign w:val="center"/>
                </w:tcPr>
                <w:p w14:paraId="2497D107">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固废代码</w:t>
                  </w:r>
                </w:p>
              </w:tc>
              <w:tc>
                <w:tcPr>
                  <w:tcW w:w="929" w:type="dxa"/>
                  <w:noWrap w:val="0"/>
                  <w:vAlign w:val="center"/>
                </w:tcPr>
                <w:p w14:paraId="223C4053">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物理状态</w:t>
                  </w:r>
                </w:p>
              </w:tc>
              <w:tc>
                <w:tcPr>
                  <w:tcW w:w="946" w:type="dxa"/>
                  <w:noWrap w:val="0"/>
                  <w:vAlign w:val="center"/>
                </w:tcPr>
                <w:p w14:paraId="27F71A59">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年产生量（</w:t>
                  </w:r>
                  <w:r>
                    <w:rPr>
                      <w:rFonts w:hint="default" w:ascii="Times New Roman" w:hAnsi="Times New Roman" w:eastAsia="宋体" w:cs="Times New Roman"/>
                      <w:color w:val="auto"/>
                      <w:u w:val="none"/>
                    </w:rPr>
                    <w:t>t/a</w:t>
                  </w:r>
                  <w:r>
                    <w:rPr>
                      <w:rFonts w:hint="default" w:ascii="Times New Roman" w:hAnsi="Times New Roman" w:eastAsia="宋体" w:cs="Times New Roman"/>
                      <w:color w:val="auto"/>
                      <w:sz w:val="21"/>
                      <w:szCs w:val="21"/>
                      <w:u w:val="none"/>
                    </w:rPr>
                    <w:t>）</w:t>
                  </w:r>
                </w:p>
              </w:tc>
              <w:tc>
                <w:tcPr>
                  <w:tcW w:w="1955" w:type="dxa"/>
                  <w:noWrap w:val="0"/>
                  <w:vAlign w:val="center"/>
                </w:tcPr>
                <w:p w14:paraId="401CE844">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利用处置方式和去向</w:t>
                  </w:r>
                </w:p>
              </w:tc>
            </w:tr>
            <w:tr w14:paraId="72C9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8" w:type="dxa"/>
                  <w:noWrap w:val="0"/>
                  <w:vAlign w:val="center"/>
                </w:tcPr>
                <w:p w14:paraId="68A2255F">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员工办公</w:t>
                  </w:r>
                </w:p>
              </w:tc>
              <w:tc>
                <w:tcPr>
                  <w:tcW w:w="1036" w:type="dxa"/>
                  <w:noWrap w:val="0"/>
                  <w:vAlign w:val="center"/>
                </w:tcPr>
                <w:p w14:paraId="0737B39C">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生活垃圾</w:t>
                  </w:r>
                </w:p>
              </w:tc>
              <w:tc>
                <w:tcPr>
                  <w:tcW w:w="767" w:type="dxa"/>
                  <w:noWrap w:val="0"/>
                  <w:vAlign w:val="center"/>
                </w:tcPr>
                <w:p w14:paraId="015841F1">
                  <w:pPr>
                    <w:pStyle w:val="159"/>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w:t>
                  </w:r>
                </w:p>
              </w:tc>
              <w:tc>
                <w:tcPr>
                  <w:tcW w:w="796" w:type="dxa"/>
                  <w:noWrap w:val="0"/>
                  <w:vAlign w:val="center"/>
                </w:tcPr>
                <w:p w14:paraId="4298412A">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SW64</w:t>
                  </w:r>
                </w:p>
              </w:tc>
              <w:tc>
                <w:tcPr>
                  <w:tcW w:w="1005" w:type="dxa"/>
                  <w:noWrap w:val="0"/>
                  <w:vAlign w:val="center"/>
                </w:tcPr>
                <w:p w14:paraId="1800919D">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900-099-S64</w:t>
                  </w:r>
                </w:p>
              </w:tc>
              <w:tc>
                <w:tcPr>
                  <w:tcW w:w="929" w:type="dxa"/>
                  <w:noWrap w:val="0"/>
                  <w:vAlign w:val="center"/>
                </w:tcPr>
                <w:p w14:paraId="2910669A">
                  <w:pPr>
                    <w:pStyle w:val="159"/>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固体</w:t>
                  </w:r>
                </w:p>
              </w:tc>
              <w:tc>
                <w:tcPr>
                  <w:tcW w:w="946" w:type="dxa"/>
                  <w:noWrap w:val="0"/>
                  <w:vAlign w:val="center"/>
                </w:tcPr>
                <w:p w14:paraId="5500B389">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45</w:t>
                  </w:r>
                </w:p>
              </w:tc>
              <w:tc>
                <w:tcPr>
                  <w:tcW w:w="1955" w:type="dxa"/>
                  <w:noWrap w:val="0"/>
                  <w:vAlign w:val="center"/>
                </w:tcPr>
                <w:p w14:paraId="4D6DBC79">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垃圾桶</w:t>
                  </w:r>
                  <w:r>
                    <w:rPr>
                      <w:rFonts w:hint="eastAsia" w:cs="Times New Roman"/>
                      <w:b w:val="0"/>
                      <w:bCs w:val="0"/>
                      <w:color w:val="auto"/>
                      <w:kern w:val="2"/>
                      <w:sz w:val="21"/>
                      <w:szCs w:val="24"/>
                      <w:u w:val="none"/>
                      <w:lang w:val="en-US" w:eastAsia="zh-CN" w:bidi="ar-SA"/>
                    </w:rPr>
                    <w:t>暂存，交</w:t>
                  </w:r>
                </w:p>
                <w:p w14:paraId="71331803">
                  <w:pPr>
                    <w:pStyle w:val="15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环卫处理</w:t>
                  </w:r>
                </w:p>
              </w:tc>
            </w:tr>
            <w:tr w14:paraId="0152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8" w:type="dxa"/>
                  <w:vMerge w:val="restart"/>
                  <w:noWrap w:val="0"/>
                  <w:vAlign w:val="center"/>
                </w:tcPr>
                <w:p w14:paraId="2A14BAFC">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生产运营</w:t>
                  </w:r>
                </w:p>
              </w:tc>
              <w:tc>
                <w:tcPr>
                  <w:tcW w:w="1036" w:type="dxa"/>
                  <w:noWrap w:val="0"/>
                  <w:vAlign w:val="center"/>
                </w:tcPr>
                <w:p w14:paraId="5DB70592">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废包装</w:t>
                  </w:r>
                  <w:r>
                    <w:rPr>
                      <w:rFonts w:hint="eastAsia" w:cs="Times New Roman"/>
                      <w:b w:val="0"/>
                      <w:bCs w:val="0"/>
                      <w:color w:val="auto"/>
                      <w:kern w:val="2"/>
                      <w:sz w:val="21"/>
                      <w:szCs w:val="24"/>
                      <w:u w:val="none"/>
                      <w:lang w:val="en-US" w:eastAsia="zh-CN" w:bidi="ar-SA"/>
                    </w:rPr>
                    <w:t>材料</w:t>
                  </w:r>
                </w:p>
              </w:tc>
              <w:tc>
                <w:tcPr>
                  <w:tcW w:w="767" w:type="dxa"/>
                  <w:noWrap w:val="0"/>
                  <w:vAlign w:val="center"/>
                </w:tcPr>
                <w:p w14:paraId="34120D39">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一般固废</w:t>
                  </w:r>
                </w:p>
              </w:tc>
              <w:tc>
                <w:tcPr>
                  <w:tcW w:w="796" w:type="dxa"/>
                  <w:shd w:val="clear" w:color="auto" w:fill="auto"/>
                  <w:noWrap w:val="0"/>
                  <w:vAlign w:val="center"/>
                </w:tcPr>
                <w:p w14:paraId="0CBB858D">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SW59</w:t>
                  </w:r>
                </w:p>
              </w:tc>
              <w:tc>
                <w:tcPr>
                  <w:tcW w:w="1005" w:type="dxa"/>
                  <w:noWrap w:val="0"/>
                  <w:vAlign w:val="center"/>
                </w:tcPr>
                <w:p w14:paraId="2AB9FED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900-099-S59</w:t>
                  </w:r>
                </w:p>
              </w:tc>
              <w:tc>
                <w:tcPr>
                  <w:tcW w:w="929" w:type="dxa"/>
                  <w:noWrap w:val="0"/>
                  <w:vAlign w:val="center"/>
                </w:tcPr>
                <w:p w14:paraId="6E5526D5">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固体</w:t>
                  </w:r>
                </w:p>
              </w:tc>
              <w:tc>
                <w:tcPr>
                  <w:tcW w:w="946" w:type="dxa"/>
                  <w:noWrap w:val="0"/>
                  <w:vAlign w:val="center"/>
                </w:tcPr>
                <w:p w14:paraId="2559FAF2">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5</w:t>
                  </w:r>
                </w:p>
              </w:tc>
              <w:tc>
                <w:tcPr>
                  <w:tcW w:w="1955" w:type="dxa"/>
                  <w:noWrap w:val="0"/>
                  <w:vAlign w:val="center"/>
                </w:tcPr>
                <w:p w14:paraId="6969CF46">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废品回收站</w:t>
                  </w:r>
                </w:p>
              </w:tc>
            </w:tr>
            <w:tr w14:paraId="44E0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18" w:type="dxa"/>
                  <w:vMerge w:val="continue"/>
                  <w:noWrap w:val="0"/>
                  <w:vAlign w:val="center"/>
                </w:tcPr>
                <w:p w14:paraId="7AD47E0D">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p>
              </w:tc>
              <w:tc>
                <w:tcPr>
                  <w:tcW w:w="1036" w:type="dxa"/>
                  <w:noWrap w:val="0"/>
                  <w:vAlign w:val="center"/>
                </w:tcPr>
                <w:p w14:paraId="5B618631">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废</w:t>
                  </w:r>
                  <w:r>
                    <w:rPr>
                      <w:rFonts w:hint="eastAsia" w:cs="Times New Roman"/>
                      <w:b w:val="0"/>
                      <w:bCs w:val="0"/>
                      <w:color w:val="auto"/>
                      <w:kern w:val="2"/>
                      <w:sz w:val="21"/>
                      <w:szCs w:val="24"/>
                      <w:u w:val="none"/>
                      <w:lang w:val="en-US" w:eastAsia="zh-CN" w:bidi="ar-SA"/>
                    </w:rPr>
                    <w:t>水性淬火剂桶</w:t>
                  </w:r>
                </w:p>
              </w:tc>
              <w:tc>
                <w:tcPr>
                  <w:tcW w:w="767" w:type="dxa"/>
                  <w:noWrap w:val="0"/>
                  <w:vAlign w:val="center"/>
                </w:tcPr>
                <w:p w14:paraId="70CA8023">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一般固废</w:t>
                  </w:r>
                </w:p>
              </w:tc>
              <w:tc>
                <w:tcPr>
                  <w:tcW w:w="796" w:type="dxa"/>
                  <w:shd w:val="clear" w:color="auto" w:fill="auto"/>
                  <w:noWrap w:val="0"/>
                  <w:vAlign w:val="center"/>
                </w:tcPr>
                <w:p w14:paraId="714039C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SW59</w:t>
                  </w:r>
                </w:p>
              </w:tc>
              <w:tc>
                <w:tcPr>
                  <w:tcW w:w="1005" w:type="dxa"/>
                  <w:noWrap w:val="0"/>
                  <w:vAlign w:val="center"/>
                </w:tcPr>
                <w:p w14:paraId="240F6E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900-099-S59</w:t>
                  </w:r>
                </w:p>
              </w:tc>
              <w:tc>
                <w:tcPr>
                  <w:tcW w:w="929" w:type="dxa"/>
                  <w:noWrap w:val="0"/>
                  <w:vAlign w:val="center"/>
                </w:tcPr>
                <w:p w14:paraId="528D1634">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固体</w:t>
                  </w:r>
                </w:p>
              </w:tc>
              <w:tc>
                <w:tcPr>
                  <w:tcW w:w="946" w:type="dxa"/>
                  <w:noWrap w:val="0"/>
                  <w:vAlign w:val="center"/>
                </w:tcPr>
                <w:p w14:paraId="5B41B4E0">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0.18</w:t>
                  </w:r>
                </w:p>
              </w:tc>
              <w:tc>
                <w:tcPr>
                  <w:tcW w:w="1955" w:type="dxa"/>
                  <w:noWrap w:val="0"/>
                  <w:vAlign w:val="center"/>
                </w:tcPr>
                <w:p w14:paraId="613F49AA">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废品回收站</w:t>
                  </w:r>
                </w:p>
              </w:tc>
            </w:tr>
            <w:tr w14:paraId="5354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8" w:type="dxa"/>
                  <w:vMerge w:val="restart"/>
                  <w:noWrap w:val="0"/>
                  <w:vAlign w:val="center"/>
                </w:tcPr>
                <w:p w14:paraId="2F5DA25C">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设备维护保养</w:t>
                  </w:r>
                </w:p>
              </w:tc>
              <w:tc>
                <w:tcPr>
                  <w:tcW w:w="1036" w:type="dxa"/>
                  <w:noWrap w:val="0"/>
                  <w:vAlign w:val="center"/>
                </w:tcPr>
                <w:p w14:paraId="696CE94B">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废铁屑</w:t>
                  </w:r>
                </w:p>
              </w:tc>
              <w:tc>
                <w:tcPr>
                  <w:tcW w:w="767" w:type="dxa"/>
                  <w:noWrap w:val="0"/>
                  <w:vAlign w:val="center"/>
                </w:tcPr>
                <w:p w14:paraId="65E0CC88">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shd w:val="clear" w:color="auto" w:fill="auto"/>
                  <w:noWrap w:val="0"/>
                  <w:vAlign w:val="center"/>
                </w:tcPr>
                <w:p w14:paraId="5602038E">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HW49</w:t>
                  </w:r>
                </w:p>
              </w:tc>
              <w:tc>
                <w:tcPr>
                  <w:tcW w:w="1005" w:type="dxa"/>
                  <w:shd w:val="clear" w:color="auto" w:fill="auto"/>
                  <w:noWrap w:val="0"/>
                  <w:vAlign w:val="center"/>
                </w:tcPr>
                <w:p w14:paraId="389E9CB7">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900-041-49</w:t>
                  </w:r>
                </w:p>
              </w:tc>
              <w:tc>
                <w:tcPr>
                  <w:tcW w:w="929" w:type="dxa"/>
                  <w:shd w:val="clear" w:color="auto" w:fill="auto"/>
                  <w:noWrap w:val="0"/>
                  <w:vAlign w:val="center"/>
                </w:tcPr>
                <w:p w14:paraId="0BEE1572">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固体</w:t>
                  </w:r>
                </w:p>
              </w:tc>
              <w:tc>
                <w:tcPr>
                  <w:tcW w:w="946" w:type="dxa"/>
                  <w:shd w:val="clear" w:color="auto" w:fill="auto"/>
                  <w:noWrap w:val="0"/>
                  <w:vAlign w:val="center"/>
                </w:tcPr>
                <w:p w14:paraId="2C517389">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16.16（4.04t</w:t>
                  </w:r>
                </w:p>
                <w:p w14:paraId="294C3FFC">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/季度）</w:t>
                  </w:r>
                </w:p>
              </w:tc>
              <w:tc>
                <w:tcPr>
                  <w:tcW w:w="1955" w:type="dxa"/>
                  <w:vMerge w:val="restart"/>
                  <w:noWrap w:val="0"/>
                  <w:vAlign w:val="center"/>
                </w:tcPr>
                <w:p w14:paraId="26CC5063">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暂存废铁屑暂存间，沥干水分后送专门的回收厂，废铁屑每季度处理1次，废切削液每年处理1次。</w:t>
                  </w:r>
                </w:p>
              </w:tc>
            </w:tr>
            <w:tr w14:paraId="063F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8" w:type="dxa"/>
                  <w:vMerge w:val="continue"/>
                  <w:noWrap w:val="0"/>
                  <w:vAlign w:val="center"/>
                </w:tcPr>
                <w:p w14:paraId="14382F2D">
                  <w:pPr>
                    <w:pStyle w:val="42"/>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4"/>
                      <w:u w:val="none"/>
                      <w:lang w:val="en-US" w:eastAsia="zh-CN" w:bidi="ar-SA"/>
                    </w:rPr>
                  </w:pPr>
                </w:p>
              </w:tc>
              <w:tc>
                <w:tcPr>
                  <w:tcW w:w="1036" w:type="dxa"/>
                  <w:shd w:val="clear" w:color="auto" w:fill="auto"/>
                  <w:noWrap w:val="0"/>
                  <w:vAlign w:val="center"/>
                </w:tcPr>
                <w:p w14:paraId="7B0B9113">
                  <w:pPr>
                    <w:pStyle w:val="4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废切削液</w:t>
                  </w:r>
                </w:p>
              </w:tc>
              <w:tc>
                <w:tcPr>
                  <w:tcW w:w="767" w:type="dxa"/>
                  <w:shd w:val="clear" w:color="auto" w:fill="auto"/>
                  <w:noWrap w:val="0"/>
                  <w:vAlign w:val="center"/>
                </w:tcPr>
                <w:p w14:paraId="4548E94F">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shd w:val="clear" w:color="auto" w:fill="auto"/>
                  <w:noWrap w:val="0"/>
                  <w:vAlign w:val="center"/>
                </w:tcPr>
                <w:p w14:paraId="119AB475">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HW08</w:t>
                  </w:r>
                </w:p>
              </w:tc>
              <w:tc>
                <w:tcPr>
                  <w:tcW w:w="1005" w:type="dxa"/>
                  <w:shd w:val="clear" w:color="auto" w:fill="auto"/>
                  <w:noWrap w:val="0"/>
                  <w:vAlign w:val="center"/>
                </w:tcPr>
                <w:p w14:paraId="18396B88">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900-249-08</w:t>
                  </w:r>
                </w:p>
              </w:tc>
              <w:tc>
                <w:tcPr>
                  <w:tcW w:w="929" w:type="dxa"/>
                  <w:shd w:val="clear" w:color="auto" w:fill="auto"/>
                  <w:noWrap w:val="0"/>
                  <w:vAlign w:val="center"/>
                </w:tcPr>
                <w:p w14:paraId="526EB542">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液体</w:t>
                  </w:r>
                </w:p>
              </w:tc>
              <w:tc>
                <w:tcPr>
                  <w:tcW w:w="946" w:type="dxa"/>
                  <w:shd w:val="clear" w:color="auto" w:fill="auto"/>
                  <w:noWrap w:val="0"/>
                  <w:vAlign w:val="center"/>
                </w:tcPr>
                <w:p w14:paraId="3E8B5325">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32</w:t>
                  </w:r>
                </w:p>
              </w:tc>
              <w:tc>
                <w:tcPr>
                  <w:tcW w:w="1955" w:type="dxa"/>
                  <w:vMerge w:val="continue"/>
                  <w:noWrap w:val="0"/>
                  <w:vAlign w:val="center"/>
                </w:tcPr>
                <w:p w14:paraId="0985A2AC">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val="0"/>
                      <w:bCs w:val="0"/>
                      <w:color w:val="auto"/>
                      <w:kern w:val="2"/>
                      <w:sz w:val="21"/>
                      <w:szCs w:val="24"/>
                      <w:u w:val="none"/>
                      <w:lang w:val="en-US" w:eastAsia="zh-CN" w:bidi="ar-SA"/>
                    </w:rPr>
                  </w:pPr>
                </w:p>
              </w:tc>
            </w:tr>
            <w:tr w14:paraId="76F9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8" w:type="dxa"/>
                  <w:vMerge w:val="continue"/>
                  <w:noWrap w:val="0"/>
                  <w:vAlign w:val="center"/>
                </w:tcPr>
                <w:p w14:paraId="3345ED64">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p>
              </w:tc>
              <w:tc>
                <w:tcPr>
                  <w:tcW w:w="1036" w:type="dxa"/>
                  <w:noWrap w:val="0"/>
                  <w:vAlign w:val="center"/>
                </w:tcPr>
                <w:p w14:paraId="1AE2AC15">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废润滑油</w:t>
                  </w:r>
                </w:p>
              </w:tc>
              <w:tc>
                <w:tcPr>
                  <w:tcW w:w="767" w:type="dxa"/>
                  <w:noWrap w:val="0"/>
                  <w:vAlign w:val="center"/>
                </w:tcPr>
                <w:p w14:paraId="15D62BD4">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noWrap w:val="0"/>
                  <w:vAlign w:val="center"/>
                </w:tcPr>
                <w:p w14:paraId="71B7F955">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HW08</w:t>
                  </w:r>
                </w:p>
              </w:tc>
              <w:tc>
                <w:tcPr>
                  <w:tcW w:w="1005" w:type="dxa"/>
                  <w:noWrap w:val="0"/>
                  <w:vAlign w:val="center"/>
                </w:tcPr>
                <w:p w14:paraId="27218971">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900-249-08</w:t>
                  </w:r>
                </w:p>
              </w:tc>
              <w:tc>
                <w:tcPr>
                  <w:tcW w:w="929" w:type="dxa"/>
                  <w:noWrap w:val="0"/>
                  <w:vAlign w:val="center"/>
                </w:tcPr>
                <w:p w14:paraId="5D0D86A0">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液体</w:t>
                  </w:r>
                </w:p>
              </w:tc>
              <w:tc>
                <w:tcPr>
                  <w:tcW w:w="946" w:type="dxa"/>
                  <w:noWrap w:val="0"/>
                  <w:vAlign w:val="center"/>
                </w:tcPr>
                <w:p w14:paraId="5D280FE3">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1.5</w:t>
                  </w:r>
                </w:p>
              </w:tc>
              <w:tc>
                <w:tcPr>
                  <w:tcW w:w="1955" w:type="dxa"/>
                  <w:vMerge w:val="restart"/>
                  <w:noWrap w:val="0"/>
                  <w:vAlign w:val="center"/>
                </w:tcPr>
                <w:p w14:paraId="297CC567">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暂存危废间，定期有资质单位回收</w:t>
                  </w:r>
                </w:p>
              </w:tc>
            </w:tr>
            <w:tr w14:paraId="2A31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8" w:type="dxa"/>
                  <w:vMerge w:val="continue"/>
                  <w:noWrap w:val="0"/>
                  <w:vAlign w:val="center"/>
                </w:tcPr>
                <w:p w14:paraId="467A26A0">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p>
              </w:tc>
              <w:tc>
                <w:tcPr>
                  <w:tcW w:w="1036" w:type="dxa"/>
                  <w:noWrap w:val="0"/>
                  <w:vAlign w:val="center"/>
                </w:tcPr>
                <w:p w14:paraId="2DD97344">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废含油抹布</w:t>
                  </w:r>
                </w:p>
              </w:tc>
              <w:tc>
                <w:tcPr>
                  <w:tcW w:w="767" w:type="dxa"/>
                  <w:noWrap w:val="0"/>
                  <w:vAlign w:val="center"/>
                </w:tcPr>
                <w:p w14:paraId="67A56220">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noWrap w:val="0"/>
                  <w:vAlign w:val="center"/>
                </w:tcPr>
                <w:p w14:paraId="3D6C2B7C">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HW49</w:t>
                  </w:r>
                </w:p>
              </w:tc>
              <w:tc>
                <w:tcPr>
                  <w:tcW w:w="1005" w:type="dxa"/>
                  <w:noWrap w:val="0"/>
                  <w:vAlign w:val="center"/>
                </w:tcPr>
                <w:p w14:paraId="55D7506D">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900-041-49</w:t>
                  </w:r>
                </w:p>
              </w:tc>
              <w:tc>
                <w:tcPr>
                  <w:tcW w:w="929" w:type="dxa"/>
                  <w:noWrap w:val="0"/>
                  <w:vAlign w:val="center"/>
                </w:tcPr>
                <w:p w14:paraId="637ED3C6">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固体</w:t>
                  </w:r>
                </w:p>
              </w:tc>
              <w:tc>
                <w:tcPr>
                  <w:tcW w:w="946" w:type="dxa"/>
                  <w:noWrap w:val="0"/>
                  <w:vAlign w:val="center"/>
                </w:tcPr>
                <w:p w14:paraId="725D268D">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0.5</w:t>
                  </w:r>
                </w:p>
              </w:tc>
              <w:tc>
                <w:tcPr>
                  <w:tcW w:w="1955" w:type="dxa"/>
                  <w:vMerge w:val="continue"/>
                  <w:noWrap w:val="0"/>
                  <w:vAlign w:val="center"/>
                </w:tcPr>
                <w:p w14:paraId="5704E971">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p>
              </w:tc>
            </w:tr>
            <w:tr w14:paraId="0B6F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8" w:type="dxa"/>
                  <w:vMerge w:val="continue"/>
                  <w:noWrap w:val="0"/>
                  <w:vAlign w:val="center"/>
                </w:tcPr>
                <w:p w14:paraId="4B8F59AA">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p>
              </w:tc>
              <w:tc>
                <w:tcPr>
                  <w:tcW w:w="1036" w:type="dxa"/>
                  <w:noWrap w:val="0"/>
                  <w:vAlign w:val="center"/>
                </w:tcPr>
                <w:p w14:paraId="732CA533">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废润滑油桶</w:t>
                  </w:r>
                </w:p>
              </w:tc>
              <w:tc>
                <w:tcPr>
                  <w:tcW w:w="767" w:type="dxa"/>
                  <w:noWrap w:val="0"/>
                  <w:vAlign w:val="center"/>
                </w:tcPr>
                <w:p w14:paraId="74C66969">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noWrap w:val="0"/>
                  <w:vAlign w:val="center"/>
                </w:tcPr>
                <w:p w14:paraId="6EA75759">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HW49</w:t>
                  </w:r>
                </w:p>
              </w:tc>
              <w:tc>
                <w:tcPr>
                  <w:tcW w:w="1005" w:type="dxa"/>
                  <w:noWrap w:val="0"/>
                  <w:vAlign w:val="center"/>
                </w:tcPr>
                <w:p w14:paraId="244391C4">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900-041-49</w:t>
                  </w:r>
                </w:p>
              </w:tc>
              <w:tc>
                <w:tcPr>
                  <w:tcW w:w="929" w:type="dxa"/>
                  <w:noWrap w:val="0"/>
                  <w:vAlign w:val="center"/>
                </w:tcPr>
                <w:p w14:paraId="793AD239">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固体</w:t>
                  </w:r>
                </w:p>
              </w:tc>
              <w:tc>
                <w:tcPr>
                  <w:tcW w:w="946" w:type="dxa"/>
                  <w:noWrap w:val="0"/>
                  <w:vAlign w:val="center"/>
                </w:tcPr>
                <w:p w14:paraId="6AF8AC26">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0.7</w:t>
                  </w:r>
                </w:p>
              </w:tc>
              <w:tc>
                <w:tcPr>
                  <w:tcW w:w="1955" w:type="dxa"/>
                  <w:vMerge w:val="continue"/>
                  <w:noWrap w:val="0"/>
                  <w:vAlign w:val="center"/>
                </w:tcPr>
                <w:p w14:paraId="07B6CD35">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p>
              </w:tc>
            </w:tr>
          </w:tbl>
          <w:p w14:paraId="1B6AB4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四、现有工程存在的环境问题</w:t>
            </w:r>
          </w:p>
          <w:p w14:paraId="4673FB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现有工程厂房基本建设完成，但尚未进行设备的安装和正式的投产，在施工期内未收到周边居民的环保投诉，因此现有工程暂不存在环境问题。</w:t>
            </w:r>
          </w:p>
          <w:p w14:paraId="4A149351">
            <w:pPr>
              <w:pStyle w:val="28"/>
              <w:keepNext w:val="0"/>
              <w:keepLines w:val="0"/>
              <w:suppressLineNumbers w:val="0"/>
              <w:spacing w:before="0" w:beforeAutospacing="0" w:after="0" w:afterAutospacing="0"/>
              <w:ind w:right="0"/>
              <w:rPr>
                <w:rFonts w:hint="default"/>
                <w:lang w:val="en-US" w:eastAsia="zh-CN"/>
              </w:rPr>
            </w:pPr>
          </w:p>
        </w:tc>
      </w:tr>
    </w:tbl>
    <w:p w14:paraId="64B1AF7C">
      <w:pPr>
        <w:pStyle w:val="29"/>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rFonts w:hint="default" w:ascii="Times New Roman" w:hAnsi="Times New Roman" w:eastAsia="黑体" w:cs="Times New Roman"/>
          <w:snapToGrid w:val="0"/>
          <w:color w:val="auto"/>
          <w:sz w:val="21"/>
          <w:szCs w:val="21"/>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B86BFA5">
      <w:pPr>
        <w:pStyle w:val="29"/>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6" w:name="_Toc2071"/>
      <w:r>
        <w:rPr>
          <w:rFonts w:hint="default" w:ascii="Times New Roman" w:hAnsi="Times New Roman" w:eastAsia="黑体" w:cs="Times New Roman"/>
          <w:snapToGrid w:val="0"/>
          <w:color w:val="auto"/>
          <w:sz w:val="30"/>
          <w:szCs w:val="30"/>
          <w:highlight w:val="none"/>
        </w:rPr>
        <w:t>三、区域环境质量现状、环境保护目标及评价标准</w:t>
      </w:r>
      <w:bookmarkEnd w:id="6"/>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338"/>
      </w:tblGrid>
      <w:tr w14:paraId="6B9F5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723" w:type="dxa"/>
            <w:noWrap w:val="0"/>
            <w:vAlign w:val="center"/>
          </w:tcPr>
          <w:p w14:paraId="143652C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14:paraId="230351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284457B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14:paraId="4D67FC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highlight w:val="none"/>
              </w:rPr>
            </w:pPr>
            <w:r>
              <w:rPr>
                <w:rFonts w:hint="default" w:ascii="Times New Roman" w:hAnsi="Times New Roman" w:cs="Times New Roman"/>
                <w:color w:val="auto"/>
                <w:kern w:val="0"/>
                <w:szCs w:val="21"/>
                <w:highlight w:val="none"/>
              </w:rPr>
              <w:t>现状</w:t>
            </w:r>
          </w:p>
        </w:tc>
        <w:tc>
          <w:tcPr>
            <w:tcW w:w="8338" w:type="dxa"/>
            <w:noWrap w:val="0"/>
            <w:vAlign w:val="center"/>
          </w:tcPr>
          <w:p w14:paraId="5BD6591F">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1、大气环境</w:t>
            </w:r>
          </w:p>
          <w:p w14:paraId="20556470">
            <w:pPr>
              <w:pStyle w:val="4"/>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1.1</w:t>
            </w:r>
            <w:r>
              <w:rPr>
                <w:rFonts w:hint="eastAsia" w:ascii="Times New Roman" w:hAnsi="Times New Roman" w:cs="Times New Roman"/>
                <w:color w:val="auto"/>
                <w:u w:val="none"/>
                <w:lang w:val="en-US" w:eastAsia="zh-CN"/>
              </w:rPr>
              <w:t>、</w:t>
            </w:r>
            <w:r>
              <w:rPr>
                <w:rFonts w:hint="default" w:ascii="Times New Roman" w:hAnsi="Times New Roman" w:eastAsia="宋体" w:cs="Times New Roman"/>
                <w:color w:val="auto"/>
                <w:u w:val="none"/>
              </w:rPr>
              <w:t>基本污染物</w:t>
            </w:r>
          </w:p>
          <w:p w14:paraId="5504CF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根据《环境影响评价技术导则—大气环境》（HJ2.2-2018），项目所在区域达标情况判定优先采用国家或地方生态环境主管部门公开发布的环境质量公告或环境质量报告中的数据或结论。</w:t>
            </w:r>
          </w:p>
          <w:p w14:paraId="5D59B4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cs="Times New Roman"/>
                <w:color w:val="auto"/>
                <w:sz w:val="24"/>
                <w:szCs w:val="24"/>
                <w:u w:val="none" w:color="auto"/>
              </w:rPr>
            </w:pPr>
            <w:r>
              <w:rPr>
                <w:rFonts w:hint="eastAsia" w:ascii="Times New Roman" w:hAnsi="Times New Roman" w:cs="Times New Roman"/>
                <w:color w:val="auto"/>
                <w:sz w:val="24"/>
                <w:szCs w:val="24"/>
                <w:u w:val="none" w:color="auto"/>
                <w:lang w:val="en-US" w:eastAsia="zh-CN"/>
              </w:rPr>
              <w:t>本</w:t>
            </w:r>
            <w:r>
              <w:rPr>
                <w:rFonts w:hint="eastAsia" w:ascii="Times New Roman" w:hAnsi="Times New Roman" w:cs="Times New Roman"/>
                <w:color w:val="auto"/>
                <w:sz w:val="24"/>
                <w:szCs w:val="24"/>
                <w:u w:val="none" w:color="auto"/>
              </w:rPr>
              <w:t>项目所在区域达标判定数据来源于岳阳市生态环境局发布的《</w:t>
            </w:r>
            <w:r>
              <w:rPr>
                <w:rFonts w:hint="default" w:ascii="宋体" w:hAnsi="宋体" w:eastAsia="宋体" w:cs="宋体"/>
                <w:color w:val="auto"/>
                <w:sz w:val="24"/>
                <w:szCs w:val="24"/>
              </w:rPr>
              <w:t>岳阳</w:t>
            </w:r>
            <w:r>
              <w:rPr>
                <w:rFonts w:hint="default" w:ascii="Times New Roman" w:hAnsi="Times New Roman" w:eastAsia="宋体" w:cs="Times New Roman"/>
                <w:color w:val="auto"/>
                <w:sz w:val="24"/>
                <w:szCs w:val="24"/>
              </w:rPr>
              <w:t>市202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年度生</w:t>
            </w:r>
            <w:r>
              <w:rPr>
                <w:rFonts w:hint="default" w:ascii="宋体" w:hAnsi="宋体" w:eastAsia="宋体" w:cs="宋体"/>
                <w:color w:val="auto"/>
                <w:sz w:val="24"/>
                <w:szCs w:val="24"/>
              </w:rPr>
              <w:t>态环境质量公报</w:t>
            </w:r>
            <w:r>
              <w:rPr>
                <w:rFonts w:hint="eastAsia" w:ascii="Times New Roman" w:hAnsi="Times New Roman" w:cs="Times New Roman"/>
                <w:color w:val="auto"/>
                <w:sz w:val="24"/>
                <w:szCs w:val="24"/>
                <w:u w:val="none" w:color="auto"/>
              </w:rPr>
              <w:t>》中</w:t>
            </w:r>
            <w:r>
              <w:rPr>
                <w:rFonts w:hint="eastAsia" w:cs="Times New Roman"/>
                <w:color w:val="auto"/>
                <w:sz w:val="24"/>
                <w:szCs w:val="24"/>
                <w:u w:val="none" w:color="auto"/>
                <w:lang w:val="en-US" w:eastAsia="zh-CN"/>
              </w:rPr>
              <w:t>关于湘阴县的</w:t>
            </w:r>
            <w:r>
              <w:rPr>
                <w:rFonts w:hint="eastAsia" w:ascii="Times New Roman" w:hAnsi="Times New Roman" w:cs="Times New Roman"/>
                <w:color w:val="auto"/>
                <w:sz w:val="24"/>
                <w:szCs w:val="24"/>
                <w:u w:val="none" w:color="auto"/>
              </w:rPr>
              <w:t>环境</w:t>
            </w:r>
            <w:r>
              <w:rPr>
                <w:rFonts w:hint="eastAsia" w:ascii="Times New Roman" w:hAnsi="Times New Roman" w:cs="Times New Roman"/>
                <w:color w:val="auto"/>
                <w:sz w:val="24"/>
                <w:szCs w:val="24"/>
                <w:u w:val="none" w:color="auto"/>
                <w:lang w:val="en-US" w:eastAsia="zh-CN"/>
              </w:rPr>
              <w:t>空气</w:t>
            </w:r>
            <w:r>
              <w:rPr>
                <w:rFonts w:hint="eastAsia" w:ascii="Times New Roman" w:hAnsi="Times New Roman" w:cs="Times New Roman"/>
                <w:color w:val="auto"/>
                <w:sz w:val="24"/>
                <w:szCs w:val="24"/>
                <w:u w:val="none" w:color="auto"/>
              </w:rPr>
              <w:t>质量现状数据，具体数据分析见下表：</w:t>
            </w:r>
          </w:p>
          <w:p w14:paraId="739DE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表</w:t>
            </w:r>
            <w:r>
              <w:rPr>
                <w:rFonts w:hint="eastAsia" w:cs="Times New Roman"/>
                <w:b/>
                <w:color w:val="auto"/>
                <w:sz w:val="21"/>
                <w:szCs w:val="21"/>
                <w:highlight w:val="none"/>
                <w:u w:val="none" w:color="auto"/>
                <w:lang w:val="en-US" w:eastAsia="zh-CN"/>
              </w:rPr>
              <w:t xml:space="preserve">3-1 </w:t>
            </w:r>
            <w:r>
              <w:rPr>
                <w:rFonts w:hint="default" w:ascii="Times New Roman" w:hAnsi="Times New Roman" w:eastAsia="宋体" w:cs="Times New Roman"/>
                <w:b/>
                <w:color w:val="auto"/>
                <w:sz w:val="21"/>
                <w:szCs w:val="21"/>
                <w:highlight w:val="none"/>
                <w:u w:val="none" w:color="auto"/>
                <w:lang w:val="en-US" w:eastAsia="zh-CN"/>
              </w:rPr>
              <w:t xml:space="preserve">   区域空气质量现状评价表</w:t>
            </w:r>
          </w:p>
          <w:tbl>
            <w:tblPr>
              <w:tblStyle w:val="34"/>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2205"/>
              <w:gridCol w:w="1155"/>
              <w:gridCol w:w="990"/>
              <w:gridCol w:w="1185"/>
              <w:gridCol w:w="1105"/>
            </w:tblGrid>
            <w:tr w14:paraId="1927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noWrap w:val="0"/>
                  <w:vAlign w:val="center"/>
                </w:tcPr>
                <w:p w14:paraId="304F6399">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污染物</w:t>
                  </w:r>
                </w:p>
              </w:tc>
              <w:tc>
                <w:tcPr>
                  <w:tcW w:w="2205" w:type="dxa"/>
                  <w:tcBorders>
                    <w:tl2br w:val="nil"/>
                    <w:tr2bl w:val="nil"/>
                  </w:tcBorders>
                  <w:noWrap w:val="0"/>
                  <w:vAlign w:val="center"/>
                </w:tcPr>
                <w:p w14:paraId="314BDB1F">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年评价指标</w:t>
                  </w:r>
                </w:p>
              </w:tc>
              <w:tc>
                <w:tcPr>
                  <w:tcW w:w="1155" w:type="dxa"/>
                  <w:tcBorders>
                    <w:tl2br w:val="nil"/>
                    <w:tr2bl w:val="nil"/>
                  </w:tcBorders>
                  <w:noWrap w:val="0"/>
                  <w:vAlign w:val="center"/>
                </w:tcPr>
                <w:p w14:paraId="6A9A0CC3">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现状浓度</w:t>
                  </w:r>
                </w:p>
              </w:tc>
              <w:tc>
                <w:tcPr>
                  <w:tcW w:w="990" w:type="dxa"/>
                  <w:tcBorders>
                    <w:tl2br w:val="nil"/>
                    <w:tr2bl w:val="nil"/>
                  </w:tcBorders>
                  <w:noWrap w:val="0"/>
                  <w:vAlign w:val="center"/>
                </w:tcPr>
                <w:p w14:paraId="331B0278">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标准值</w:t>
                  </w:r>
                </w:p>
              </w:tc>
              <w:tc>
                <w:tcPr>
                  <w:tcW w:w="1185" w:type="dxa"/>
                  <w:tcBorders>
                    <w:tl2br w:val="nil"/>
                    <w:tr2bl w:val="nil"/>
                  </w:tcBorders>
                  <w:noWrap w:val="0"/>
                  <w:vAlign w:val="center"/>
                </w:tcPr>
                <w:p w14:paraId="21934AF5">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占标率%</w:t>
                  </w:r>
                </w:p>
              </w:tc>
              <w:tc>
                <w:tcPr>
                  <w:tcW w:w="1105" w:type="dxa"/>
                  <w:tcBorders>
                    <w:tl2br w:val="nil"/>
                    <w:tr2bl w:val="nil"/>
                  </w:tcBorders>
                  <w:noWrap w:val="0"/>
                  <w:vAlign w:val="center"/>
                </w:tcPr>
                <w:p w14:paraId="3A7CBED3">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达标情况</w:t>
                  </w:r>
                </w:p>
              </w:tc>
            </w:tr>
            <w:tr w14:paraId="4AF3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noWrap w:val="0"/>
                  <w:vAlign w:val="center"/>
                </w:tcPr>
                <w:p w14:paraId="61CCEB8C">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SO</w:t>
                  </w:r>
                  <w:r>
                    <w:rPr>
                      <w:rFonts w:hint="default" w:ascii="Times New Roman" w:hAnsi="Times New Roman" w:eastAsia="宋体" w:cs="Times New Roman"/>
                      <w:color w:val="auto"/>
                      <w:sz w:val="21"/>
                      <w:szCs w:val="21"/>
                      <w:u w:val="none"/>
                      <w:vertAlign w:val="subscript"/>
                      <w:lang w:val="en-US" w:eastAsia="zh-CN"/>
                    </w:rPr>
                    <w:t>2</w:t>
                  </w:r>
                  <w:r>
                    <w:rPr>
                      <w:rFonts w:hint="default" w:ascii="Times New Roman" w:hAnsi="Times New Roman" w:cs="Times New Roman"/>
                      <w:color w:val="auto"/>
                      <w:sz w:val="21"/>
                      <w:szCs w:val="21"/>
                      <w:u w:val="none"/>
                      <w:vertAlign w:val="baseline"/>
                      <w:lang w:val="en-US" w:eastAsia="zh-CN"/>
                    </w:rPr>
                    <w:t>（μg/m</w:t>
                  </w:r>
                  <w:r>
                    <w:rPr>
                      <w:rFonts w:hint="default" w:ascii="Times New Roman" w:hAnsi="Times New Roman" w:cs="Times New Roman"/>
                      <w:color w:val="auto"/>
                      <w:sz w:val="21"/>
                      <w:szCs w:val="21"/>
                      <w:u w:val="none"/>
                      <w:vertAlign w:val="superscript"/>
                      <w:lang w:val="en-US" w:eastAsia="zh-CN"/>
                    </w:rPr>
                    <w:t>3</w:t>
                  </w:r>
                  <w:r>
                    <w:rPr>
                      <w:rFonts w:hint="default" w:ascii="Times New Roman" w:hAnsi="Times New Roman" w:cs="Times New Roman"/>
                      <w:color w:val="auto"/>
                      <w:sz w:val="21"/>
                      <w:szCs w:val="21"/>
                      <w:u w:val="none"/>
                      <w:vertAlign w:val="baseline"/>
                      <w:lang w:val="en-US" w:eastAsia="zh-CN"/>
                    </w:rPr>
                    <w:t>）</w:t>
                  </w:r>
                </w:p>
              </w:tc>
              <w:tc>
                <w:tcPr>
                  <w:tcW w:w="2205" w:type="dxa"/>
                  <w:tcBorders>
                    <w:tl2br w:val="nil"/>
                    <w:tr2bl w:val="nil"/>
                  </w:tcBorders>
                  <w:noWrap w:val="0"/>
                  <w:vAlign w:val="center"/>
                </w:tcPr>
                <w:p w14:paraId="015112FB">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年平均质量浓度</w:t>
                  </w:r>
                </w:p>
              </w:tc>
              <w:tc>
                <w:tcPr>
                  <w:tcW w:w="1155" w:type="dxa"/>
                  <w:tcBorders>
                    <w:tl2br w:val="nil"/>
                    <w:tr2bl w:val="nil"/>
                  </w:tcBorders>
                  <w:noWrap w:val="0"/>
                  <w:vAlign w:val="center"/>
                </w:tcPr>
                <w:p w14:paraId="65A23ADE">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6</w:t>
                  </w:r>
                </w:p>
              </w:tc>
              <w:tc>
                <w:tcPr>
                  <w:tcW w:w="990" w:type="dxa"/>
                  <w:tcBorders>
                    <w:tl2br w:val="nil"/>
                    <w:tr2bl w:val="nil"/>
                  </w:tcBorders>
                  <w:noWrap w:val="0"/>
                  <w:vAlign w:val="center"/>
                </w:tcPr>
                <w:p w14:paraId="4E24F959">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60</w:t>
                  </w:r>
                </w:p>
              </w:tc>
              <w:tc>
                <w:tcPr>
                  <w:tcW w:w="1185" w:type="dxa"/>
                  <w:tcBorders>
                    <w:tl2br w:val="nil"/>
                    <w:tr2bl w:val="nil"/>
                  </w:tcBorders>
                  <w:noWrap w:val="0"/>
                  <w:vAlign w:val="center"/>
                </w:tcPr>
                <w:p w14:paraId="428F184A">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10</w:t>
                  </w:r>
                </w:p>
              </w:tc>
              <w:tc>
                <w:tcPr>
                  <w:tcW w:w="1105" w:type="dxa"/>
                  <w:tcBorders>
                    <w:tl2br w:val="nil"/>
                    <w:tr2bl w:val="nil"/>
                  </w:tcBorders>
                  <w:noWrap w:val="0"/>
                  <w:vAlign w:val="center"/>
                </w:tcPr>
                <w:p w14:paraId="06165D2B">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达标</w:t>
                  </w:r>
                </w:p>
              </w:tc>
            </w:tr>
            <w:tr w14:paraId="62E1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noWrap w:val="0"/>
                  <w:vAlign w:val="center"/>
                </w:tcPr>
                <w:p w14:paraId="50A69238">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NO</w:t>
                  </w:r>
                  <w:r>
                    <w:rPr>
                      <w:rFonts w:hint="default" w:ascii="Times New Roman" w:hAnsi="Times New Roman" w:eastAsia="宋体" w:cs="Times New Roman"/>
                      <w:color w:val="auto"/>
                      <w:sz w:val="21"/>
                      <w:szCs w:val="21"/>
                      <w:u w:val="none"/>
                      <w:vertAlign w:val="subscript"/>
                      <w:lang w:val="en-US" w:eastAsia="zh-CN"/>
                    </w:rPr>
                    <w:t>2</w:t>
                  </w:r>
                  <w:r>
                    <w:rPr>
                      <w:rFonts w:hint="default" w:ascii="Times New Roman" w:hAnsi="Times New Roman" w:cs="Times New Roman"/>
                      <w:color w:val="auto"/>
                      <w:sz w:val="21"/>
                      <w:szCs w:val="21"/>
                      <w:u w:val="none"/>
                      <w:vertAlign w:val="baseline"/>
                      <w:lang w:val="en-US" w:eastAsia="zh-CN"/>
                    </w:rPr>
                    <w:t>（μg/m</w:t>
                  </w:r>
                  <w:r>
                    <w:rPr>
                      <w:rFonts w:hint="default" w:ascii="Times New Roman" w:hAnsi="Times New Roman" w:cs="Times New Roman"/>
                      <w:color w:val="auto"/>
                      <w:sz w:val="21"/>
                      <w:szCs w:val="21"/>
                      <w:u w:val="none"/>
                      <w:vertAlign w:val="superscript"/>
                      <w:lang w:val="en-US" w:eastAsia="zh-CN"/>
                    </w:rPr>
                    <w:t>3</w:t>
                  </w:r>
                  <w:r>
                    <w:rPr>
                      <w:rFonts w:hint="default" w:ascii="Times New Roman" w:hAnsi="Times New Roman" w:cs="Times New Roman"/>
                      <w:color w:val="auto"/>
                      <w:sz w:val="21"/>
                      <w:szCs w:val="21"/>
                      <w:u w:val="none"/>
                      <w:vertAlign w:val="baseline"/>
                      <w:lang w:val="en-US" w:eastAsia="zh-CN"/>
                    </w:rPr>
                    <w:t>）</w:t>
                  </w:r>
                </w:p>
              </w:tc>
              <w:tc>
                <w:tcPr>
                  <w:tcW w:w="2205" w:type="dxa"/>
                  <w:tcBorders>
                    <w:tl2br w:val="nil"/>
                    <w:tr2bl w:val="nil"/>
                  </w:tcBorders>
                  <w:noWrap w:val="0"/>
                  <w:vAlign w:val="center"/>
                </w:tcPr>
                <w:p w14:paraId="536B0574">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年平均质量浓度</w:t>
                  </w:r>
                </w:p>
              </w:tc>
              <w:tc>
                <w:tcPr>
                  <w:tcW w:w="1155" w:type="dxa"/>
                  <w:tcBorders>
                    <w:tl2br w:val="nil"/>
                    <w:tr2bl w:val="nil"/>
                  </w:tcBorders>
                  <w:noWrap w:val="0"/>
                  <w:vAlign w:val="center"/>
                </w:tcPr>
                <w:p w14:paraId="3D99268B">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14</w:t>
                  </w:r>
                </w:p>
              </w:tc>
              <w:tc>
                <w:tcPr>
                  <w:tcW w:w="990" w:type="dxa"/>
                  <w:tcBorders>
                    <w:tl2br w:val="nil"/>
                    <w:tr2bl w:val="nil"/>
                  </w:tcBorders>
                  <w:noWrap w:val="0"/>
                  <w:vAlign w:val="center"/>
                </w:tcPr>
                <w:p w14:paraId="75153C43">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40</w:t>
                  </w:r>
                </w:p>
              </w:tc>
              <w:tc>
                <w:tcPr>
                  <w:tcW w:w="1185" w:type="dxa"/>
                  <w:tcBorders>
                    <w:tl2br w:val="nil"/>
                    <w:tr2bl w:val="nil"/>
                  </w:tcBorders>
                  <w:noWrap w:val="0"/>
                  <w:vAlign w:val="center"/>
                </w:tcPr>
                <w:p w14:paraId="2A2FB756">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35</w:t>
                  </w:r>
                </w:p>
              </w:tc>
              <w:tc>
                <w:tcPr>
                  <w:tcW w:w="1105" w:type="dxa"/>
                  <w:tcBorders>
                    <w:tl2br w:val="nil"/>
                    <w:tr2bl w:val="nil"/>
                  </w:tcBorders>
                  <w:noWrap w:val="0"/>
                  <w:vAlign w:val="center"/>
                </w:tcPr>
                <w:p w14:paraId="6E987F42">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达标</w:t>
                  </w:r>
                </w:p>
              </w:tc>
            </w:tr>
            <w:tr w14:paraId="6D7E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noWrap w:val="0"/>
                  <w:vAlign w:val="center"/>
                </w:tcPr>
                <w:p w14:paraId="1C535833">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PM</w:t>
                  </w:r>
                  <w:r>
                    <w:rPr>
                      <w:rFonts w:hint="default" w:ascii="Times New Roman" w:hAnsi="Times New Roman" w:eastAsia="宋体" w:cs="Times New Roman"/>
                      <w:color w:val="auto"/>
                      <w:sz w:val="21"/>
                      <w:szCs w:val="21"/>
                      <w:u w:val="none"/>
                      <w:vertAlign w:val="subscript"/>
                      <w:lang w:val="en-US" w:eastAsia="zh-CN"/>
                    </w:rPr>
                    <w:t>10</w:t>
                  </w:r>
                  <w:r>
                    <w:rPr>
                      <w:rFonts w:hint="default" w:ascii="Times New Roman" w:hAnsi="Times New Roman" w:cs="Times New Roman"/>
                      <w:color w:val="auto"/>
                      <w:sz w:val="21"/>
                      <w:szCs w:val="21"/>
                      <w:u w:val="none"/>
                      <w:vertAlign w:val="baseline"/>
                      <w:lang w:val="en-US" w:eastAsia="zh-CN"/>
                    </w:rPr>
                    <w:t>（μg/m</w:t>
                  </w:r>
                  <w:r>
                    <w:rPr>
                      <w:rFonts w:hint="default" w:ascii="Times New Roman" w:hAnsi="Times New Roman" w:cs="Times New Roman"/>
                      <w:color w:val="auto"/>
                      <w:sz w:val="21"/>
                      <w:szCs w:val="21"/>
                      <w:u w:val="none"/>
                      <w:vertAlign w:val="superscript"/>
                      <w:lang w:val="en-US" w:eastAsia="zh-CN"/>
                    </w:rPr>
                    <w:t>3</w:t>
                  </w:r>
                  <w:r>
                    <w:rPr>
                      <w:rFonts w:hint="default" w:ascii="Times New Roman" w:hAnsi="Times New Roman" w:cs="Times New Roman"/>
                      <w:color w:val="auto"/>
                      <w:sz w:val="21"/>
                      <w:szCs w:val="21"/>
                      <w:u w:val="none"/>
                      <w:vertAlign w:val="baseline"/>
                      <w:lang w:val="en-US" w:eastAsia="zh-CN"/>
                    </w:rPr>
                    <w:t>）</w:t>
                  </w:r>
                </w:p>
              </w:tc>
              <w:tc>
                <w:tcPr>
                  <w:tcW w:w="2205" w:type="dxa"/>
                  <w:tcBorders>
                    <w:tl2br w:val="nil"/>
                    <w:tr2bl w:val="nil"/>
                  </w:tcBorders>
                  <w:noWrap w:val="0"/>
                  <w:vAlign w:val="center"/>
                </w:tcPr>
                <w:p w14:paraId="171B43D6">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年平均质量浓度</w:t>
                  </w:r>
                </w:p>
              </w:tc>
              <w:tc>
                <w:tcPr>
                  <w:tcW w:w="1155" w:type="dxa"/>
                  <w:tcBorders>
                    <w:tl2br w:val="nil"/>
                    <w:tr2bl w:val="nil"/>
                  </w:tcBorders>
                  <w:noWrap w:val="0"/>
                  <w:vAlign w:val="center"/>
                </w:tcPr>
                <w:p w14:paraId="354934B3">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43</w:t>
                  </w:r>
                </w:p>
              </w:tc>
              <w:tc>
                <w:tcPr>
                  <w:tcW w:w="990" w:type="dxa"/>
                  <w:tcBorders>
                    <w:tl2br w:val="nil"/>
                    <w:tr2bl w:val="nil"/>
                  </w:tcBorders>
                  <w:noWrap w:val="0"/>
                  <w:vAlign w:val="center"/>
                </w:tcPr>
                <w:p w14:paraId="4497E479">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70</w:t>
                  </w:r>
                </w:p>
              </w:tc>
              <w:tc>
                <w:tcPr>
                  <w:tcW w:w="1185" w:type="dxa"/>
                  <w:tcBorders>
                    <w:tl2br w:val="nil"/>
                    <w:tr2bl w:val="nil"/>
                  </w:tcBorders>
                  <w:noWrap w:val="0"/>
                  <w:vAlign w:val="center"/>
                </w:tcPr>
                <w:p w14:paraId="38BCE1ED">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61.4</w:t>
                  </w:r>
                </w:p>
              </w:tc>
              <w:tc>
                <w:tcPr>
                  <w:tcW w:w="1105" w:type="dxa"/>
                  <w:tcBorders>
                    <w:tl2br w:val="nil"/>
                    <w:tr2bl w:val="nil"/>
                  </w:tcBorders>
                  <w:noWrap w:val="0"/>
                  <w:vAlign w:val="center"/>
                </w:tcPr>
                <w:p w14:paraId="0C133A6B">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达标</w:t>
                  </w:r>
                </w:p>
              </w:tc>
            </w:tr>
            <w:tr w14:paraId="4959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noWrap w:val="0"/>
                  <w:vAlign w:val="center"/>
                </w:tcPr>
                <w:p w14:paraId="3CF9EE12">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PM</w:t>
                  </w:r>
                  <w:r>
                    <w:rPr>
                      <w:rFonts w:hint="default" w:ascii="Times New Roman" w:hAnsi="Times New Roman" w:eastAsia="宋体" w:cs="Times New Roman"/>
                      <w:color w:val="auto"/>
                      <w:sz w:val="21"/>
                      <w:szCs w:val="21"/>
                      <w:u w:val="none"/>
                      <w:vertAlign w:val="subscript"/>
                      <w:lang w:val="en-US" w:eastAsia="zh-CN"/>
                    </w:rPr>
                    <w:t>2.5</w:t>
                  </w:r>
                  <w:r>
                    <w:rPr>
                      <w:rFonts w:hint="default" w:ascii="Times New Roman" w:hAnsi="Times New Roman" w:cs="Times New Roman"/>
                      <w:color w:val="auto"/>
                      <w:sz w:val="21"/>
                      <w:szCs w:val="21"/>
                      <w:u w:val="none"/>
                      <w:vertAlign w:val="baseline"/>
                      <w:lang w:val="en-US" w:eastAsia="zh-CN"/>
                    </w:rPr>
                    <w:t>（μg/m</w:t>
                  </w:r>
                  <w:r>
                    <w:rPr>
                      <w:rFonts w:hint="default" w:ascii="Times New Roman" w:hAnsi="Times New Roman" w:cs="Times New Roman"/>
                      <w:color w:val="auto"/>
                      <w:sz w:val="21"/>
                      <w:szCs w:val="21"/>
                      <w:u w:val="none"/>
                      <w:vertAlign w:val="superscript"/>
                      <w:lang w:val="en-US" w:eastAsia="zh-CN"/>
                    </w:rPr>
                    <w:t>3</w:t>
                  </w:r>
                  <w:r>
                    <w:rPr>
                      <w:rFonts w:hint="default" w:ascii="Times New Roman" w:hAnsi="Times New Roman" w:cs="Times New Roman"/>
                      <w:color w:val="auto"/>
                      <w:sz w:val="21"/>
                      <w:szCs w:val="21"/>
                      <w:u w:val="none"/>
                      <w:vertAlign w:val="baseline"/>
                      <w:lang w:val="en-US" w:eastAsia="zh-CN"/>
                    </w:rPr>
                    <w:t>）</w:t>
                  </w:r>
                </w:p>
              </w:tc>
              <w:tc>
                <w:tcPr>
                  <w:tcW w:w="2205" w:type="dxa"/>
                  <w:tcBorders>
                    <w:tl2br w:val="nil"/>
                    <w:tr2bl w:val="nil"/>
                  </w:tcBorders>
                  <w:noWrap w:val="0"/>
                  <w:vAlign w:val="center"/>
                </w:tcPr>
                <w:p w14:paraId="2FE82440">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年平均质量浓度</w:t>
                  </w:r>
                </w:p>
              </w:tc>
              <w:tc>
                <w:tcPr>
                  <w:tcW w:w="1155" w:type="dxa"/>
                  <w:tcBorders>
                    <w:tl2br w:val="nil"/>
                    <w:tr2bl w:val="nil"/>
                  </w:tcBorders>
                  <w:noWrap w:val="0"/>
                  <w:vAlign w:val="center"/>
                </w:tcPr>
                <w:p w14:paraId="0A88CC12">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34</w:t>
                  </w:r>
                </w:p>
              </w:tc>
              <w:tc>
                <w:tcPr>
                  <w:tcW w:w="990" w:type="dxa"/>
                  <w:tcBorders>
                    <w:tl2br w:val="nil"/>
                    <w:tr2bl w:val="nil"/>
                  </w:tcBorders>
                  <w:noWrap w:val="0"/>
                  <w:vAlign w:val="center"/>
                </w:tcPr>
                <w:p w14:paraId="2794C2E3">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35</w:t>
                  </w:r>
                </w:p>
              </w:tc>
              <w:tc>
                <w:tcPr>
                  <w:tcW w:w="1185" w:type="dxa"/>
                  <w:tcBorders>
                    <w:tl2br w:val="nil"/>
                    <w:tr2bl w:val="nil"/>
                  </w:tcBorders>
                  <w:noWrap w:val="0"/>
                  <w:vAlign w:val="center"/>
                </w:tcPr>
                <w:p w14:paraId="09AD45D2">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97.1</w:t>
                  </w:r>
                </w:p>
              </w:tc>
              <w:tc>
                <w:tcPr>
                  <w:tcW w:w="1105" w:type="dxa"/>
                  <w:tcBorders>
                    <w:tl2br w:val="nil"/>
                    <w:tr2bl w:val="nil"/>
                  </w:tcBorders>
                  <w:noWrap w:val="0"/>
                  <w:vAlign w:val="center"/>
                </w:tcPr>
                <w:p w14:paraId="513E1FB2">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达标</w:t>
                  </w:r>
                </w:p>
              </w:tc>
            </w:tr>
            <w:tr w14:paraId="458A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noWrap w:val="0"/>
                  <w:vAlign w:val="center"/>
                </w:tcPr>
                <w:p w14:paraId="22BF2BB9">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CO</w:t>
                  </w:r>
                  <w:r>
                    <w:rPr>
                      <w:rFonts w:hint="default" w:ascii="Times New Roman" w:hAnsi="Times New Roman" w:cs="Times New Roman"/>
                      <w:color w:val="auto"/>
                      <w:sz w:val="21"/>
                      <w:szCs w:val="21"/>
                      <w:u w:val="none"/>
                      <w:vertAlign w:val="baseline"/>
                      <w:lang w:val="en-US" w:eastAsia="zh-CN"/>
                    </w:rPr>
                    <w:t>（</w:t>
                  </w:r>
                  <w:r>
                    <w:rPr>
                      <w:rFonts w:hint="eastAsia" w:cs="Times New Roman"/>
                      <w:color w:val="auto"/>
                      <w:sz w:val="21"/>
                      <w:szCs w:val="21"/>
                      <w:u w:val="none"/>
                      <w:vertAlign w:val="baseline"/>
                      <w:lang w:val="en-US" w:eastAsia="zh-CN"/>
                    </w:rPr>
                    <w:t>m</w:t>
                  </w:r>
                  <w:r>
                    <w:rPr>
                      <w:rFonts w:hint="default" w:ascii="Times New Roman" w:hAnsi="Times New Roman" w:cs="Times New Roman"/>
                      <w:color w:val="auto"/>
                      <w:sz w:val="21"/>
                      <w:szCs w:val="21"/>
                      <w:u w:val="none"/>
                      <w:vertAlign w:val="baseline"/>
                      <w:lang w:val="en-US" w:eastAsia="zh-CN"/>
                    </w:rPr>
                    <w:t>g/m</w:t>
                  </w:r>
                  <w:r>
                    <w:rPr>
                      <w:rFonts w:hint="default" w:ascii="Times New Roman" w:hAnsi="Times New Roman" w:cs="Times New Roman"/>
                      <w:color w:val="auto"/>
                      <w:sz w:val="21"/>
                      <w:szCs w:val="21"/>
                      <w:u w:val="none"/>
                      <w:vertAlign w:val="superscript"/>
                      <w:lang w:val="en-US" w:eastAsia="zh-CN"/>
                    </w:rPr>
                    <w:t>3</w:t>
                  </w:r>
                  <w:r>
                    <w:rPr>
                      <w:rFonts w:hint="default" w:ascii="Times New Roman" w:hAnsi="Times New Roman" w:cs="Times New Roman"/>
                      <w:color w:val="auto"/>
                      <w:sz w:val="21"/>
                      <w:szCs w:val="21"/>
                      <w:u w:val="none"/>
                      <w:vertAlign w:val="baseline"/>
                      <w:lang w:val="en-US" w:eastAsia="zh-CN"/>
                    </w:rPr>
                    <w:t>）</w:t>
                  </w:r>
                </w:p>
              </w:tc>
              <w:tc>
                <w:tcPr>
                  <w:tcW w:w="2205" w:type="dxa"/>
                  <w:tcBorders>
                    <w:tl2br w:val="nil"/>
                    <w:tr2bl w:val="nil"/>
                  </w:tcBorders>
                  <w:noWrap w:val="0"/>
                  <w:vAlign w:val="center"/>
                </w:tcPr>
                <w:p w14:paraId="7C9FBCEA">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95%日平均质量浓度</w:t>
                  </w:r>
                </w:p>
              </w:tc>
              <w:tc>
                <w:tcPr>
                  <w:tcW w:w="1155" w:type="dxa"/>
                  <w:tcBorders>
                    <w:tl2br w:val="nil"/>
                    <w:tr2bl w:val="nil"/>
                  </w:tcBorders>
                  <w:noWrap w:val="0"/>
                  <w:vAlign w:val="center"/>
                </w:tcPr>
                <w:p w14:paraId="72FE59EC">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1.0</w:t>
                  </w:r>
                </w:p>
              </w:tc>
              <w:tc>
                <w:tcPr>
                  <w:tcW w:w="990" w:type="dxa"/>
                  <w:tcBorders>
                    <w:tl2br w:val="nil"/>
                    <w:tr2bl w:val="nil"/>
                  </w:tcBorders>
                  <w:noWrap w:val="0"/>
                  <w:vAlign w:val="center"/>
                </w:tcPr>
                <w:p w14:paraId="400587C8">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4.0</w:t>
                  </w:r>
                </w:p>
              </w:tc>
              <w:tc>
                <w:tcPr>
                  <w:tcW w:w="1185" w:type="dxa"/>
                  <w:tcBorders>
                    <w:tl2br w:val="nil"/>
                    <w:tr2bl w:val="nil"/>
                  </w:tcBorders>
                  <w:noWrap w:val="0"/>
                  <w:vAlign w:val="center"/>
                </w:tcPr>
                <w:p w14:paraId="794E38CC">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25</w:t>
                  </w:r>
                </w:p>
              </w:tc>
              <w:tc>
                <w:tcPr>
                  <w:tcW w:w="1105" w:type="dxa"/>
                  <w:tcBorders>
                    <w:tl2br w:val="nil"/>
                    <w:tr2bl w:val="nil"/>
                  </w:tcBorders>
                  <w:noWrap w:val="0"/>
                  <w:vAlign w:val="center"/>
                </w:tcPr>
                <w:p w14:paraId="396707AF">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达标</w:t>
                  </w:r>
                </w:p>
              </w:tc>
            </w:tr>
            <w:tr w14:paraId="151F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noWrap w:val="0"/>
                  <w:vAlign w:val="center"/>
                </w:tcPr>
                <w:p w14:paraId="3202DC48">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O</w:t>
                  </w:r>
                  <w:r>
                    <w:rPr>
                      <w:rFonts w:hint="default" w:ascii="Times New Roman" w:hAnsi="Times New Roman" w:eastAsia="宋体" w:cs="Times New Roman"/>
                      <w:color w:val="auto"/>
                      <w:sz w:val="21"/>
                      <w:szCs w:val="21"/>
                      <w:u w:val="none"/>
                      <w:vertAlign w:val="subscript"/>
                      <w:lang w:val="en-US" w:eastAsia="zh-CN"/>
                    </w:rPr>
                    <w:t>3</w:t>
                  </w:r>
                  <w:r>
                    <w:rPr>
                      <w:rFonts w:hint="default" w:ascii="Times New Roman" w:hAnsi="Times New Roman" w:cs="Times New Roman"/>
                      <w:color w:val="auto"/>
                      <w:sz w:val="21"/>
                      <w:szCs w:val="21"/>
                      <w:u w:val="none"/>
                      <w:vertAlign w:val="baseline"/>
                      <w:lang w:val="en-US" w:eastAsia="zh-CN"/>
                    </w:rPr>
                    <w:t>（μg/m</w:t>
                  </w:r>
                  <w:r>
                    <w:rPr>
                      <w:rFonts w:hint="default" w:ascii="Times New Roman" w:hAnsi="Times New Roman" w:cs="Times New Roman"/>
                      <w:color w:val="auto"/>
                      <w:sz w:val="21"/>
                      <w:szCs w:val="21"/>
                      <w:u w:val="none"/>
                      <w:vertAlign w:val="superscript"/>
                      <w:lang w:val="en-US" w:eastAsia="zh-CN"/>
                    </w:rPr>
                    <w:t>3</w:t>
                  </w:r>
                  <w:r>
                    <w:rPr>
                      <w:rFonts w:hint="default" w:ascii="Times New Roman" w:hAnsi="Times New Roman" w:cs="Times New Roman"/>
                      <w:color w:val="auto"/>
                      <w:sz w:val="21"/>
                      <w:szCs w:val="21"/>
                      <w:u w:val="none"/>
                      <w:vertAlign w:val="baseline"/>
                      <w:lang w:val="en-US" w:eastAsia="zh-CN"/>
                    </w:rPr>
                    <w:t>）</w:t>
                  </w:r>
                </w:p>
              </w:tc>
              <w:tc>
                <w:tcPr>
                  <w:tcW w:w="2205" w:type="dxa"/>
                  <w:tcBorders>
                    <w:tl2br w:val="nil"/>
                    <w:tr2bl w:val="nil"/>
                  </w:tcBorders>
                  <w:noWrap w:val="0"/>
                  <w:vAlign w:val="center"/>
                </w:tcPr>
                <w:p w14:paraId="22852CAC">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90%8h平均质量浓度</w:t>
                  </w:r>
                </w:p>
              </w:tc>
              <w:tc>
                <w:tcPr>
                  <w:tcW w:w="1155" w:type="dxa"/>
                  <w:tcBorders>
                    <w:tl2br w:val="nil"/>
                    <w:tr2bl w:val="nil"/>
                  </w:tcBorders>
                  <w:noWrap w:val="0"/>
                  <w:vAlign w:val="center"/>
                </w:tcPr>
                <w:p w14:paraId="398DE3CA">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146</w:t>
                  </w:r>
                </w:p>
              </w:tc>
              <w:tc>
                <w:tcPr>
                  <w:tcW w:w="990" w:type="dxa"/>
                  <w:tcBorders>
                    <w:tl2br w:val="nil"/>
                    <w:tr2bl w:val="nil"/>
                  </w:tcBorders>
                  <w:noWrap w:val="0"/>
                  <w:vAlign w:val="center"/>
                </w:tcPr>
                <w:p w14:paraId="2CA6E1D8">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160</w:t>
                  </w:r>
                </w:p>
              </w:tc>
              <w:tc>
                <w:tcPr>
                  <w:tcW w:w="1185" w:type="dxa"/>
                  <w:tcBorders>
                    <w:tl2br w:val="nil"/>
                    <w:tr2bl w:val="nil"/>
                  </w:tcBorders>
                  <w:noWrap w:val="0"/>
                  <w:vAlign w:val="center"/>
                </w:tcPr>
                <w:p w14:paraId="3E2D49AF">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91.25</w:t>
                  </w:r>
                </w:p>
              </w:tc>
              <w:tc>
                <w:tcPr>
                  <w:tcW w:w="1105" w:type="dxa"/>
                  <w:tcBorders>
                    <w:tl2br w:val="nil"/>
                    <w:tr2bl w:val="nil"/>
                  </w:tcBorders>
                  <w:noWrap w:val="0"/>
                  <w:vAlign w:val="center"/>
                </w:tcPr>
                <w:p w14:paraId="7AEDC0C4">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240" w:lineRule="auto"/>
                    <w:ind w:left="0"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达标</w:t>
                  </w:r>
                </w:p>
              </w:tc>
            </w:tr>
          </w:tbl>
          <w:p w14:paraId="2BEE25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由上表数据分析，202</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年湘阴县环境空气中SO</w:t>
            </w:r>
            <w:r>
              <w:rPr>
                <w:rFonts w:hint="default" w:ascii="Times New Roman" w:hAnsi="Times New Roman" w:eastAsia="宋体" w:cs="Times New Roman"/>
                <w:color w:val="auto"/>
                <w:sz w:val="24"/>
                <w:szCs w:val="24"/>
                <w:u w:val="none" w:color="auto"/>
                <w:vertAlign w:val="subscript"/>
                <w:lang w:val="en-US" w:eastAsia="zh-CN"/>
              </w:rPr>
              <w:t>2</w:t>
            </w:r>
            <w:r>
              <w:rPr>
                <w:rFonts w:hint="default" w:ascii="Times New Roman" w:hAnsi="Times New Roman" w:eastAsia="宋体" w:cs="Times New Roman"/>
                <w:color w:val="auto"/>
                <w:sz w:val="24"/>
                <w:szCs w:val="24"/>
                <w:u w:val="none" w:color="auto"/>
                <w:lang w:val="en-US" w:eastAsia="zh-CN"/>
              </w:rPr>
              <w:t>、NO</w:t>
            </w:r>
            <w:r>
              <w:rPr>
                <w:rFonts w:hint="default" w:ascii="Times New Roman" w:hAnsi="Times New Roman" w:eastAsia="宋体" w:cs="Times New Roman"/>
                <w:color w:val="auto"/>
                <w:sz w:val="24"/>
                <w:szCs w:val="24"/>
                <w:u w:val="none" w:color="auto"/>
                <w:vertAlign w:val="subscript"/>
                <w:lang w:val="en-US" w:eastAsia="zh-CN"/>
              </w:rPr>
              <w:t>2</w:t>
            </w:r>
            <w:r>
              <w:rPr>
                <w:rFonts w:hint="default" w:ascii="Times New Roman" w:hAnsi="Times New Roman" w:eastAsia="宋体" w:cs="Times New Roman"/>
                <w:color w:val="auto"/>
                <w:sz w:val="24"/>
                <w:szCs w:val="24"/>
                <w:u w:val="none" w:color="auto"/>
                <w:lang w:val="en-US" w:eastAsia="zh-CN"/>
              </w:rPr>
              <w:t>、PM</w:t>
            </w:r>
            <w:r>
              <w:rPr>
                <w:rFonts w:hint="default" w:ascii="Times New Roman" w:hAnsi="Times New Roman" w:eastAsia="宋体" w:cs="Times New Roman"/>
                <w:color w:val="auto"/>
                <w:sz w:val="24"/>
                <w:szCs w:val="24"/>
                <w:u w:val="none" w:color="auto"/>
                <w:vertAlign w:val="subscript"/>
                <w:lang w:val="en-US" w:eastAsia="zh-CN"/>
              </w:rPr>
              <w:t>10</w:t>
            </w:r>
            <w:r>
              <w:rPr>
                <w:rFonts w:hint="default" w:ascii="Times New Roman" w:hAnsi="Times New Roman" w:eastAsia="宋体" w:cs="Times New Roman"/>
                <w:color w:val="auto"/>
                <w:sz w:val="24"/>
                <w:szCs w:val="24"/>
                <w:u w:val="none" w:color="auto"/>
                <w:lang w:val="en-US" w:eastAsia="zh-CN"/>
              </w:rPr>
              <w:t>、PM</w:t>
            </w:r>
            <w:r>
              <w:rPr>
                <w:rFonts w:hint="default" w:ascii="Times New Roman" w:hAnsi="Times New Roman" w:eastAsia="宋体" w:cs="Times New Roman"/>
                <w:color w:val="auto"/>
                <w:sz w:val="24"/>
                <w:szCs w:val="24"/>
                <w:u w:val="none" w:color="auto"/>
                <w:vertAlign w:val="subscript"/>
                <w:lang w:val="en-US" w:eastAsia="zh-CN"/>
              </w:rPr>
              <w:t>2.5</w:t>
            </w:r>
            <w:r>
              <w:rPr>
                <w:rFonts w:hint="default" w:ascii="Times New Roman" w:hAnsi="Times New Roman" w:eastAsia="宋体" w:cs="Times New Roman"/>
                <w:color w:val="auto"/>
                <w:sz w:val="24"/>
                <w:szCs w:val="24"/>
                <w:u w:val="none" w:color="auto"/>
                <w:lang w:val="en-US" w:eastAsia="zh-CN"/>
              </w:rPr>
              <w:t>年均浓度、CO日均值（第95百分位浓度）、O</w:t>
            </w:r>
            <w:r>
              <w:rPr>
                <w:rFonts w:hint="default" w:ascii="Times New Roman" w:hAnsi="Times New Roman" w:eastAsia="宋体" w:cs="Times New Roman"/>
                <w:color w:val="auto"/>
                <w:sz w:val="24"/>
                <w:szCs w:val="24"/>
                <w:u w:val="none" w:color="auto"/>
                <w:vertAlign w:val="subscript"/>
                <w:lang w:val="en-US" w:eastAsia="zh-CN"/>
              </w:rPr>
              <w:t>3</w:t>
            </w:r>
            <w:r>
              <w:rPr>
                <w:rFonts w:hint="default" w:ascii="Times New Roman" w:hAnsi="Times New Roman" w:eastAsia="宋体" w:cs="Times New Roman"/>
                <w:color w:val="auto"/>
                <w:sz w:val="24"/>
                <w:szCs w:val="24"/>
                <w:u w:val="none" w:color="auto"/>
                <w:lang w:val="en-US" w:eastAsia="zh-CN"/>
              </w:rPr>
              <w:t>日最大8h平均值（第90百分位浓度）都符合《环境空气质量标准》（GB3095-2012）及修改单中的二级标准要求，故本项目所在区域为环境空气质量达标区。</w:t>
            </w:r>
          </w:p>
          <w:p w14:paraId="78C2280E">
            <w:pPr>
              <w:pStyle w:val="10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b/>
                <w:bCs/>
                <w:color w:val="000000" w:themeColor="text1"/>
                <w:sz w:val="24"/>
                <w:szCs w:val="24"/>
                <w:u w:val="none"/>
                <w14:textFill>
                  <w14:solidFill>
                    <w14:schemeClr w14:val="tx1"/>
                  </w14:solidFill>
                </w14:textFill>
              </w:rPr>
            </w:pPr>
            <w: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t>1.2</w:t>
            </w: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、其他</w:t>
            </w:r>
            <w:r>
              <w:rPr>
                <w:rFonts w:hint="default" w:ascii="Times New Roman" w:hAnsi="Times New Roman" w:eastAsia="宋体" w:cs="Times New Roman"/>
                <w:b/>
                <w:bCs/>
                <w:color w:val="000000" w:themeColor="text1"/>
                <w:sz w:val="24"/>
                <w:szCs w:val="24"/>
                <w:u w:val="none"/>
                <w14:textFill>
                  <w14:solidFill>
                    <w14:schemeClr w14:val="tx1"/>
                  </w14:solidFill>
                </w14:textFill>
              </w:rPr>
              <w:t>污染物</w:t>
            </w:r>
          </w:p>
          <w:p w14:paraId="15E03C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t>根据《建设项目环境影响报告表编制技术指南》（污染影响类）（试行），排放国家、地方环境空气质量标准中有标准限值要求的特征污染物时，引用建设项目周边5千米范围内近三年的现有监测数据，无相关数据的选择当季主导风向下风向1个点位补充不少于3的监测数据。</w:t>
            </w:r>
          </w:p>
          <w:p w14:paraId="6FC1B0AE">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本项目的特征污</w:t>
            </w:r>
            <w:r>
              <w:rPr>
                <w:rFonts w:hint="eastAsia" w:ascii="Times New Roman" w:hAnsi="Times New Roman" w:eastAsia="宋体" w:cs="Times New Roman"/>
                <w:color w:val="000000"/>
                <w:kern w:val="2"/>
                <w:sz w:val="24"/>
                <w:szCs w:val="24"/>
                <w:lang w:val="en-US" w:eastAsia="zh-CN" w:bidi="ar"/>
              </w:rPr>
              <w:t>染物为TVOC、TSP，为了解</w:t>
            </w:r>
            <w:r>
              <w:rPr>
                <w:rFonts w:hint="eastAsia" w:ascii="宋体" w:hAnsi="宋体" w:eastAsia="宋体" w:cs="宋体"/>
                <w:color w:val="000000"/>
                <w:kern w:val="2"/>
                <w:sz w:val="24"/>
                <w:szCs w:val="24"/>
                <w:lang w:val="en-US" w:eastAsia="zh-CN" w:bidi="ar"/>
              </w:rPr>
              <w:t>项目评价区域内</w:t>
            </w:r>
            <w:r>
              <w:rPr>
                <w:rFonts w:hint="default" w:ascii="Times New Roman" w:hAnsi="Times New Roman" w:eastAsia="宋体" w:cs="Times New Roman"/>
                <w:color w:val="000000"/>
                <w:kern w:val="2"/>
                <w:sz w:val="24"/>
                <w:szCs w:val="24"/>
                <w:lang w:val="en-US" w:eastAsia="zh-CN" w:bidi="ar"/>
              </w:rPr>
              <w:t>TVOC</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TSP</w:t>
            </w:r>
            <w:r>
              <w:rPr>
                <w:rFonts w:hint="eastAsia" w:ascii="宋体" w:hAnsi="宋体" w:eastAsia="宋体" w:cs="宋体"/>
                <w:color w:val="000000"/>
                <w:kern w:val="2"/>
                <w:sz w:val="24"/>
                <w:szCs w:val="24"/>
                <w:lang w:val="en-US" w:eastAsia="zh-CN" w:bidi="ar"/>
              </w:rPr>
              <w:t>环境质量现状，本环评引用《金彩螺新材料科技有限公司年产</w:t>
            </w:r>
            <w:r>
              <w:rPr>
                <w:rFonts w:hint="default" w:ascii="Times New Roman" w:hAnsi="Times New Roman" w:eastAsia="宋体" w:cs="Times New Roman"/>
                <w:color w:val="000000"/>
                <w:kern w:val="2"/>
                <w:sz w:val="24"/>
                <w:szCs w:val="24"/>
                <w:lang w:val="en-US" w:eastAsia="zh-CN" w:bidi="ar"/>
              </w:rPr>
              <w:t>8</w:t>
            </w:r>
            <w:r>
              <w:rPr>
                <w:rFonts w:hint="eastAsia" w:ascii="宋体" w:hAnsi="宋体" w:eastAsia="宋体" w:cs="宋体"/>
                <w:color w:val="000000"/>
                <w:kern w:val="2"/>
                <w:sz w:val="24"/>
                <w:szCs w:val="24"/>
                <w:lang w:val="en-US" w:eastAsia="zh-CN" w:bidi="ar"/>
              </w:rPr>
              <w:t>万吨金彩螺水性节能环保建筑涂料生产基地项目（重大变动）环境影响报告表》中</w:t>
            </w:r>
            <w:r>
              <w:rPr>
                <w:rFonts w:hint="default" w:ascii="Times New Roman" w:hAnsi="Times New Roman" w:eastAsia="宋体" w:cs="Times New Roman"/>
                <w:color w:val="000000"/>
                <w:kern w:val="2"/>
                <w:sz w:val="24"/>
                <w:szCs w:val="24"/>
                <w:lang w:val="en-US" w:eastAsia="zh-CN" w:bidi="ar"/>
              </w:rPr>
              <w:t>湖南宏润检测有限公司于2023年9月12日～9月14日对评价区域内TVOC和TSP进行的一期现场采样监测数据。</w:t>
            </w:r>
          </w:p>
          <w:p w14:paraId="381A464F">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“年产</w:t>
            </w:r>
            <w:r>
              <w:rPr>
                <w:rFonts w:hint="default" w:ascii="Times New Roman" w:hAnsi="Times New Roman" w:eastAsia="宋体" w:cs="Times New Roman"/>
                <w:color w:val="000000"/>
                <w:kern w:val="2"/>
                <w:sz w:val="24"/>
                <w:szCs w:val="24"/>
                <w:lang w:val="en-US" w:eastAsia="zh-CN" w:bidi="ar"/>
              </w:rPr>
              <w:t>8</w:t>
            </w:r>
            <w:r>
              <w:rPr>
                <w:rFonts w:hint="eastAsia" w:ascii="宋体" w:hAnsi="宋体" w:eastAsia="宋体" w:cs="宋体"/>
                <w:color w:val="000000"/>
                <w:kern w:val="2"/>
                <w:sz w:val="24"/>
                <w:szCs w:val="24"/>
                <w:lang w:val="en-US" w:eastAsia="zh-CN" w:bidi="ar"/>
              </w:rPr>
              <w:t>万吨金彩螺水性节能环保建筑涂料生产基地项目（重大变动）”位于本项目东南方向直线距离</w:t>
            </w: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cs="Times New Roman"/>
                <w:color w:val="000000"/>
                <w:kern w:val="2"/>
                <w:sz w:val="24"/>
                <w:szCs w:val="24"/>
                <w:lang w:val="en-US" w:eastAsia="zh-CN" w:bidi="ar"/>
              </w:rPr>
              <w:t>2</w:t>
            </w:r>
            <w:r>
              <w:rPr>
                <w:rFonts w:hint="default" w:ascii="Times New Roman" w:hAnsi="Times New Roman" w:eastAsia="宋体" w:cs="Times New Roman"/>
                <w:color w:val="000000"/>
                <w:kern w:val="2"/>
                <w:sz w:val="24"/>
                <w:szCs w:val="24"/>
                <w:lang w:val="en-US" w:eastAsia="zh-CN" w:bidi="ar"/>
              </w:rPr>
              <w:t>km</w:t>
            </w:r>
            <w:r>
              <w:rPr>
                <w:rFonts w:hint="eastAsia" w:ascii="宋体" w:hAnsi="宋体" w:eastAsia="宋体" w:cs="宋体"/>
                <w:color w:val="000000"/>
                <w:kern w:val="2"/>
                <w:sz w:val="24"/>
                <w:szCs w:val="24"/>
                <w:lang w:val="en-US" w:eastAsia="zh-CN" w:bidi="ar"/>
              </w:rPr>
              <w:t>，数据符合引用要求。其他污染物环境质量现状详见下表：</w:t>
            </w:r>
          </w:p>
          <w:p w14:paraId="192EC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color w:val="auto"/>
                <w:sz w:val="21"/>
                <w:szCs w:val="21"/>
                <w:highlight w:val="none"/>
                <w:u w:val="none" w:color="auto"/>
                <w:lang w:val="en-US" w:eastAsia="zh-CN"/>
              </w:rPr>
            </w:pPr>
            <w:r>
              <w:rPr>
                <w:rFonts w:hint="eastAsia" w:ascii="Times New Roman" w:hAnsi="Times New Roman" w:eastAsia="宋体" w:cs="Times New Roman"/>
                <w:b/>
                <w:color w:val="auto"/>
                <w:sz w:val="21"/>
                <w:szCs w:val="21"/>
                <w:highlight w:val="none"/>
                <w:u w:val="none" w:color="auto"/>
                <w:lang w:val="en-US" w:eastAsia="zh-CN"/>
              </w:rPr>
              <w:t>表</w:t>
            </w:r>
            <w:r>
              <w:rPr>
                <w:rFonts w:hint="default" w:ascii="Times New Roman" w:hAnsi="Times New Roman" w:eastAsia="宋体" w:cs="Times New Roman"/>
                <w:b/>
                <w:color w:val="auto"/>
                <w:sz w:val="21"/>
                <w:szCs w:val="21"/>
                <w:highlight w:val="none"/>
                <w:u w:val="none" w:color="auto"/>
                <w:lang w:val="en-US" w:eastAsia="zh-CN"/>
              </w:rPr>
              <w:t>3</w:t>
            </w:r>
            <w:r>
              <w:rPr>
                <w:rFonts w:hint="eastAsia" w:cs="Times New Roman"/>
                <w:b/>
                <w:color w:val="auto"/>
                <w:sz w:val="21"/>
                <w:szCs w:val="21"/>
                <w:highlight w:val="none"/>
                <w:u w:val="none" w:color="auto"/>
                <w:lang w:val="en-US" w:eastAsia="zh-CN"/>
              </w:rPr>
              <w:t>-</w:t>
            </w:r>
            <w:r>
              <w:rPr>
                <w:rFonts w:hint="default" w:ascii="Times New Roman" w:hAnsi="Times New Roman" w:eastAsia="宋体" w:cs="Times New Roman"/>
                <w:b/>
                <w:color w:val="auto"/>
                <w:sz w:val="21"/>
                <w:szCs w:val="21"/>
                <w:highlight w:val="none"/>
                <w:u w:val="none" w:color="auto"/>
                <w:lang w:val="en-US" w:eastAsia="zh-CN"/>
              </w:rPr>
              <w:t>2</w:t>
            </w:r>
            <w:r>
              <w:rPr>
                <w:rFonts w:hint="eastAsia" w:ascii="Times New Roman" w:hAnsi="Times New Roman" w:eastAsia="宋体" w:cs="Times New Roman"/>
                <w:b/>
                <w:color w:val="auto"/>
                <w:sz w:val="21"/>
                <w:szCs w:val="21"/>
                <w:highlight w:val="none"/>
                <w:u w:val="none" w:color="auto"/>
                <w:lang w:val="en-US" w:eastAsia="zh-CN"/>
              </w:rPr>
              <w:t xml:space="preserve">   环境空气监测结果一览表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7"/>
              <w:gridCol w:w="735"/>
              <w:gridCol w:w="991"/>
              <w:gridCol w:w="1160"/>
              <w:gridCol w:w="1407"/>
              <w:gridCol w:w="1159"/>
              <w:gridCol w:w="826"/>
              <w:gridCol w:w="637"/>
            </w:tblGrid>
            <w:tr w14:paraId="0572D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97" w:type="dxa"/>
                  <w:tcBorders>
                    <w:top w:val="single" w:color="000000" w:sz="4" w:space="0"/>
                    <w:left w:val="single" w:color="000000" w:sz="4" w:space="0"/>
                    <w:bottom w:val="single" w:color="000000" w:sz="4" w:space="0"/>
                    <w:right w:val="single" w:color="000000" w:sz="4" w:space="0"/>
                  </w:tcBorders>
                  <w:noWrap w:val="0"/>
                  <w:vAlign w:val="center"/>
                </w:tcPr>
                <w:p w14:paraId="3A536E09">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监测点位</w:t>
                  </w:r>
                </w:p>
              </w:tc>
              <w:tc>
                <w:tcPr>
                  <w:tcW w:w="735" w:type="dxa"/>
                  <w:tcBorders>
                    <w:top w:val="single" w:color="000000" w:sz="4" w:space="0"/>
                    <w:left w:val="nil"/>
                    <w:bottom w:val="single" w:color="000000" w:sz="4" w:space="0"/>
                    <w:right w:val="single" w:color="000000" w:sz="4" w:space="0"/>
                  </w:tcBorders>
                  <w:noWrap w:val="0"/>
                  <w:vAlign w:val="center"/>
                </w:tcPr>
                <w:p w14:paraId="71DFD3C0">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污染物</w:t>
                  </w:r>
                </w:p>
              </w:tc>
              <w:tc>
                <w:tcPr>
                  <w:tcW w:w="991" w:type="dxa"/>
                  <w:tcBorders>
                    <w:top w:val="single" w:color="000000" w:sz="4" w:space="0"/>
                    <w:left w:val="nil"/>
                    <w:bottom w:val="single" w:color="000000" w:sz="4" w:space="0"/>
                    <w:right w:val="single" w:color="000000" w:sz="4" w:space="0"/>
                  </w:tcBorders>
                  <w:noWrap w:val="0"/>
                  <w:vAlign w:val="center"/>
                </w:tcPr>
                <w:p w14:paraId="27F90FB9">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平均时间</w:t>
                  </w:r>
                </w:p>
              </w:tc>
              <w:tc>
                <w:tcPr>
                  <w:tcW w:w="1160" w:type="dxa"/>
                  <w:tcBorders>
                    <w:top w:val="single" w:color="000000" w:sz="4" w:space="0"/>
                    <w:left w:val="nil"/>
                    <w:bottom w:val="single" w:color="000000" w:sz="4" w:space="0"/>
                    <w:right w:val="single" w:color="000000" w:sz="4" w:space="0"/>
                  </w:tcBorders>
                  <w:noWrap w:val="0"/>
                  <w:vAlign w:val="center"/>
                </w:tcPr>
                <w:p w14:paraId="07EA2B05">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评价标准</w:t>
                  </w:r>
                  <w:r>
                    <w:rPr>
                      <w:rFonts w:hint="default" w:ascii="Times New Roman" w:hAnsi="Times New Roman" w:eastAsia="宋体" w:cs="Times New Roman"/>
                      <w:color w:val="000000"/>
                      <w:kern w:val="2"/>
                      <w:sz w:val="21"/>
                      <w:szCs w:val="21"/>
                    </w:rPr>
                    <w:t>/</w:t>
                  </w:r>
                </w:p>
                <w:p w14:paraId="0755FE95">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w:t>
                  </w:r>
                  <w:r>
                    <w:rPr>
                      <w:rFonts w:hint="default" w:ascii="Times New Roman" w:hAnsi="Times New Roman" w:eastAsia="宋体" w:cs="Times New Roman"/>
                      <w:color w:val="000000"/>
                      <w:kern w:val="2"/>
                      <w:sz w:val="21"/>
                      <w:szCs w:val="21"/>
                    </w:rPr>
                    <w:t>mg/m</w:t>
                  </w:r>
                  <w:r>
                    <w:rPr>
                      <w:rFonts w:hint="default" w:ascii="Times New Roman" w:hAnsi="Times New Roman" w:eastAsia="宋体" w:cs="Times New Roman"/>
                      <w:color w:val="000000"/>
                      <w:kern w:val="2"/>
                      <w:sz w:val="21"/>
                      <w:szCs w:val="21"/>
                      <w:vertAlign w:val="superscript"/>
                    </w:rPr>
                    <w:t>3</w:t>
                  </w:r>
                  <w:r>
                    <w:rPr>
                      <w:rFonts w:hint="eastAsia" w:ascii="宋体" w:hAnsi="宋体" w:eastAsia="宋体" w:cs="宋体"/>
                      <w:color w:val="000000"/>
                      <w:kern w:val="2"/>
                      <w:sz w:val="21"/>
                      <w:szCs w:val="21"/>
                    </w:rPr>
                    <w:t>）</w:t>
                  </w:r>
                </w:p>
              </w:tc>
              <w:tc>
                <w:tcPr>
                  <w:tcW w:w="1407" w:type="dxa"/>
                  <w:tcBorders>
                    <w:top w:val="single" w:color="000000" w:sz="4" w:space="0"/>
                    <w:left w:val="nil"/>
                    <w:bottom w:val="single" w:color="000000" w:sz="4" w:space="0"/>
                    <w:right w:val="single" w:color="000000" w:sz="4" w:space="0"/>
                  </w:tcBorders>
                  <w:noWrap w:val="0"/>
                  <w:vAlign w:val="center"/>
                </w:tcPr>
                <w:p w14:paraId="4E71425B">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监测浓度范围</w:t>
                  </w:r>
                  <w:r>
                    <w:rPr>
                      <w:rFonts w:hint="default" w:ascii="Times New Roman" w:hAnsi="Times New Roman" w:eastAsia="宋体" w:cs="Times New Roman"/>
                      <w:color w:val="000000"/>
                      <w:kern w:val="2"/>
                      <w:sz w:val="21"/>
                      <w:szCs w:val="21"/>
                    </w:rPr>
                    <w:t>/</w:t>
                  </w:r>
                  <w:r>
                    <w:rPr>
                      <w:rFonts w:hint="eastAsia" w:ascii="宋体" w:hAnsi="宋体" w:eastAsia="宋体" w:cs="宋体"/>
                      <w:color w:val="000000"/>
                      <w:kern w:val="2"/>
                      <w:sz w:val="21"/>
                      <w:szCs w:val="21"/>
                    </w:rPr>
                    <w:t>（</w:t>
                  </w:r>
                  <w:r>
                    <w:rPr>
                      <w:rFonts w:hint="default" w:ascii="Times New Roman" w:hAnsi="Times New Roman" w:eastAsia="宋体" w:cs="Times New Roman"/>
                      <w:color w:val="000000"/>
                      <w:kern w:val="2"/>
                      <w:sz w:val="21"/>
                      <w:szCs w:val="21"/>
                    </w:rPr>
                    <w:t>mg/m</w:t>
                  </w:r>
                  <w:r>
                    <w:rPr>
                      <w:rFonts w:hint="default" w:ascii="Times New Roman" w:hAnsi="Times New Roman" w:eastAsia="宋体" w:cs="Times New Roman"/>
                      <w:color w:val="000000"/>
                      <w:kern w:val="2"/>
                      <w:sz w:val="21"/>
                      <w:szCs w:val="21"/>
                      <w:vertAlign w:val="superscript"/>
                    </w:rPr>
                    <w:t>3</w:t>
                  </w:r>
                  <w:r>
                    <w:rPr>
                      <w:rFonts w:hint="eastAsia" w:ascii="宋体" w:hAnsi="宋体" w:eastAsia="宋体" w:cs="宋体"/>
                      <w:color w:val="000000"/>
                      <w:kern w:val="2"/>
                      <w:sz w:val="21"/>
                      <w:szCs w:val="21"/>
                    </w:rPr>
                    <w:t>）</w:t>
                  </w:r>
                </w:p>
              </w:tc>
              <w:tc>
                <w:tcPr>
                  <w:tcW w:w="1159" w:type="dxa"/>
                  <w:tcBorders>
                    <w:top w:val="single" w:color="000000" w:sz="4" w:space="0"/>
                    <w:left w:val="nil"/>
                    <w:bottom w:val="single" w:color="000000" w:sz="4" w:space="0"/>
                    <w:right w:val="single" w:color="000000" w:sz="4" w:space="0"/>
                  </w:tcBorders>
                  <w:noWrap w:val="0"/>
                  <w:vAlign w:val="center"/>
                </w:tcPr>
                <w:p w14:paraId="0AAE8642">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最大浓占标率</w:t>
                  </w:r>
                  <w:r>
                    <w:rPr>
                      <w:rFonts w:hint="default" w:ascii="Times New Roman" w:hAnsi="Times New Roman" w:eastAsia="宋体" w:cs="Times New Roman"/>
                      <w:color w:val="000000"/>
                      <w:kern w:val="2"/>
                      <w:sz w:val="21"/>
                      <w:szCs w:val="21"/>
                    </w:rPr>
                    <w:t>/%</w:t>
                  </w:r>
                </w:p>
              </w:tc>
              <w:tc>
                <w:tcPr>
                  <w:tcW w:w="826" w:type="dxa"/>
                  <w:tcBorders>
                    <w:top w:val="single" w:color="000000" w:sz="4" w:space="0"/>
                    <w:left w:val="nil"/>
                    <w:bottom w:val="single" w:color="000000" w:sz="4" w:space="0"/>
                    <w:right w:val="single" w:color="000000" w:sz="4" w:space="0"/>
                  </w:tcBorders>
                  <w:noWrap w:val="0"/>
                  <w:vAlign w:val="center"/>
                </w:tcPr>
                <w:p w14:paraId="20ECEA0B">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超标率</w:t>
                  </w:r>
                  <w:r>
                    <w:rPr>
                      <w:rFonts w:hint="default" w:ascii="Times New Roman" w:hAnsi="Times New Roman" w:eastAsia="宋体" w:cs="Times New Roman"/>
                      <w:color w:val="000000"/>
                      <w:kern w:val="2"/>
                      <w:sz w:val="21"/>
                      <w:szCs w:val="21"/>
                    </w:rPr>
                    <w:t>/%</w:t>
                  </w:r>
                </w:p>
              </w:tc>
              <w:tc>
                <w:tcPr>
                  <w:tcW w:w="637" w:type="dxa"/>
                  <w:tcBorders>
                    <w:top w:val="single" w:color="000000" w:sz="4" w:space="0"/>
                    <w:left w:val="nil"/>
                    <w:bottom w:val="single" w:color="000000" w:sz="4" w:space="0"/>
                    <w:right w:val="single" w:color="000000" w:sz="4" w:space="0"/>
                  </w:tcBorders>
                  <w:noWrap w:val="0"/>
                  <w:vAlign w:val="center"/>
                </w:tcPr>
                <w:p w14:paraId="153D7524">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达标情况</w:t>
                  </w:r>
                </w:p>
              </w:tc>
            </w:tr>
            <w:tr w14:paraId="6EB86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97" w:type="dxa"/>
                  <w:vMerge w:val="restart"/>
                  <w:tcBorders>
                    <w:top w:val="nil"/>
                    <w:left w:val="single" w:color="000000" w:sz="4" w:space="0"/>
                    <w:bottom w:val="single" w:color="000000" w:sz="4" w:space="0"/>
                    <w:right w:val="single" w:color="000000" w:sz="4" w:space="0"/>
                  </w:tcBorders>
                  <w:noWrap w:val="0"/>
                  <w:vAlign w:val="center"/>
                </w:tcPr>
                <w:p w14:paraId="470696A0">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厂界下风向南面</w:t>
                  </w:r>
                  <w:r>
                    <w:rPr>
                      <w:rFonts w:hint="default" w:ascii="Times New Roman" w:hAnsi="Times New Roman" w:eastAsia="宋体" w:cs="Times New Roman"/>
                      <w:color w:val="000000"/>
                      <w:kern w:val="2"/>
                      <w:sz w:val="21"/>
                      <w:szCs w:val="21"/>
                    </w:rPr>
                    <w:t>50m</w:t>
                  </w:r>
                </w:p>
              </w:tc>
              <w:tc>
                <w:tcPr>
                  <w:tcW w:w="735" w:type="dxa"/>
                  <w:tcBorders>
                    <w:top w:val="single" w:color="000000" w:sz="4" w:space="0"/>
                    <w:left w:val="nil"/>
                    <w:bottom w:val="single" w:color="000000" w:sz="4" w:space="0"/>
                    <w:right w:val="single" w:color="000000" w:sz="4" w:space="0"/>
                  </w:tcBorders>
                  <w:noWrap w:val="0"/>
                  <w:vAlign w:val="center"/>
                </w:tcPr>
                <w:p w14:paraId="230BC0D1">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TSP</w:t>
                  </w:r>
                </w:p>
              </w:tc>
              <w:tc>
                <w:tcPr>
                  <w:tcW w:w="991" w:type="dxa"/>
                  <w:tcBorders>
                    <w:top w:val="single" w:color="000000" w:sz="4" w:space="0"/>
                    <w:left w:val="nil"/>
                    <w:bottom w:val="single" w:color="000000" w:sz="4" w:space="0"/>
                    <w:right w:val="single" w:color="000000" w:sz="4" w:space="0"/>
                  </w:tcBorders>
                  <w:noWrap w:val="0"/>
                  <w:vAlign w:val="center"/>
                </w:tcPr>
                <w:p w14:paraId="3F95C721">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24h</w:t>
                  </w:r>
                  <w:r>
                    <w:rPr>
                      <w:rFonts w:hint="eastAsia" w:ascii="宋体" w:hAnsi="宋体" w:eastAsia="宋体" w:cs="宋体"/>
                      <w:color w:val="000000"/>
                      <w:kern w:val="2"/>
                      <w:sz w:val="21"/>
                      <w:szCs w:val="21"/>
                    </w:rPr>
                    <w:t>均值</w:t>
                  </w:r>
                </w:p>
              </w:tc>
              <w:tc>
                <w:tcPr>
                  <w:tcW w:w="1160" w:type="dxa"/>
                  <w:tcBorders>
                    <w:top w:val="single" w:color="000000" w:sz="4" w:space="0"/>
                    <w:left w:val="nil"/>
                    <w:bottom w:val="single" w:color="000000" w:sz="4" w:space="0"/>
                    <w:right w:val="single" w:color="000000" w:sz="4" w:space="0"/>
                  </w:tcBorders>
                  <w:noWrap w:val="0"/>
                  <w:vAlign w:val="center"/>
                </w:tcPr>
                <w:p w14:paraId="350FEA9C">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0.300</w:t>
                  </w:r>
                </w:p>
              </w:tc>
              <w:tc>
                <w:tcPr>
                  <w:tcW w:w="1407" w:type="dxa"/>
                  <w:tcBorders>
                    <w:top w:val="single" w:color="000000" w:sz="4" w:space="0"/>
                    <w:left w:val="nil"/>
                    <w:bottom w:val="single" w:color="000000" w:sz="4" w:space="0"/>
                    <w:right w:val="single" w:color="000000" w:sz="4" w:space="0"/>
                  </w:tcBorders>
                  <w:noWrap w:val="0"/>
                  <w:vAlign w:val="center"/>
                </w:tcPr>
                <w:p w14:paraId="58D5C2E1">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0.078</w:t>
                  </w:r>
                  <w:r>
                    <w:rPr>
                      <w:rFonts w:hint="eastAsia" w:ascii="宋体" w:hAnsi="宋体" w:eastAsia="宋体" w:cs="宋体"/>
                      <w:color w:val="000000"/>
                      <w:kern w:val="2"/>
                      <w:sz w:val="21"/>
                      <w:szCs w:val="21"/>
                    </w:rPr>
                    <w:t>～</w:t>
                  </w:r>
                  <w:r>
                    <w:rPr>
                      <w:rFonts w:hint="default" w:ascii="Times New Roman" w:hAnsi="Times New Roman" w:eastAsia="宋体" w:cs="Times New Roman"/>
                      <w:color w:val="000000"/>
                      <w:kern w:val="2"/>
                      <w:sz w:val="21"/>
                      <w:szCs w:val="21"/>
                    </w:rPr>
                    <w:t>0.086</w:t>
                  </w:r>
                </w:p>
              </w:tc>
              <w:tc>
                <w:tcPr>
                  <w:tcW w:w="1159" w:type="dxa"/>
                  <w:tcBorders>
                    <w:top w:val="single" w:color="000000" w:sz="4" w:space="0"/>
                    <w:left w:val="nil"/>
                    <w:bottom w:val="single" w:color="000000" w:sz="4" w:space="0"/>
                    <w:right w:val="single" w:color="000000" w:sz="4" w:space="0"/>
                  </w:tcBorders>
                  <w:noWrap w:val="0"/>
                  <w:vAlign w:val="center"/>
                </w:tcPr>
                <w:p w14:paraId="21FEEABC">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28.7</w:t>
                  </w:r>
                </w:p>
              </w:tc>
              <w:tc>
                <w:tcPr>
                  <w:tcW w:w="826" w:type="dxa"/>
                  <w:tcBorders>
                    <w:top w:val="single" w:color="000000" w:sz="4" w:space="0"/>
                    <w:left w:val="nil"/>
                    <w:bottom w:val="single" w:color="000000" w:sz="4" w:space="0"/>
                    <w:right w:val="single" w:color="000000" w:sz="4" w:space="0"/>
                  </w:tcBorders>
                  <w:noWrap w:val="0"/>
                  <w:vAlign w:val="center"/>
                </w:tcPr>
                <w:p w14:paraId="53A3EDE0">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0</w:t>
                  </w:r>
                </w:p>
              </w:tc>
              <w:tc>
                <w:tcPr>
                  <w:tcW w:w="637" w:type="dxa"/>
                  <w:tcBorders>
                    <w:top w:val="single" w:color="000000" w:sz="4" w:space="0"/>
                    <w:left w:val="nil"/>
                    <w:bottom w:val="single" w:color="000000" w:sz="4" w:space="0"/>
                    <w:right w:val="single" w:color="000000" w:sz="4" w:space="0"/>
                  </w:tcBorders>
                  <w:noWrap w:val="0"/>
                  <w:vAlign w:val="center"/>
                </w:tcPr>
                <w:p w14:paraId="08342880">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达标</w:t>
                  </w:r>
                </w:p>
              </w:tc>
            </w:tr>
            <w:tr w14:paraId="4F6F3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197" w:type="dxa"/>
                  <w:vMerge w:val="continue"/>
                  <w:tcBorders>
                    <w:top w:val="nil"/>
                    <w:left w:val="single" w:color="000000" w:sz="4" w:space="0"/>
                    <w:bottom w:val="single" w:color="000000" w:sz="4" w:space="0"/>
                    <w:right w:val="single" w:color="000000" w:sz="4" w:space="0"/>
                  </w:tcBorders>
                  <w:noWrap w:val="0"/>
                  <w:vAlign w:val="center"/>
                </w:tcPr>
                <w:p w14:paraId="266D083E">
                  <w:pPr>
                    <w:keepNext w:val="0"/>
                    <w:keepLines w:val="0"/>
                    <w:suppressLineNumbers w:val="0"/>
                    <w:spacing w:before="0" w:beforeAutospacing="0" w:after="0" w:afterAutospacing="0" w:line="240" w:lineRule="auto"/>
                    <w:ind w:left="0" w:right="0"/>
                    <w:rPr>
                      <w:rFonts w:hint="default" w:ascii="Times New Roman" w:hAnsi="Times New Roman" w:cs="Times New Roman"/>
                      <w:color w:val="000000"/>
                      <w:sz w:val="20"/>
                      <w:szCs w:val="20"/>
                    </w:rPr>
                  </w:pPr>
                </w:p>
              </w:tc>
              <w:tc>
                <w:tcPr>
                  <w:tcW w:w="735" w:type="dxa"/>
                  <w:tcBorders>
                    <w:top w:val="single" w:color="000000" w:sz="4" w:space="0"/>
                    <w:left w:val="nil"/>
                    <w:bottom w:val="single" w:color="000000" w:sz="4" w:space="0"/>
                    <w:right w:val="single" w:color="000000" w:sz="4" w:space="0"/>
                  </w:tcBorders>
                  <w:noWrap w:val="0"/>
                  <w:vAlign w:val="center"/>
                </w:tcPr>
                <w:p w14:paraId="5F62A925">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TVOC</w:t>
                  </w:r>
                </w:p>
              </w:tc>
              <w:tc>
                <w:tcPr>
                  <w:tcW w:w="991" w:type="dxa"/>
                  <w:tcBorders>
                    <w:top w:val="single" w:color="000000" w:sz="4" w:space="0"/>
                    <w:left w:val="nil"/>
                    <w:bottom w:val="single" w:color="000000" w:sz="4" w:space="0"/>
                    <w:right w:val="single" w:color="000000" w:sz="4" w:space="0"/>
                  </w:tcBorders>
                  <w:noWrap w:val="0"/>
                  <w:vAlign w:val="center"/>
                </w:tcPr>
                <w:p w14:paraId="59DC1B3A">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8h</w:t>
                  </w:r>
                  <w:r>
                    <w:rPr>
                      <w:rFonts w:hint="eastAsia" w:ascii="宋体" w:hAnsi="宋体" w:eastAsia="宋体" w:cs="宋体"/>
                      <w:color w:val="000000"/>
                      <w:kern w:val="2"/>
                      <w:sz w:val="21"/>
                      <w:szCs w:val="21"/>
                    </w:rPr>
                    <w:t>均值</w:t>
                  </w:r>
                </w:p>
              </w:tc>
              <w:tc>
                <w:tcPr>
                  <w:tcW w:w="1160" w:type="dxa"/>
                  <w:tcBorders>
                    <w:top w:val="single" w:color="000000" w:sz="4" w:space="0"/>
                    <w:left w:val="nil"/>
                    <w:bottom w:val="single" w:color="000000" w:sz="4" w:space="0"/>
                    <w:right w:val="single" w:color="000000" w:sz="4" w:space="0"/>
                  </w:tcBorders>
                  <w:noWrap w:val="0"/>
                  <w:vAlign w:val="center"/>
                </w:tcPr>
                <w:p w14:paraId="4F17954A">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0.600</w:t>
                  </w:r>
                </w:p>
              </w:tc>
              <w:tc>
                <w:tcPr>
                  <w:tcW w:w="1407" w:type="dxa"/>
                  <w:tcBorders>
                    <w:top w:val="single" w:color="000000" w:sz="4" w:space="0"/>
                    <w:left w:val="nil"/>
                    <w:bottom w:val="single" w:color="000000" w:sz="4" w:space="0"/>
                    <w:right w:val="single" w:color="000000" w:sz="4" w:space="0"/>
                  </w:tcBorders>
                  <w:noWrap w:val="0"/>
                  <w:vAlign w:val="center"/>
                </w:tcPr>
                <w:p w14:paraId="59E153D4">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0.048</w:t>
                  </w:r>
                  <w:r>
                    <w:rPr>
                      <w:rFonts w:hint="eastAsia" w:ascii="宋体" w:hAnsi="宋体" w:eastAsia="宋体" w:cs="宋体"/>
                      <w:color w:val="000000"/>
                      <w:kern w:val="2"/>
                      <w:sz w:val="21"/>
                      <w:szCs w:val="21"/>
                    </w:rPr>
                    <w:t>～</w:t>
                  </w:r>
                  <w:r>
                    <w:rPr>
                      <w:rFonts w:hint="default" w:ascii="Times New Roman" w:hAnsi="Times New Roman" w:eastAsia="宋体" w:cs="Times New Roman"/>
                      <w:color w:val="000000"/>
                      <w:kern w:val="2"/>
                      <w:sz w:val="21"/>
                      <w:szCs w:val="21"/>
                    </w:rPr>
                    <w:t>0.066</w:t>
                  </w:r>
                </w:p>
              </w:tc>
              <w:tc>
                <w:tcPr>
                  <w:tcW w:w="1159" w:type="dxa"/>
                  <w:tcBorders>
                    <w:top w:val="single" w:color="000000" w:sz="4" w:space="0"/>
                    <w:left w:val="nil"/>
                    <w:bottom w:val="single" w:color="000000" w:sz="4" w:space="0"/>
                    <w:right w:val="single" w:color="000000" w:sz="4" w:space="0"/>
                  </w:tcBorders>
                  <w:noWrap w:val="0"/>
                  <w:vAlign w:val="center"/>
                </w:tcPr>
                <w:p w14:paraId="2664B5ED">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11.0</w:t>
                  </w:r>
                </w:p>
              </w:tc>
              <w:tc>
                <w:tcPr>
                  <w:tcW w:w="826" w:type="dxa"/>
                  <w:tcBorders>
                    <w:top w:val="single" w:color="000000" w:sz="4" w:space="0"/>
                    <w:left w:val="nil"/>
                    <w:bottom w:val="single" w:color="000000" w:sz="4" w:space="0"/>
                    <w:right w:val="single" w:color="000000" w:sz="4" w:space="0"/>
                  </w:tcBorders>
                  <w:noWrap w:val="0"/>
                  <w:vAlign w:val="center"/>
                </w:tcPr>
                <w:p w14:paraId="182B4C05">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0</w:t>
                  </w:r>
                </w:p>
              </w:tc>
              <w:tc>
                <w:tcPr>
                  <w:tcW w:w="637" w:type="dxa"/>
                  <w:tcBorders>
                    <w:top w:val="single" w:color="000000" w:sz="4" w:space="0"/>
                    <w:left w:val="nil"/>
                    <w:bottom w:val="single" w:color="000000" w:sz="4" w:space="0"/>
                    <w:right w:val="single" w:color="000000" w:sz="4" w:space="0"/>
                  </w:tcBorders>
                  <w:noWrap w:val="0"/>
                  <w:vAlign w:val="center"/>
                </w:tcPr>
                <w:p w14:paraId="3D98B30F">
                  <w:pPr>
                    <w:pStyle w:val="99"/>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达标</w:t>
                  </w:r>
                </w:p>
              </w:tc>
            </w:tr>
          </w:tbl>
          <w:p w14:paraId="38997CF2">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u w:val="none"/>
                <w:lang w:val="en-US" w:eastAsia="zh-CN" w:bidi="ar"/>
              </w:rPr>
            </w:pPr>
            <w:r>
              <w:rPr>
                <w:rFonts w:hint="default" w:ascii="Times New Roman" w:hAnsi="Times New Roman" w:eastAsia="宋体" w:cs="Times New Roman"/>
                <w:color w:val="000000"/>
                <w:kern w:val="2"/>
                <w:sz w:val="24"/>
                <w:szCs w:val="24"/>
                <w:lang w:val="en-US" w:eastAsia="zh-CN" w:bidi="ar"/>
              </w:rPr>
              <w:t>由上表的监测结果可知，TSP满足</w:t>
            </w:r>
            <w:r>
              <w:rPr>
                <w:rFonts w:hint="default" w:ascii="Times New Roman" w:hAnsi="Times New Roman" w:cs="Times New Roman"/>
                <w:color w:val="000000"/>
                <w:kern w:val="2"/>
                <w:sz w:val="24"/>
                <w:szCs w:val="24"/>
                <w:lang w:val="en-US" w:eastAsia="zh-CN" w:bidi="ar"/>
              </w:rPr>
              <w:t>《环境空气质量标准》（ GB 3095-2012）及修改单</w:t>
            </w:r>
            <w:r>
              <w:rPr>
                <w:rFonts w:hint="default" w:ascii="Times New Roman" w:hAnsi="Times New Roman" w:eastAsia="宋体" w:cs="Times New Roman"/>
                <w:color w:val="000000"/>
                <w:kern w:val="2"/>
                <w:sz w:val="24"/>
                <w:szCs w:val="24"/>
                <w:lang w:val="en-US" w:eastAsia="zh-CN" w:bidi="ar"/>
              </w:rPr>
              <w:t>中二级标准限值的要求；TVOC满足《环境影响评价技术导则大气环境》（HJ 2.2-2018）</w:t>
            </w:r>
            <w:r>
              <w:rPr>
                <w:rFonts w:hint="default" w:ascii="Times New Roman" w:hAnsi="Times New Roman" w:eastAsia="宋体" w:cs="Times New Roman"/>
                <w:color w:val="000000"/>
                <w:kern w:val="2"/>
                <w:sz w:val="24"/>
                <w:szCs w:val="24"/>
                <w:u w:val="none"/>
                <w:lang w:val="en-US" w:eastAsia="zh-CN" w:bidi="ar"/>
              </w:rPr>
              <w:t>附录D的要求。</w:t>
            </w:r>
          </w:p>
          <w:p w14:paraId="215DD5CD">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2、地表水环境</w:t>
            </w:r>
          </w:p>
          <w:p w14:paraId="3021FC36">
            <w:pPr>
              <w:keepNext w:val="0"/>
              <w:keepLines w:val="0"/>
              <w:suppressLineNumbers w:val="0"/>
              <w:tabs>
                <w:tab w:val="left" w:pos="600"/>
                <w:tab w:val="left" w:pos="7343"/>
              </w:tabs>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根据《建设项目环境影响报告表编制技术指南（污染影响类）（试行）》中</w:t>
            </w:r>
            <w:r>
              <w:rPr>
                <w:rFonts w:hint="eastAsia" w:ascii="宋体" w:hAnsi="宋体" w:eastAsia="宋体" w:cs="宋体"/>
                <w:color w:val="auto"/>
                <w:kern w:val="0"/>
                <w:sz w:val="24"/>
                <w:szCs w:val="24"/>
                <w:highlight w:val="none"/>
                <w:u w:val="none"/>
              </w:rPr>
              <w:t>：“地表水环境引用与建设项目距离较近的有效数据，包括</w:t>
            </w:r>
            <w:r>
              <w:rPr>
                <w:rFonts w:hint="default" w:ascii="Times New Roman" w:hAnsi="Times New Roman" w:eastAsia="宋体" w:cs="Times New Roman"/>
                <w:color w:val="auto"/>
                <w:kern w:val="0"/>
                <w:sz w:val="24"/>
                <w:szCs w:val="24"/>
                <w:highlight w:val="none"/>
                <w:u w:val="none"/>
              </w:rPr>
              <w:t>近3</w:t>
            </w:r>
            <w:r>
              <w:rPr>
                <w:rFonts w:hint="eastAsia" w:ascii="宋体" w:hAnsi="宋体" w:eastAsia="宋体" w:cs="宋体"/>
                <w:color w:val="auto"/>
                <w:kern w:val="0"/>
                <w:sz w:val="24"/>
                <w:szCs w:val="24"/>
                <w:highlight w:val="none"/>
                <w:u w:val="none"/>
              </w:rPr>
              <w:t>年的规划环境影响评价的监测数据，所在流域控制单元内国家、地方控制监测数据，生态环境主管部门发布的水环境质量数据或地表水达标结论 ”。</w:t>
            </w:r>
          </w:p>
          <w:p w14:paraId="5C1B943B">
            <w:pPr>
              <w:keepNext w:val="0"/>
              <w:keepLines w:val="0"/>
              <w:suppressLineNumbers w:val="0"/>
              <w:spacing w:before="0" w:beforeAutospacing="0" w:after="0" w:afterAutospacing="0" w:line="360" w:lineRule="auto"/>
              <w:ind w:left="0" w:right="0" w:firstLine="480" w:firstLineChars="200"/>
              <w:rPr>
                <w:rFonts w:hint="default"/>
                <w:sz w:val="24"/>
                <w:szCs w:val="22"/>
              </w:rPr>
            </w:pPr>
            <w:bookmarkStart w:id="7" w:name="OLE_LINK90"/>
            <w:r>
              <w:rPr>
                <w:rFonts w:hint="default"/>
                <w:sz w:val="24"/>
                <w:szCs w:val="22"/>
              </w:rPr>
              <w:t>根据水功能区划湘江乌龙嘴断面属于Ⅲ类水体，根据湖南省生态环境厅发布的202</w:t>
            </w:r>
            <w:r>
              <w:rPr>
                <w:rFonts w:hint="eastAsia"/>
                <w:sz w:val="24"/>
                <w:szCs w:val="22"/>
              </w:rPr>
              <w:t>4</w:t>
            </w:r>
            <w:r>
              <w:rPr>
                <w:rFonts w:hint="default"/>
                <w:sz w:val="24"/>
                <w:szCs w:val="22"/>
              </w:rPr>
              <w:t>年1月~12月地表水水质状况，湘江乌龙嘴断面，项目所在区域地表水控制断面为达标区。</w:t>
            </w:r>
            <w:bookmarkEnd w:id="7"/>
          </w:p>
          <w:p w14:paraId="291295F1">
            <w:pPr>
              <w:keepNext w:val="0"/>
              <w:keepLines w:val="0"/>
              <w:suppressLineNumbers w:val="0"/>
              <w:adjustRightInd w:val="0"/>
              <w:snapToGrid w:val="0"/>
              <w:spacing w:before="0" w:beforeAutospacing="0" w:after="0" w:afterAutospacing="0"/>
              <w:ind w:left="0" w:right="0" w:firstLine="422"/>
              <w:jc w:val="center"/>
              <w:rPr>
                <w:rFonts w:hint="default"/>
                <w:b/>
                <w:szCs w:val="21"/>
                <w:lang w:bidi="ar"/>
              </w:rPr>
            </w:pPr>
            <w:r>
              <w:rPr>
                <w:rFonts w:hint="default"/>
                <w:b/>
                <w:szCs w:val="21"/>
                <w:lang w:bidi="ar"/>
              </w:rPr>
              <w:t>表</w:t>
            </w:r>
            <w:r>
              <w:rPr>
                <w:rFonts w:hint="eastAsia"/>
                <w:b/>
                <w:szCs w:val="21"/>
                <w:lang w:bidi="ar"/>
              </w:rPr>
              <w:t>3-</w:t>
            </w:r>
            <w:r>
              <w:rPr>
                <w:rFonts w:hint="eastAsia"/>
                <w:b/>
                <w:szCs w:val="21"/>
                <w:lang w:val="en-US" w:eastAsia="zh-CN" w:bidi="ar"/>
              </w:rPr>
              <w:t>3</w:t>
            </w:r>
            <w:r>
              <w:rPr>
                <w:rFonts w:hint="eastAsia"/>
                <w:b/>
                <w:szCs w:val="21"/>
                <w:lang w:bidi="ar"/>
              </w:rPr>
              <w:t xml:space="preserve"> </w:t>
            </w:r>
            <w:r>
              <w:rPr>
                <w:rFonts w:hint="default"/>
                <w:b/>
                <w:szCs w:val="21"/>
                <w:lang w:bidi="ar"/>
              </w:rPr>
              <w:t xml:space="preserve"> 202</w:t>
            </w:r>
            <w:r>
              <w:rPr>
                <w:rFonts w:hint="eastAsia"/>
                <w:b/>
                <w:szCs w:val="21"/>
                <w:lang w:bidi="ar"/>
              </w:rPr>
              <w:t>4</w:t>
            </w:r>
            <w:r>
              <w:rPr>
                <w:rFonts w:hint="default"/>
                <w:b/>
                <w:szCs w:val="21"/>
                <w:lang w:bidi="ar"/>
              </w:rPr>
              <w:t>年1月-12月湘阴县内二个断面水质状况统计</w:t>
            </w:r>
          </w:p>
          <w:tbl>
            <w:tblPr>
              <w:tblStyle w:val="34"/>
              <w:tblW w:w="5000" w:type="pct"/>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9"/>
              <w:gridCol w:w="2883"/>
              <w:gridCol w:w="2550"/>
            </w:tblGrid>
            <w:tr w14:paraId="3B44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tcBorders>
                    <w:tl2br w:val="nil"/>
                    <w:tr2bl w:val="nil"/>
                  </w:tcBorders>
                  <w:vAlign w:val="center"/>
                </w:tcPr>
                <w:p w14:paraId="490F17B7">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断面名称</w:t>
                  </w:r>
                </w:p>
              </w:tc>
              <w:tc>
                <w:tcPr>
                  <w:tcW w:w="1776" w:type="pct"/>
                  <w:tcBorders>
                    <w:tl2br w:val="nil"/>
                    <w:tr2bl w:val="nil"/>
                  </w:tcBorders>
                  <w:vAlign w:val="center"/>
                </w:tcPr>
                <w:p w14:paraId="630DA729">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监测时间</w:t>
                  </w:r>
                </w:p>
              </w:tc>
              <w:tc>
                <w:tcPr>
                  <w:tcW w:w="1571" w:type="pct"/>
                  <w:tcBorders>
                    <w:tl2br w:val="nil"/>
                    <w:tr2bl w:val="nil"/>
                  </w:tcBorders>
                  <w:vAlign w:val="center"/>
                </w:tcPr>
                <w:p w14:paraId="1DD2CE60">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水质类别</w:t>
                  </w:r>
                </w:p>
              </w:tc>
            </w:tr>
            <w:tr w14:paraId="1326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restart"/>
                  <w:tcBorders>
                    <w:tl2br w:val="nil"/>
                    <w:tr2bl w:val="nil"/>
                  </w:tcBorders>
                  <w:vAlign w:val="center"/>
                </w:tcPr>
                <w:p w14:paraId="3B4FE205">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乌龙嘴断面</w:t>
                  </w:r>
                </w:p>
              </w:tc>
              <w:tc>
                <w:tcPr>
                  <w:tcW w:w="1776" w:type="pct"/>
                  <w:tcBorders>
                    <w:tl2br w:val="nil"/>
                    <w:tr2bl w:val="nil"/>
                  </w:tcBorders>
                  <w:vAlign w:val="center"/>
                </w:tcPr>
                <w:p w14:paraId="029E9F6E">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2024年1月</w:t>
                  </w:r>
                </w:p>
              </w:tc>
              <w:tc>
                <w:tcPr>
                  <w:tcW w:w="1571" w:type="pct"/>
                  <w:tcBorders>
                    <w:tl2br w:val="nil"/>
                    <w:tr2bl w:val="nil"/>
                  </w:tcBorders>
                  <w:vAlign w:val="center"/>
                </w:tcPr>
                <w:p w14:paraId="1A56E8A0">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r w14:paraId="3A34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vAlign w:val="center"/>
                </w:tcPr>
                <w:p w14:paraId="589D7E23">
                  <w:pPr>
                    <w:keepNext w:val="0"/>
                    <w:keepLines w:val="0"/>
                    <w:suppressLineNumbers w:val="0"/>
                    <w:spacing w:before="0" w:beforeAutospacing="0" w:after="0" w:afterAutospacing="0"/>
                    <w:ind w:left="0" w:right="0"/>
                    <w:jc w:val="center"/>
                    <w:rPr>
                      <w:rFonts w:hint="default"/>
                      <w:bCs/>
                      <w:szCs w:val="21"/>
                      <w:u w:val="single"/>
                    </w:rPr>
                  </w:pPr>
                </w:p>
              </w:tc>
              <w:tc>
                <w:tcPr>
                  <w:tcW w:w="1776" w:type="pct"/>
                  <w:tcBorders>
                    <w:tl2br w:val="nil"/>
                    <w:tr2bl w:val="nil"/>
                  </w:tcBorders>
                  <w:vAlign w:val="center"/>
                </w:tcPr>
                <w:p w14:paraId="2CFCE586">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2024年2月</w:t>
                  </w:r>
                </w:p>
              </w:tc>
              <w:tc>
                <w:tcPr>
                  <w:tcW w:w="1571" w:type="pct"/>
                  <w:tcBorders>
                    <w:tl2br w:val="nil"/>
                    <w:tr2bl w:val="nil"/>
                  </w:tcBorders>
                  <w:vAlign w:val="center"/>
                </w:tcPr>
                <w:p w14:paraId="7CFE133A">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r w14:paraId="0A40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vAlign w:val="center"/>
                </w:tcPr>
                <w:p w14:paraId="0EBFA762">
                  <w:pPr>
                    <w:keepNext w:val="0"/>
                    <w:keepLines w:val="0"/>
                    <w:suppressLineNumbers w:val="0"/>
                    <w:spacing w:before="0" w:beforeAutospacing="0" w:after="0" w:afterAutospacing="0"/>
                    <w:ind w:left="0" w:right="0"/>
                    <w:jc w:val="center"/>
                    <w:rPr>
                      <w:rFonts w:hint="default"/>
                      <w:bCs/>
                      <w:szCs w:val="21"/>
                      <w:u w:val="single"/>
                    </w:rPr>
                  </w:pPr>
                </w:p>
              </w:tc>
              <w:tc>
                <w:tcPr>
                  <w:tcW w:w="1776" w:type="pct"/>
                  <w:tcBorders>
                    <w:tl2br w:val="nil"/>
                    <w:tr2bl w:val="nil"/>
                  </w:tcBorders>
                  <w:vAlign w:val="center"/>
                </w:tcPr>
                <w:p w14:paraId="69851FAF">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2024年3月</w:t>
                  </w:r>
                </w:p>
              </w:tc>
              <w:tc>
                <w:tcPr>
                  <w:tcW w:w="1571" w:type="pct"/>
                  <w:tcBorders>
                    <w:tl2br w:val="nil"/>
                    <w:tr2bl w:val="nil"/>
                  </w:tcBorders>
                  <w:vAlign w:val="center"/>
                </w:tcPr>
                <w:p w14:paraId="331D688C">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r w14:paraId="51B2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vAlign w:val="center"/>
                </w:tcPr>
                <w:p w14:paraId="6A4FC1A3">
                  <w:pPr>
                    <w:keepNext w:val="0"/>
                    <w:keepLines w:val="0"/>
                    <w:suppressLineNumbers w:val="0"/>
                    <w:spacing w:before="0" w:beforeAutospacing="0" w:after="0" w:afterAutospacing="0"/>
                    <w:ind w:left="0" w:right="0"/>
                    <w:jc w:val="center"/>
                    <w:rPr>
                      <w:rFonts w:hint="default"/>
                      <w:bCs/>
                      <w:szCs w:val="21"/>
                      <w:u w:val="single"/>
                    </w:rPr>
                  </w:pPr>
                </w:p>
              </w:tc>
              <w:tc>
                <w:tcPr>
                  <w:tcW w:w="1776" w:type="pct"/>
                  <w:tcBorders>
                    <w:tl2br w:val="nil"/>
                    <w:tr2bl w:val="nil"/>
                  </w:tcBorders>
                  <w:vAlign w:val="center"/>
                </w:tcPr>
                <w:p w14:paraId="10C48CBE">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2024年4月</w:t>
                  </w:r>
                </w:p>
              </w:tc>
              <w:tc>
                <w:tcPr>
                  <w:tcW w:w="1571" w:type="pct"/>
                  <w:tcBorders>
                    <w:tl2br w:val="nil"/>
                    <w:tr2bl w:val="nil"/>
                  </w:tcBorders>
                  <w:vAlign w:val="center"/>
                </w:tcPr>
                <w:p w14:paraId="5F581888">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r w14:paraId="1495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651" w:type="pct"/>
                  <w:vMerge w:val="continue"/>
                  <w:tcBorders>
                    <w:tl2br w:val="nil"/>
                    <w:tr2bl w:val="nil"/>
                  </w:tcBorders>
                  <w:vAlign w:val="center"/>
                </w:tcPr>
                <w:p w14:paraId="36963DFA">
                  <w:pPr>
                    <w:keepNext w:val="0"/>
                    <w:keepLines w:val="0"/>
                    <w:suppressLineNumbers w:val="0"/>
                    <w:spacing w:before="0" w:beforeAutospacing="0" w:after="0" w:afterAutospacing="0"/>
                    <w:ind w:left="0" w:right="0"/>
                    <w:jc w:val="center"/>
                    <w:rPr>
                      <w:rFonts w:hint="default"/>
                      <w:bCs/>
                      <w:szCs w:val="21"/>
                      <w:u w:val="single"/>
                    </w:rPr>
                  </w:pPr>
                </w:p>
              </w:tc>
              <w:tc>
                <w:tcPr>
                  <w:tcW w:w="1776" w:type="pct"/>
                  <w:tcBorders>
                    <w:tl2br w:val="nil"/>
                    <w:tr2bl w:val="nil"/>
                  </w:tcBorders>
                  <w:vAlign w:val="center"/>
                </w:tcPr>
                <w:p w14:paraId="3CD4717E">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2024年5月</w:t>
                  </w:r>
                </w:p>
              </w:tc>
              <w:tc>
                <w:tcPr>
                  <w:tcW w:w="1571" w:type="pct"/>
                  <w:tcBorders>
                    <w:tl2br w:val="nil"/>
                    <w:tr2bl w:val="nil"/>
                  </w:tcBorders>
                  <w:vAlign w:val="center"/>
                </w:tcPr>
                <w:p w14:paraId="3D12C82A">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r w14:paraId="3863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vAlign w:val="center"/>
                </w:tcPr>
                <w:p w14:paraId="502C7DCC">
                  <w:pPr>
                    <w:keepNext w:val="0"/>
                    <w:keepLines w:val="0"/>
                    <w:suppressLineNumbers w:val="0"/>
                    <w:spacing w:before="0" w:beforeAutospacing="0" w:after="0" w:afterAutospacing="0"/>
                    <w:ind w:left="0" w:right="0"/>
                    <w:jc w:val="center"/>
                    <w:rPr>
                      <w:rFonts w:hint="default"/>
                      <w:bCs/>
                      <w:szCs w:val="21"/>
                      <w:u w:val="single"/>
                    </w:rPr>
                  </w:pPr>
                </w:p>
              </w:tc>
              <w:tc>
                <w:tcPr>
                  <w:tcW w:w="1776" w:type="pct"/>
                  <w:tcBorders>
                    <w:tl2br w:val="nil"/>
                    <w:tr2bl w:val="nil"/>
                  </w:tcBorders>
                  <w:vAlign w:val="center"/>
                </w:tcPr>
                <w:p w14:paraId="55E2ED73">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2024年6月</w:t>
                  </w:r>
                </w:p>
              </w:tc>
              <w:tc>
                <w:tcPr>
                  <w:tcW w:w="1571" w:type="pct"/>
                  <w:tcBorders>
                    <w:tl2br w:val="nil"/>
                    <w:tr2bl w:val="nil"/>
                  </w:tcBorders>
                  <w:vAlign w:val="center"/>
                </w:tcPr>
                <w:p w14:paraId="7DBC35A8">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r w14:paraId="59BF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vAlign w:val="center"/>
                </w:tcPr>
                <w:p w14:paraId="58BCAEA6">
                  <w:pPr>
                    <w:keepNext w:val="0"/>
                    <w:keepLines w:val="0"/>
                    <w:suppressLineNumbers w:val="0"/>
                    <w:spacing w:before="0" w:beforeAutospacing="0" w:after="0" w:afterAutospacing="0"/>
                    <w:ind w:left="0" w:right="0"/>
                    <w:jc w:val="center"/>
                    <w:rPr>
                      <w:rFonts w:hint="default"/>
                      <w:bCs/>
                      <w:szCs w:val="21"/>
                      <w:u w:val="single"/>
                    </w:rPr>
                  </w:pPr>
                </w:p>
              </w:tc>
              <w:tc>
                <w:tcPr>
                  <w:tcW w:w="1776" w:type="pct"/>
                  <w:tcBorders>
                    <w:tl2br w:val="nil"/>
                    <w:tr2bl w:val="nil"/>
                  </w:tcBorders>
                  <w:vAlign w:val="center"/>
                </w:tcPr>
                <w:p w14:paraId="598507BF">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2024年7月</w:t>
                  </w:r>
                </w:p>
              </w:tc>
              <w:tc>
                <w:tcPr>
                  <w:tcW w:w="1571" w:type="pct"/>
                  <w:tcBorders>
                    <w:tl2br w:val="nil"/>
                    <w:tr2bl w:val="nil"/>
                  </w:tcBorders>
                  <w:vAlign w:val="center"/>
                </w:tcPr>
                <w:p w14:paraId="5F870460">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r w14:paraId="1EAD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vAlign w:val="center"/>
                </w:tcPr>
                <w:p w14:paraId="2AC88432">
                  <w:pPr>
                    <w:keepNext w:val="0"/>
                    <w:keepLines w:val="0"/>
                    <w:suppressLineNumbers w:val="0"/>
                    <w:spacing w:before="0" w:beforeAutospacing="0" w:after="0" w:afterAutospacing="0"/>
                    <w:ind w:left="0" w:right="0"/>
                    <w:jc w:val="center"/>
                    <w:rPr>
                      <w:rFonts w:hint="default"/>
                      <w:bCs/>
                      <w:szCs w:val="21"/>
                      <w:u w:val="single"/>
                    </w:rPr>
                  </w:pPr>
                </w:p>
              </w:tc>
              <w:tc>
                <w:tcPr>
                  <w:tcW w:w="1776" w:type="pct"/>
                  <w:tcBorders>
                    <w:tl2br w:val="nil"/>
                    <w:tr2bl w:val="nil"/>
                  </w:tcBorders>
                  <w:vAlign w:val="center"/>
                </w:tcPr>
                <w:p w14:paraId="69844123">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2024年8月</w:t>
                  </w:r>
                </w:p>
              </w:tc>
              <w:tc>
                <w:tcPr>
                  <w:tcW w:w="1571" w:type="pct"/>
                  <w:tcBorders>
                    <w:tl2br w:val="nil"/>
                    <w:tr2bl w:val="nil"/>
                  </w:tcBorders>
                  <w:vAlign w:val="center"/>
                </w:tcPr>
                <w:p w14:paraId="11C3C6CA">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r w14:paraId="0943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vAlign w:val="center"/>
                </w:tcPr>
                <w:p w14:paraId="13BD1239">
                  <w:pPr>
                    <w:keepNext w:val="0"/>
                    <w:keepLines w:val="0"/>
                    <w:suppressLineNumbers w:val="0"/>
                    <w:spacing w:before="0" w:beforeAutospacing="0" w:after="0" w:afterAutospacing="0"/>
                    <w:ind w:left="0" w:right="0"/>
                    <w:jc w:val="center"/>
                    <w:rPr>
                      <w:rFonts w:hint="default"/>
                      <w:bCs/>
                      <w:szCs w:val="21"/>
                      <w:u w:val="single"/>
                    </w:rPr>
                  </w:pPr>
                </w:p>
              </w:tc>
              <w:tc>
                <w:tcPr>
                  <w:tcW w:w="1776" w:type="pct"/>
                  <w:tcBorders>
                    <w:tl2br w:val="nil"/>
                    <w:tr2bl w:val="nil"/>
                  </w:tcBorders>
                  <w:vAlign w:val="center"/>
                </w:tcPr>
                <w:p w14:paraId="5770C602">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2024年9月</w:t>
                  </w:r>
                </w:p>
              </w:tc>
              <w:tc>
                <w:tcPr>
                  <w:tcW w:w="1571" w:type="pct"/>
                  <w:tcBorders>
                    <w:tl2br w:val="nil"/>
                    <w:tr2bl w:val="nil"/>
                  </w:tcBorders>
                  <w:vAlign w:val="center"/>
                </w:tcPr>
                <w:p w14:paraId="1C692880">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r w14:paraId="5B93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vAlign w:val="center"/>
                </w:tcPr>
                <w:p w14:paraId="7ADDC6A2">
                  <w:pPr>
                    <w:keepNext w:val="0"/>
                    <w:keepLines w:val="0"/>
                    <w:suppressLineNumbers w:val="0"/>
                    <w:spacing w:before="0" w:beforeAutospacing="0" w:after="0" w:afterAutospacing="0"/>
                    <w:ind w:left="0" w:right="0"/>
                    <w:jc w:val="center"/>
                    <w:rPr>
                      <w:rFonts w:hint="default"/>
                      <w:bCs/>
                      <w:szCs w:val="21"/>
                      <w:u w:val="single"/>
                    </w:rPr>
                  </w:pPr>
                </w:p>
              </w:tc>
              <w:tc>
                <w:tcPr>
                  <w:tcW w:w="1776" w:type="pct"/>
                  <w:tcBorders>
                    <w:tl2br w:val="nil"/>
                    <w:tr2bl w:val="nil"/>
                  </w:tcBorders>
                  <w:vAlign w:val="center"/>
                </w:tcPr>
                <w:p w14:paraId="291A405F">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2024年10月</w:t>
                  </w:r>
                </w:p>
              </w:tc>
              <w:tc>
                <w:tcPr>
                  <w:tcW w:w="1571" w:type="pct"/>
                  <w:tcBorders>
                    <w:tl2br w:val="nil"/>
                    <w:tr2bl w:val="nil"/>
                  </w:tcBorders>
                  <w:vAlign w:val="center"/>
                </w:tcPr>
                <w:p w14:paraId="6F243860">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r w14:paraId="6366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vAlign w:val="center"/>
                </w:tcPr>
                <w:p w14:paraId="4E3D576C">
                  <w:pPr>
                    <w:keepNext w:val="0"/>
                    <w:keepLines w:val="0"/>
                    <w:suppressLineNumbers w:val="0"/>
                    <w:spacing w:before="0" w:beforeAutospacing="0" w:after="0" w:afterAutospacing="0"/>
                    <w:ind w:left="0" w:right="0"/>
                    <w:jc w:val="center"/>
                    <w:rPr>
                      <w:rFonts w:hint="default"/>
                      <w:bCs/>
                      <w:szCs w:val="21"/>
                      <w:u w:val="single"/>
                    </w:rPr>
                  </w:pPr>
                </w:p>
              </w:tc>
              <w:tc>
                <w:tcPr>
                  <w:tcW w:w="1776" w:type="pct"/>
                  <w:tcBorders>
                    <w:tl2br w:val="nil"/>
                    <w:tr2bl w:val="nil"/>
                  </w:tcBorders>
                  <w:vAlign w:val="center"/>
                </w:tcPr>
                <w:p w14:paraId="224FA9FF">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2024年11月</w:t>
                  </w:r>
                </w:p>
              </w:tc>
              <w:tc>
                <w:tcPr>
                  <w:tcW w:w="1571" w:type="pct"/>
                  <w:tcBorders>
                    <w:tl2br w:val="nil"/>
                    <w:tr2bl w:val="nil"/>
                  </w:tcBorders>
                  <w:vAlign w:val="center"/>
                </w:tcPr>
                <w:p w14:paraId="6539545B">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r w14:paraId="182F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vAlign w:val="center"/>
                </w:tcPr>
                <w:p w14:paraId="5E2007FD">
                  <w:pPr>
                    <w:keepNext w:val="0"/>
                    <w:keepLines w:val="0"/>
                    <w:suppressLineNumbers w:val="0"/>
                    <w:spacing w:before="0" w:beforeAutospacing="0" w:after="0" w:afterAutospacing="0"/>
                    <w:ind w:left="0" w:right="0"/>
                    <w:jc w:val="center"/>
                    <w:rPr>
                      <w:rFonts w:hint="default"/>
                      <w:bCs/>
                      <w:szCs w:val="21"/>
                      <w:u w:val="single"/>
                    </w:rPr>
                  </w:pPr>
                </w:p>
              </w:tc>
              <w:tc>
                <w:tcPr>
                  <w:tcW w:w="1776" w:type="pct"/>
                  <w:tcBorders>
                    <w:tl2br w:val="nil"/>
                    <w:tr2bl w:val="nil"/>
                  </w:tcBorders>
                  <w:vAlign w:val="center"/>
                </w:tcPr>
                <w:p w14:paraId="0DDF5D5D">
                  <w:pPr>
                    <w:keepNext w:val="0"/>
                    <w:keepLines w:val="0"/>
                    <w:suppressLineNumbers w:val="0"/>
                    <w:spacing w:before="0" w:beforeAutospacing="0" w:after="0" w:afterAutospacing="0"/>
                    <w:ind w:left="0" w:right="0"/>
                    <w:jc w:val="center"/>
                    <w:rPr>
                      <w:rFonts w:hint="default"/>
                      <w:bCs/>
                      <w:szCs w:val="21"/>
                      <w:u w:val="single"/>
                    </w:rPr>
                  </w:pPr>
                  <w:r>
                    <w:rPr>
                      <w:rFonts w:hint="eastAsia"/>
                      <w:bCs/>
                      <w:szCs w:val="21"/>
                      <w:u w:val="single"/>
                    </w:rPr>
                    <w:t>2024年12月</w:t>
                  </w:r>
                </w:p>
              </w:tc>
              <w:tc>
                <w:tcPr>
                  <w:tcW w:w="1571" w:type="pct"/>
                  <w:tcBorders>
                    <w:tl2br w:val="nil"/>
                    <w:tr2bl w:val="nil"/>
                  </w:tcBorders>
                  <w:vAlign w:val="center"/>
                </w:tcPr>
                <w:p w14:paraId="4D0D7434">
                  <w:pPr>
                    <w:keepNext w:val="0"/>
                    <w:keepLines w:val="0"/>
                    <w:suppressLineNumbers w:val="0"/>
                    <w:spacing w:before="0" w:beforeAutospacing="0" w:after="0" w:afterAutospacing="0"/>
                    <w:ind w:left="0" w:right="0"/>
                    <w:jc w:val="center"/>
                    <w:rPr>
                      <w:rFonts w:hint="default"/>
                      <w:bCs/>
                      <w:szCs w:val="21"/>
                      <w:u w:val="single"/>
                    </w:rPr>
                  </w:pPr>
                  <w:r>
                    <w:rPr>
                      <w:rFonts w:hint="default"/>
                      <w:bCs/>
                      <w:szCs w:val="21"/>
                      <w:u w:val="single"/>
                    </w:rPr>
                    <w:t>Ⅱ类</w:t>
                  </w:r>
                </w:p>
              </w:tc>
            </w:tr>
          </w:tbl>
          <w:p w14:paraId="7C70DCE3">
            <w:pPr>
              <w:keepNext w:val="0"/>
              <w:keepLines w:val="0"/>
              <w:suppressLineNumbers w:val="0"/>
              <w:spacing w:before="0" w:beforeAutospacing="0" w:after="0" w:afterAutospacing="0" w:line="360" w:lineRule="auto"/>
              <w:ind w:left="0" w:right="0" w:firstLine="480" w:firstLineChars="200"/>
              <w:rPr>
                <w:rFonts w:hint="default" w:ascii="宋体"/>
                <w:kern w:val="0"/>
                <w:sz w:val="24"/>
                <w:szCs w:val="28"/>
                <w:u w:val="single"/>
              </w:rPr>
            </w:pPr>
            <w:r>
              <w:rPr>
                <w:rFonts w:hint="eastAsia" w:ascii="宋体"/>
                <w:kern w:val="0"/>
                <w:sz w:val="24"/>
                <w:szCs w:val="28"/>
                <w:u w:val="single"/>
              </w:rPr>
              <w:t>由上表可知，乌龙嘴断面监测断面中各因子均达到《地表水环境质量标准》（GB 3838-2002）中的</w:t>
            </w:r>
            <w:r>
              <w:rPr>
                <w:rFonts w:hint="default" w:ascii="宋体"/>
                <w:kern w:val="0"/>
                <w:sz w:val="24"/>
                <w:szCs w:val="28"/>
                <w:u w:val="single"/>
              </w:rPr>
              <w:t>Ⅱ</w:t>
            </w:r>
            <w:r>
              <w:rPr>
                <w:rFonts w:hint="eastAsia" w:ascii="宋体"/>
                <w:kern w:val="0"/>
                <w:sz w:val="24"/>
                <w:szCs w:val="28"/>
                <w:u w:val="single"/>
              </w:rPr>
              <w:t>类标准。</w:t>
            </w:r>
          </w:p>
          <w:p w14:paraId="6F219FF7">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3、声环境</w:t>
            </w:r>
          </w:p>
          <w:p w14:paraId="0D582D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因本项目暂未进行设备的安装和投产，因此</w:t>
            </w:r>
            <w:r>
              <w:rPr>
                <w:rFonts w:hint="default" w:ascii="Times New Roman" w:hAnsi="Times New Roman" w:eastAsia="宋体" w:cs="Times New Roman"/>
                <w:color w:val="auto"/>
                <w:sz w:val="24"/>
                <w:szCs w:val="24"/>
                <w:u w:val="none" w:color="auto"/>
              </w:rPr>
              <w:t>本次评价</w:t>
            </w:r>
            <w:r>
              <w:rPr>
                <w:rFonts w:hint="eastAsia" w:cs="Times New Roman"/>
                <w:color w:val="auto"/>
                <w:sz w:val="24"/>
                <w:szCs w:val="24"/>
                <w:u w:val="none" w:color="auto"/>
                <w:lang w:val="en-US" w:eastAsia="zh-CN"/>
              </w:rPr>
              <w:t>引用了《</w:t>
            </w:r>
            <w:r>
              <w:rPr>
                <w:rFonts w:hint="eastAsia" w:ascii="Times New Roman" w:hAnsi="Times New Roman" w:eastAsia="宋体" w:cs="Times New Roman"/>
                <w:color w:val="auto"/>
                <w:sz w:val="24"/>
                <w:szCs w:val="24"/>
                <w:highlight w:val="none"/>
                <w:lang w:val="en-US" w:eastAsia="zh-CN"/>
              </w:rPr>
              <w:t>昊志高端装备智能制造项目</w:t>
            </w:r>
            <w:r>
              <w:rPr>
                <w:rFonts w:hint="eastAsia" w:cs="Times New Roman"/>
                <w:color w:val="auto"/>
                <w:sz w:val="24"/>
                <w:szCs w:val="24"/>
                <w:highlight w:val="none"/>
                <w:lang w:val="en-US" w:eastAsia="zh-CN"/>
              </w:rPr>
              <w:t>（一期）</w:t>
            </w:r>
            <w:r>
              <w:rPr>
                <w:rFonts w:hint="eastAsia" w:cs="Times New Roman"/>
                <w:color w:val="auto"/>
                <w:sz w:val="24"/>
                <w:szCs w:val="24"/>
                <w:u w:val="none" w:color="auto"/>
                <w:lang w:val="en-US" w:eastAsia="zh-CN"/>
              </w:rPr>
              <w:t>》中</w:t>
            </w:r>
            <w:r>
              <w:rPr>
                <w:rFonts w:hint="default" w:ascii="Times New Roman" w:hAnsi="Times New Roman" w:eastAsia="宋体" w:cs="Times New Roman"/>
                <w:color w:val="auto"/>
                <w:sz w:val="24"/>
                <w:szCs w:val="24"/>
                <w:u w:val="none" w:color="auto"/>
                <w:lang w:val="en-US" w:eastAsia="zh-CN"/>
              </w:rPr>
              <w:t>湖南科比特亿美检测有限公司</w:t>
            </w:r>
            <w:r>
              <w:rPr>
                <w:rFonts w:hint="default" w:ascii="Times New Roman" w:hAnsi="Times New Roman" w:eastAsia="宋体" w:cs="Times New Roman"/>
                <w:color w:val="auto"/>
                <w:sz w:val="24"/>
                <w:szCs w:val="24"/>
                <w:u w:val="none" w:color="auto"/>
              </w:rPr>
              <w:t>于202</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年</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月</w:t>
            </w:r>
            <w:r>
              <w:rPr>
                <w:rFonts w:hint="eastAsia" w:ascii="Times New Roman" w:hAnsi="Times New Roman" w:eastAsia="宋体" w:cs="Times New Roman"/>
                <w:color w:val="auto"/>
                <w:sz w:val="24"/>
                <w:szCs w:val="24"/>
                <w:u w:val="none" w:color="auto"/>
                <w:lang w:val="en-US" w:eastAsia="zh-CN"/>
              </w:rPr>
              <w:t>19</w:t>
            </w:r>
            <w:r>
              <w:rPr>
                <w:rFonts w:hint="default" w:ascii="Times New Roman" w:hAnsi="Times New Roman" w:eastAsia="宋体" w:cs="Times New Roman"/>
                <w:color w:val="auto"/>
                <w:sz w:val="24"/>
                <w:szCs w:val="24"/>
                <w:u w:val="none" w:color="auto"/>
              </w:rPr>
              <w:t>日对项目所在区域声环境进行了监测。</w:t>
            </w:r>
          </w:p>
          <w:p w14:paraId="62AD2AEC">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监测点位：</w:t>
            </w:r>
            <w:r>
              <w:rPr>
                <w:rFonts w:hint="eastAsia" w:ascii="Times New Roman" w:hAnsi="Times New Roman" w:eastAsia="宋体" w:cs="Times New Roman"/>
                <w:color w:val="auto"/>
                <w:sz w:val="24"/>
                <w:szCs w:val="24"/>
                <w:u w:val="none" w:color="auto"/>
                <w:lang w:val="en-US" w:eastAsia="zh-CN"/>
              </w:rPr>
              <w:t>南侧</w:t>
            </w:r>
            <w:r>
              <w:rPr>
                <w:rFonts w:hint="default" w:ascii="Times New Roman" w:hAnsi="Times New Roman" w:eastAsia="宋体" w:cs="Times New Roman"/>
                <w:color w:val="auto"/>
                <w:sz w:val="24"/>
                <w:szCs w:val="24"/>
                <w:u w:val="none" w:color="auto"/>
              </w:rPr>
              <w:t>居民点处；</w:t>
            </w:r>
          </w:p>
          <w:p w14:paraId="62F36E78">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监测因子：等效连续A声级；</w:t>
            </w:r>
          </w:p>
          <w:p w14:paraId="28211E7C">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监测方法：按照《声环境质量标准》（GB3096-2008）中的有关规定进行；</w:t>
            </w:r>
          </w:p>
          <w:p w14:paraId="50835B97">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评价方法：《环境影响评价技术导则—声环境》(HJ2.4-2021)中的相关规范进行；</w:t>
            </w:r>
          </w:p>
          <w:p w14:paraId="1C29975B">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执行标准：根据项目所在区域的环境特征，评价区执行《声环境质量标准》（GB3096-2008）中的</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类标准；</w:t>
            </w:r>
          </w:p>
          <w:p w14:paraId="3C5FE263">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监测结果及评价：详见表3-</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rPr>
              <w:t>。</w:t>
            </w:r>
          </w:p>
          <w:p w14:paraId="0BADAAC3">
            <w:pPr>
              <w:pStyle w:val="168"/>
              <w:keepNext w:val="0"/>
              <w:keepLines w:val="0"/>
              <w:suppressLineNumbers w:val="0"/>
              <w:spacing w:before="48" w:beforeAutospacing="0" w:after="48" w:afterAutospacing="0"/>
              <w:ind w:left="0" w:right="0"/>
              <w:rPr>
                <w:rFonts w:hint="eastAsia"/>
                <w:bCs/>
                <w:color w:val="auto"/>
                <w:u w:val="none" w:color="auto"/>
              </w:rPr>
            </w:pPr>
            <w:r>
              <w:rPr>
                <w:rFonts w:hint="default"/>
                <w:color w:val="auto"/>
                <w:u w:val="none" w:color="auto"/>
              </w:rPr>
              <w:t>表3-</w:t>
            </w:r>
            <w:r>
              <w:rPr>
                <w:rFonts w:hint="eastAsia"/>
                <w:color w:val="auto"/>
                <w:u w:val="none" w:color="auto"/>
                <w:lang w:val="en-US" w:eastAsia="zh-CN"/>
              </w:rPr>
              <w:t xml:space="preserve">4  </w:t>
            </w:r>
            <w:r>
              <w:rPr>
                <w:rFonts w:hint="default"/>
                <w:color w:val="auto"/>
                <w:u w:val="none" w:color="auto"/>
              </w:rPr>
              <w:t>声环境质量现状监测结果单位：</w:t>
            </w:r>
            <w:r>
              <w:rPr>
                <w:rFonts w:hint="default"/>
                <w:bCs/>
                <w:color w:val="auto"/>
                <w:u w:val="none" w:color="auto"/>
              </w:rPr>
              <w:t>dB(A)</w:t>
            </w:r>
          </w:p>
          <w:tbl>
            <w:tblPr>
              <w:tblStyle w:val="33"/>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64" w:type="dxa"/>
                <w:bottom w:w="0" w:type="dxa"/>
                <w:right w:w="51" w:type="dxa"/>
              </w:tblCellMar>
            </w:tblPr>
            <w:tblGrid>
              <w:gridCol w:w="2419"/>
              <w:gridCol w:w="1635"/>
              <w:gridCol w:w="2405"/>
              <w:gridCol w:w="1650"/>
            </w:tblGrid>
            <w:tr w14:paraId="44B9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455" w:hRule="atLeast"/>
              </w:trPr>
              <w:tc>
                <w:tcPr>
                  <w:tcW w:w="1491" w:type="pct"/>
                  <w:vMerge w:val="restart"/>
                  <w:tcBorders>
                    <w:tl2br w:val="nil"/>
                    <w:tr2bl w:val="nil"/>
                  </w:tcBorders>
                  <w:noWrap w:val="0"/>
                  <w:vAlign w:val="center"/>
                </w:tcPr>
                <w:p w14:paraId="78A7871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点位名称</w:t>
                  </w:r>
                </w:p>
              </w:tc>
              <w:tc>
                <w:tcPr>
                  <w:tcW w:w="1008" w:type="pct"/>
                  <w:vMerge w:val="restart"/>
                  <w:tcBorders>
                    <w:tl2br w:val="nil"/>
                    <w:tr2bl w:val="nil"/>
                  </w:tcBorders>
                  <w:noWrap w:val="0"/>
                  <w:vAlign w:val="center"/>
                </w:tcPr>
                <w:p w14:paraId="33E3155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r>
                    <w:rPr>
                      <w:rFonts w:hint="eastAsia" w:ascii="Times New Roman" w:hAnsi="Times New Roman" w:eastAsia="宋体" w:cs="Times New Roman"/>
                      <w:b/>
                      <w:bCs/>
                      <w:color w:val="auto"/>
                      <w:u w:val="none" w:color="auto"/>
                      <w:lang w:val="en-US" w:eastAsia="zh-CN"/>
                    </w:rPr>
                    <w:t>监测内容</w:t>
                  </w:r>
                </w:p>
              </w:tc>
              <w:tc>
                <w:tcPr>
                  <w:tcW w:w="2500" w:type="pct"/>
                  <w:gridSpan w:val="2"/>
                  <w:tcBorders>
                    <w:tl2br w:val="nil"/>
                    <w:tr2bl w:val="nil"/>
                  </w:tcBorders>
                  <w:noWrap w:val="0"/>
                  <w:vAlign w:val="center"/>
                </w:tcPr>
                <w:p w14:paraId="4062ED4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检测结果dB（A）</w:t>
                  </w:r>
                </w:p>
              </w:tc>
            </w:tr>
            <w:tr w14:paraId="6F09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64" w:hRule="atLeast"/>
              </w:trPr>
              <w:tc>
                <w:tcPr>
                  <w:tcW w:w="1491" w:type="pct"/>
                  <w:vMerge w:val="continue"/>
                  <w:tcBorders>
                    <w:tl2br w:val="nil"/>
                    <w:tr2bl w:val="nil"/>
                  </w:tcBorders>
                  <w:noWrap w:val="0"/>
                  <w:vAlign w:val="center"/>
                </w:tcPr>
                <w:p w14:paraId="0A92A1B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p>
              </w:tc>
              <w:tc>
                <w:tcPr>
                  <w:tcW w:w="1008" w:type="pct"/>
                  <w:vMerge w:val="continue"/>
                  <w:tcBorders>
                    <w:tl2br w:val="nil"/>
                    <w:tr2bl w:val="nil"/>
                  </w:tcBorders>
                  <w:noWrap w:val="0"/>
                  <w:vAlign w:val="center"/>
                </w:tcPr>
                <w:p w14:paraId="0B3C3AAE">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bCs/>
                      <w:color w:val="auto"/>
                      <w:u w:val="none" w:color="auto"/>
                      <w:lang w:val="en-US" w:eastAsia="zh-CN"/>
                    </w:rPr>
                  </w:pPr>
                </w:p>
              </w:tc>
              <w:tc>
                <w:tcPr>
                  <w:tcW w:w="2500" w:type="pct"/>
                  <w:gridSpan w:val="2"/>
                  <w:tcBorders>
                    <w:tl2br w:val="nil"/>
                    <w:tr2bl w:val="nil"/>
                  </w:tcBorders>
                  <w:noWrap w:val="0"/>
                  <w:vAlign w:val="center"/>
                </w:tcPr>
                <w:p w14:paraId="599640F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r>
                    <w:rPr>
                      <w:rFonts w:hint="eastAsia" w:ascii="Times New Roman" w:hAnsi="Times New Roman" w:eastAsia="宋体" w:cs="Times New Roman"/>
                      <w:b/>
                      <w:bCs/>
                      <w:color w:val="auto"/>
                      <w:u w:val="none" w:color="auto"/>
                      <w:lang w:val="en-US" w:eastAsia="zh-CN"/>
                    </w:rPr>
                    <w:t>202</w:t>
                  </w:r>
                  <w:r>
                    <w:rPr>
                      <w:rFonts w:hint="eastAsia" w:cs="Times New Roman"/>
                      <w:b/>
                      <w:bCs/>
                      <w:color w:val="auto"/>
                      <w:u w:val="none" w:color="auto"/>
                      <w:lang w:val="en-US" w:eastAsia="zh-CN"/>
                    </w:rPr>
                    <w:t>5</w:t>
                  </w:r>
                  <w:r>
                    <w:rPr>
                      <w:rFonts w:hint="eastAsia" w:ascii="Times New Roman" w:hAnsi="Times New Roman" w:eastAsia="宋体" w:cs="Times New Roman"/>
                      <w:b/>
                      <w:bCs/>
                      <w:color w:val="auto"/>
                      <w:u w:val="none" w:color="auto"/>
                      <w:lang w:val="en-US" w:eastAsia="zh-CN"/>
                    </w:rPr>
                    <w:t>.</w:t>
                  </w:r>
                  <w:r>
                    <w:rPr>
                      <w:rFonts w:hint="eastAsia" w:cs="Times New Roman"/>
                      <w:b/>
                      <w:bCs/>
                      <w:color w:val="auto"/>
                      <w:u w:val="none" w:color="auto"/>
                      <w:lang w:val="en-US" w:eastAsia="zh-CN"/>
                    </w:rPr>
                    <w:t>05</w:t>
                  </w:r>
                  <w:r>
                    <w:rPr>
                      <w:rFonts w:hint="eastAsia" w:ascii="Times New Roman" w:hAnsi="Times New Roman" w:eastAsia="宋体" w:cs="Times New Roman"/>
                      <w:b/>
                      <w:bCs/>
                      <w:color w:val="auto"/>
                      <w:u w:val="none" w:color="auto"/>
                      <w:lang w:val="en-US" w:eastAsia="zh-CN"/>
                    </w:rPr>
                    <w:t>.</w:t>
                  </w:r>
                  <w:r>
                    <w:rPr>
                      <w:rFonts w:hint="eastAsia" w:cs="Times New Roman"/>
                      <w:b/>
                      <w:bCs/>
                      <w:color w:val="auto"/>
                      <w:u w:val="none" w:color="auto"/>
                      <w:lang w:val="en-US" w:eastAsia="zh-CN"/>
                    </w:rPr>
                    <w:t>1</w:t>
                  </w:r>
                  <w:r>
                    <w:rPr>
                      <w:rFonts w:hint="eastAsia" w:ascii="Times New Roman" w:hAnsi="Times New Roman" w:eastAsia="宋体" w:cs="Times New Roman"/>
                      <w:b/>
                      <w:bCs/>
                      <w:color w:val="auto"/>
                      <w:u w:val="none" w:color="auto"/>
                      <w:lang w:val="en-US" w:eastAsia="zh-CN"/>
                    </w:rPr>
                    <w:t>9</w:t>
                  </w:r>
                </w:p>
              </w:tc>
            </w:tr>
            <w:tr w14:paraId="2A80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408" w:hRule="atLeast"/>
              </w:trPr>
              <w:tc>
                <w:tcPr>
                  <w:tcW w:w="1491" w:type="pct"/>
                  <w:vMerge w:val="continue"/>
                  <w:tcBorders>
                    <w:tl2br w:val="nil"/>
                    <w:tr2bl w:val="nil"/>
                  </w:tcBorders>
                  <w:noWrap w:val="0"/>
                  <w:vAlign w:val="center"/>
                </w:tcPr>
                <w:p w14:paraId="4D55980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p>
              </w:tc>
              <w:tc>
                <w:tcPr>
                  <w:tcW w:w="1008" w:type="pct"/>
                  <w:vMerge w:val="continue"/>
                  <w:tcBorders>
                    <w:tl2br w:val="nil"/>
                    <w:tr2bl w:val="nil"/>
                  </w:tcBorders>
                  <w:noWrap w:val="0"/>
                  <w:vAlign w:val="center"/>
                </w:tcPr>
                <w:p w14:paraId="3A805E2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p>
              </w:tc>
              <w:tc>
                <w:tcPr>
                  <w:tcW w:w="1482" w:type="pct"/>
                  <w:tcBorders>
                    <w:tl2br w:val="nil"/>
                    <w:tr2bl w:val="nil"/>
                  </w:tcBorders>
                  <w:noWrap w:val="0"/>
                  <w:vAlign w:val="center"/>
                </w:tcPr>
                <w:p w14:paraId="46E503E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昼间</w:t>
                  </w:r>
                </w:p>
              </w:tc>
              <w:tc>
                <w:tcPr>
                  <w:tcW w:w="1017" w:type="pct"/>
                  <w:tcBorders>
                    <w:tl2br w:val="nil"/>
                    <w:tr2bl w:val="nil"/>
                  </w:tcBorders>
                  <w:noWrap w:val="0"/>
                  <w:vAlign w:val="center"/>
                </w:tcPr>
                <w:p w14:paraId="4852CAF7">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bCs/>
                      <w:color w:val="auto"/>
                      <w:u w:val="none" w:color="auto"/>
                      <w:lang w:val="en-US" w:eastAsia="zh-CN"/>
                    </w:rPr>
                  </w:pPr>
                  <w:r>
                    <w:rPr>
                      <w:rFonts w:hint="eastAsia" w:ascii="Times New Roman" w:hAnsi="Times New Roman" w:eastAsia="宋体" w:cs="Times New Roman"/>
                      <w:b/>
                      <w:bCs/>
                      <w:color w:val="auto"/>
                      <w:u w:val="none" w:color="auto"/>
                      <w:lang w:val="en-US" w:eastAsia="zh-CN"/>
                    </w:rPr>
                    <w:t>夜间</w:t>
                  </w:r>
                </w:p>
              </w:tc>
            </w:tr>
            <w:tr w14:paraId="6BD1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127" w:hRule="atLeast"/>
              </w:trPr>
              <w:tc>
                <w:tcPr>
                  <w:tcW w:w="1491" w:type="pct"/>
                  <w:tcBorders>
                    <w:tl2br w:val="nil"/>
                    <w:tr2bl w:val="nil"/>
                  </w:tcBorders>
                  <w:noWrap w:val="0"/>
                  <w:vAlign w:val="center"/>
                </w:tcPr>
                <w:p w14:paraId="3178A9B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N1北侧居民点</w:t>
                  </w:r>
                </w:p>
              </w:tc>
              <w:tc>
                <w:tcPr>
                  <w:tcW w:w="1008" w:type="pct"/>
                  <w:vMerge w:val="restart"/>
                  <w:tcBorders>
                    <w:tl2br w:val="nil"/>
                    <w:tr2bl w:val="nil"/>
                  </w:tcBorders>
                  <w:noWrap w:val="0"/>
                  <w:vAlign w:val="center"/>
                </w:tcPr>
                <w:p w14:paraId="17BBD3D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等效连续A声级</w:t>
                  </w:r>
                </w:p>
              </w:tc>
              <w:tc>
                <w:tcPr>
                  <w:tcW w:w="1482" w:type="pct"/>
                  <w:tcBorders>
                    <w:tl2br w:val="nil"/>
                    <w:tr2bl w:val="nil"/>
                  </w:tcBorders>
                  <w:noWrap w:val="0"/>
                  <w:vAlign w:val="center"/>
                </w:tcPr>
                <w:p w14:paraId="388AE54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56</w:t>
                  </w:r>
                </w:p>
              </w:tc>
              <w:tc>
                <w:tcPr>
                  <w:tcW w:w="1017" w:type="pct"/>
                  <w:tcBorders>
                    <w:tl2br w:val="nil"/>
                    <w:tr2bl w:val="nil"/>
                  </w:tcBorders>
                  <w:noWrap w:val="0"/>
                  <w:vAlign w:val="center"/>
                </w:tcPr>
                <w:p w14:paraId="3D50BCB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46</w:t>
                  </w:r>
                </w:p>
              </w:tc>
            </w:tr>
            <w:tr w14:paraId="1D13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127" w:hRule="atLeast"/>
              </w:trPr>
              <w:tc>
                <w:tcPr>
                  <w:tcW w:w="1491" w:type="pct"/>
                  <w:tcBorders>
                    <w:tl2br w:val="nil"/>
                    <w:tr2bl w:val="nil"/>
                  </w:tcBorders>
                  <w:noWrap w:val="0"/>
                  <w:vAlign w:val="center"/>
                </w:tcPr>
                <w:p w14:paraId="4DF1AD55">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N2南侧居民点</w:t>
                  </w:r>
                </w:p>
              </w:tc>
              <w:tc>
                <w:tcPr>
                  <w:tcW w:w="1008" w:type="pct"/>
                  <w:vMerge w:val="continue"/>
                  <w:tcBorders>
                    <w:tl2br w:val="nil"/>
                    <w:tr2bl w:val="nil"/>
                  </w:tcBorders>
                  <w:noWrap w:val="0"/>
                  <w:vAlign w:val="center"/>
                </w:tcPr>
                <w:p w14:paraId="3816B57A">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u w:val="none" w:color="auto"/>
                      <w:lang w:val="en-US" w:eastAsia="zh-CN"/>
                    </w:rPr>
                  </w:pPr>
                </w:p>
              </w:tc>
              <w:tc>
                <w:tcPr>
                  <w:tcW w:w="1482" w:type="pct"/>
                  <w:tcBorders>
                    <w:tl2br w:val="nil"/>
                    <w:tr2bl w:val="nil"/>
                  </w:tcBorders>
                  <w:noWrap w:val="0"/>
                  <w:vAlign w:val="center"/>
                </w:tcPr>
                <w:p w14:paraId="011DBBC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54</w:t>
                  </w:r>
                </w:p>
              </w:tc>
              <w:tc>
                <w:tcPr>
                  <w:tcW w:w="1017" w:type="pct"/>
                  <w:tcBorders>
                    <w:tl2br w:val="nil"/>
                    <w:tr2bl w:val="nil"/>
                  </w:tcBorders>
                  <w:noWrap w:val="0"/>
                  <w:vAlign w:val="center"/>
                </w:tcPr>
                <w:p w14:paraId="4E02833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40</w:t>
                  </w:r>
                </w:p>
              </w:tc>
            </w:tr>
            <w:tr w14:paraId="2867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93" w:hRule="atLeast"/>
              </w:trPr>
              <w:tc>
                <w:tcPr>
                  <w:tcW w:w="2499" w:type="pct"/>
                  <w:gridSpan w:val="2"/>
                  <w:tcBorders>
                    <w:tl2br w:val="nil"/>
                    <w:tr2bl w:val="nil"/>
                  </w:tcBorders>
                  <w:noWrap w:val="0"/>
                  <w:vAlign w:val="center"/>
                </w:tcPr>
                <w:p w14:paraId="48C7B958">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标准限值</w:t>
                  </w:r>
                </w:p>
              </w:tc>
              <w:tc>
                <w:tcPr>
                  <w:tcW w:w="1482" w:type="pct"/>
                  <w:tcBorders>
                    <w:tl2br w:val="nil"/>
                    <w:tr2bl w:val="nil"/>
                  </w:tcBorders>
                  <w:noWrap w:val="0"/>
                  <w:vAlign w:val="center"/>
                </w:tcPr>
                <w:p w14:paraId="6AD11AD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60</w:t>
                  </w:r>
                </w:p>
              </w:tc>
              <w:tc>
                <w:tcPr>
                  <w:tcW w:w="1017" w:type="pct"/>
                  <w:tcBorders>
                    <w:tl2br w:val="nil"/>
                    <w:tr2bl w:val="nil"/>
                  </w:tcBorders>
                  <w:noWrap w:val="0"/>
                  <w:vAlign w:val="center"/>
                </w:tcPr>
                <w:p w14:paraId="112F7C4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50</w:t>
                  </w:r>
                </w:p>
              </w:tc>
            </w:tr>
          </w:tbl>
          <w:p w14:paraId="05B8697A">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4"/>
                <w:u w:val="none" w:color="auto"/>
                <w:lang w:val="en-US" w:eastAsia="zh-CN"/>
              </w:rPr>
            </w:pPr>
            <w:r>
              <w:rPr>
                <w:rFonts w:hint="eastAsia" w:cs="Times New Roman"/>
                <w:color w:val="auto"/>
                <w:sz w:val="24"/>
                <w:szCs w:val="24"/>
                <w:u w:val="none" w:color="auto"/>
                <w:lang w:val="en-US" w:eastAsia="zh-CN"/>
              </w:rPr>
              <w:t>注：北侧居民点在2025年7月份已拆迁。</w:t>
            </w:r>
          </w:p>
          <w:p w14:paraId="3CA3849E">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kern w:val="0"/>
                <w:sz w:val="24"/>
              </w:rPr>
            </w:pPr>
            <w:r>
              <w:rPr>
                <w:rFonts w:hint="default" w:ascii="Times New Roman" w:hAnsi="Times New Roman" w:cs="Times New Roman"/>
                <w:color w:val="auto"/>
                <w:sz w:val="24"/>
                <w:szCs w:val="24"/>
                <w:u w:val="none" w:color="auto"/>
                <w:lang w:val="en-US" w:eastAsia="zh-CN"/>
              </w:rPr>
              <w:t>由上表可知，评价区域内</w:t>
            </w:r>
            <w:r>
              <w:rPr>
                <w:rFonts w:hint="eastAsia" w:cs="Times New Roman"/>
                <w:color w:val="auto"/>
                <w:sz w:val="24"/>
                <w:szCs w:val="24"/>
                <w:u w:val="none" w:color="auto"/>
                <w:lang w:val="en-US" w:eastAsia="zh-CN"/>
              </w:rPr>
              <w:t>敏感点</w:t>
            </w:r>
            <w:r>
              <w:rPr>
                <w:rFonts w:hint="default" w:ascii="Times New Roman" w:hAnsi="Times New Roman" w:cs="Times New Roman"/>
                <w:color w:val="auto"/>
                <w:sz w:val="24"/>
                <w:szCs w:val="24"/>
                <w:u w:val="none" w:color="auto"/>
                <w:lang w:val="en-US" w:eastAsia="zh-CN"/>
              </w:rPr>
              <w:t>监测均未出现超标现象，符合《声环境质量标准》（GB3096-2008）中2类</w:t>
            </w:r>
            <w:r>
              <w:rPr>
                <w:rFonts w:hint="eastAsia" w:ascii="Times New Roman" w:hAnsi="Times New Roman" w:cs="Times New Roman"/>
                <w:color w:val="auto"/>
                <w:sz w:val="24"/>
                <w:szCs w:val="24"/>
                <w:u w:val="none" w:color="auto"/>
                <w:lang w:val="en-US" w:eastAsia="zh-CN"/>
              </w:rPr>
              <w:t>标准，区域声环境质量现状良好。</w:t>
            </w:r>
          </w:p>
          <w:p w14:paraId="4AF02F9F">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4、生态环境</w:t>
            </w:r>
          </w:p>
          <w:p w14:paraId="22A5E430">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kern w:val="0"/>
                <w:sz w:val="24"/>
              </w:rPr>
              <w:t>项目所在区域属于工业园，全部为工业用地，原有植被已经清</w:t>
            </w:r>
            <w:r>
              <w:rPr>
                <w:rFonts w:hint="eastAsia" w:ascii="Times New Roman" w:hAnsi="Times New Roman" w:cs="Times New Roman"/>
                <w:color w:val="auto"/>
                <w:kern w:val="0"/>
                <w:sz w:val="24"/>
                <w:lang w:val="en-US" w:eastAsia="zh-CN"/>
              </w:rPr>
              <w:t>除</w:t>
            </w:r>
            <w:r>
              <w:rPr>
                <w:rFonts w:hint="default" w:ascii="Times New Roman" w:hAnsi="Times New Roman" w:cs="Times New Roman"/>
                <w:color w:val="auto"/>
                <w:kern w:val="0"/>
                <w:sz w:val="24"/>
              </w:rPr>
              <w:t>。根据现场踏勘，本项目区域内未发现野生珍稀动植物物种。</w:t>
            </w:r>
          </w:p>
          <w:p w14:paraId="05512882">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5、电磁辐射</w:t>
            </w:r>
          </w:p>
          <w:p w14:paraId="71AD3BCF">
            <w:pPr>
              <w:pStyle w:val="12"/>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本项目不属于电磁辐射类项目，无需开展电磁辐射环境现状调查</w:t>
            </w:r>
            <w:r>
              <w:rPr>
                <w:rFonts w:hint="default" w:ascii="Times New Roman" w:hAnsi="Times New Roman" w:eastAsia="宋体" w:cs="Times New Roman"/>
                <w:color w:val="auto"/>
                <w:sz w:val="24"/>
                <w:szCs w:val="24"/>
                <w:highlight w:val="none"/>
              </w:rPr>
              <w:t>。</w:t>
            </w:r>
          </w:p>
          <w:p w14:paraId="4DE4CD23">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6、地下水</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土壤</w:t>
            </w:r>
            <w:r>
              <w:rPr>
                <w:rFonts w:hint="default" w:ascii="Times New Roman" w:hAnsi="Times New Roman" w:cs="Times New Roman"/>
                <w:b/>
                <w:bCs/>
                <w:color w:val="auto"/>
                <w:sz w:val="24"/>
                <w:szCs w:val="24"/>
                <w:highlight w:val="none"/>
              </w:rPr>
              <w:t>环境</w:t>
            </w:r>
          </w:p>
          <w:p w14:paraId="1DA7C90A">
            <w:pPr>
              <w:pStyle w:val="16"/>
              <w:keepNext w:val="0"/>
              <w:keepLines w:val="0"/>
              <w:numPr>
                <w:ilvl w:val="0"/>
                <w:numId w:val="0"/>
              </w:numPr>
              <w:suppressLineNumbers w:val="0"/>
              <w:spacing w:before="0" w:beforeLines="0" w:beforeAutospacing="0" w:after="0" w:afterLines="0" w:afterAutospacing="0" w:line="360" w:lineRule="auto"/>
              <w:ind w:left="0" w:right="0" w:firstLine="480" w:firstLineChars="200"/>
              <w:rPr>
                <w:rFonts w:hint="eastAsia" w:ascii="Times New Roman" w:hAnsi="Times New Roman" w:eastAsia="宋体" w:cs="Times New Roman"/>
                <w:color w:val="0000FF"/>
                <w:sz w:val="21"/>
                <w:szCs w:val="21"/>
                <w:highlight w:val="none"/>
                <w:lang w:val="en-US" w:eastAsia="zh-CN"/>
              </w:rPr>
            </w:pPr>
            <w:r>
              <w:rPr>
                <w:rFonts w:hint="default" w:ascii="Times New Roman" w:hAnsi="Times New Roman" w:cs="Times New Roman"/>
                <w:color w:val="auto"/>
                <w:sz w:val="24"/>
                <w:szCs w:val="24"/>
                <w:highlight w:val="none"/>
                <w:lang w:eastAsia="zh-CN"/>
              </w:rPr>
              <w:t>本项目</w:t>
            </w:r>
            <w:r>
              <w:rPr>
                <w:rFonts w:hint="eastAsia" w:ascii="Times New Roman" w:hAnsi="Times New Roman" w:cs="Times New Roman"/>
                <w:color w:val="auto"/>
                <w:sz w:val="24"/>
                <w:szCs w:val="24"/>
                <w:highlight w:val="none"/>
                <w:lang w:val="en-US" w:eastAsia="zh-CN"/>
              </w:rPr>
              <w:t>生活污水经预处理后</w:t>
            </w:r>
            <w:r>
              <w:rPr>
                <w:rFonts w:hint="default" w:ascii="Times New Roman" w:hAnsi="Times New Roman" w:cs="Times New Roman"/>
                <w:color w:val="auto"/>
                <w:sz w:val="24"/>
                <w:szCs w:val="24"/>
                <w:highlight w:val="none"/>
                <w:lang w:eastAsia="zh-CN"/>
              </w:rPr>
              <w:t>经园区污水管网排入</w:t>
            </w:r>
            <w:r>
              <w:rPr>
                <w:rFonts w:hint="eastAsia" w:ascii="Times New Roman" w:hAnsi="Times New Roman" w:cs="Times New Roman"/>
                <w:color w:val="auto"/>
                <w:sz w:val="24"/>
                <w:szCs w:val="24"/>
                <w:highlight w:val="none"/>
                <w:lang w:eastAsia="zh-CN"/>
              </w:rPr>
              <w:t>湘阴县第二污水处理厂</w:t>
            </w:r>
            <w:r>
              <w:rPr>
                <w:rFonts w:hint="default" w:ascii="Times New Roman" w:hAnsi="Times New Roman" w:cs="Times New Roman"/>
                <w:color w:val="auto"/>
                <w:sz w:val="24"/>
                <w:szCs w:val="24"/>
                <w:highlight w:val="none"/>
                <w:lang w:eastAsia="zh-CN"/>
              </w:rPr>
              <w:t>进行处理。</w:t>
            </w:r>
            <w:r>
              <w:rPr>
                <w:rFonts w:hint="eastAsia" w:ascii="Times New Roman" w:hAnsi="Times New Roman" w:cs="Times New Roman"/>
                <w:color w:val="auto"/>
                <w:sz w:val="24"/>
                <w:szCs w:val="24"/>
                <w:highlight w:val="none"/>
                <w:lang w:val="en-US" w:eastAsia="zh-CN"/>
              </w:rPr>
              <w:t>项目建成后，生产车间地面均进行硬化处理。根据《建设项目环境影响报告表编制技术指南 污染影响类》(试行) ，本项目地下水、土壤环境不开展环境质量现状调查。</w:t>
            </w:r>
          </w:p>
        </w:tc>
      </w:tr>
      <w:tr w14:paraId="2AFDF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noWrap w:val="0"/>
            <w:vAlign w:val="center"/>
          </w:tcPr>
          <w:p w14:paraId="44E33A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4B24136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14:paraId="728EC9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highlight w:val="none"/>
              </w:rPr>
            </w:pPr>
            <w:r>
              <w:rPr>
                <w:rFonts w:hint="default" w:ascii="Times New Roman" w:hAnsi="Times New Roman" w:cs="Times New Roman"/>
                <w:color w:val="auto"/>
                <w:kern w:val="0"/>
                <w:szCs w:val="21"/>
                <w:highlight w:val="none"/>
              </w:rPr>
              <w:t>目标</w:t>
            </w:r>
          </w:p>
        </w:tc>
        <w:tc>
          <w:tcPr>
            <w:tcW w:w="8338" w:type="dxa"/>
            <w:noWrap w:val="0"/>
            <w:vAlign w:val="center"/>
          </w:tcPr>
          <w:p w14:paraId="4416371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项目位于</w:t>
            </w:r>
            <w:r>
              <w:rPr>
                <w:rFonts w:hint="eastAsia" w:ascii="Times New Roman" w:hAnsi="Times New Roman" w:eastAsia="宋体" w:cs="Times New Roman"/>
                <w:color w:val="auto"/>
                <w:kern w:val="0"/>
                <w:sz w:val="24"/>
                <w:szCs w:val="24"/>
                <w:u w:val="none" w:color="auto"/>
                <w:lang w:val="en-US" w:eastAsia="zh-CN"/>
              </w:rPr>
              <w:t>湘阴县湘阴高新技术产业开发区洋沙湖片区</w:t>
            </w:r>
            <w:r>
              <w:rPr>
                <w:rFonts w:hint="eastAsia" w:ascii="Times New Roman" w:hAnsi="Times New Roman" w:eastAsia="宋体" w:cs="Times New Roman"/>
                <w:color w:val="auto"/>
                <w:sz w:val="24"/>
                <w:szCs w:val="24"/>
                <w:highlight w:val="none"/>
                <w:lang w:val="en-US" w:eastAsia="zh-CN"/>
              </w:rPr>
              <w:t>健铭大道198</w:t>
            </w:r>
            <w:r>
              <w:rPr>
                <w:rFonts w:hint="eastAsia" w:ascii="Times New Roman" w:hAnsi="Times New Roman" w:eastAsia="宋体" w:cs="Times New Roman"/>
                <w:color w:val="auto"/>
                <w:sz w:val="24"/>
                <w:szCs w:val="24"/>
                <w:highlight w:val="none"/>
                <w:lang w:val="en-US" w:eastAsia="en-US"/>
              </w:rPr>
              <w:t>号</w:t>
            </w:r>
            <w:r>
              <w:rPr>
                <w:rFonts w:hint="eastAsia" w:ascii="Times New Roman" w:hAnsi="Times New Roman" w:eastAsia="宋体" w:cs="Times New Roman"/>
                <w:color w:val="auto"/>
                <w:sz w:val="24"/>
                <w:szCs w:val="24"/>
                <w:highlight w:val="none"/>
                <w:lang w:val="en-US" w:eastAsia="zh-CN"/>
              </w:rPr>
              <w:t>，处于工业园区域，</w:t>
            </w:r>
            <w:r>
              <w:rPr>
                <w:rFonts w:hint="default" w:ascii="Times New Roman" w:hAnsi="Times New Roman" w:cs="Times New Roman"/>
                <w:color w:val="auto"/>
                <w:sz w:val="24"/>
                <w:szCs w:val="24"/>
                <w:highlight w:val="none"/>
              </w:rPr>
              <w:t>根据现场勘查，项目厂界外500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rPr>
              <w:t>范围内无地下水集中式饮用水水源和热水、矿泉水、温泉等特殊地下水资源的保护目标。</w:t>
            </w:r>
          </w:p>
          <w:p w14:paraId="700C01F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环境保护目标如下：</w:t>
            </w:r>
          </w:p>
          <w:p w14:paraId="43122DD6">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表3-</w:t>
            </w:r>
            <w:r>
              <w:rPr>
                <w:rFonts w:hint="eastAsia" w:cs="Times New Roman"/>
                <w:b/>
                <w:color w:val="auto"/>
                <w:sz w:val="21"/>
                <w:szCs w:val="21"/>
                <w:u w:val="none" w:color="auto"/>
                <w:lang w:val="en-US" w:eastAsia="zh-CN"/>
              </w:rPr>
              <w:t xml:space="preserve">5  </w:t>
            </w:r>
            <w:r>
              <w:rPr>
                <w:rFonts w:hint="default" w:ascii="Times New Roman" w:hAnsi="Times New Roman" w:cs="Times New Roman"/>
                <w:b/>
                <w:color w:val="auto"/>
                <w:sz w:val="21"/>
                <w:szCs w:val="21"/>
                <w:u w:val="none" w:color="auto"/>
              </w:rPr>
              <w:t xml:space="preserve">  项目主要环境保护目标一览表</w:t>
            </w:r>
          </w:p>
          <w:tbl>
            <w:tblPr>
              <w:tblStyle w:val="3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19"/>
              <w:gridCol w:w="636"/>
              <w:gridCol w:w="1027"/>
              <w:gridCol w:w="2115"/>
              <w:gridCol w:w="915"/>
              <w:gridCol w:w="1526"/>
            </w:tblGrid>
            <w:tr w14:paraId="1A1F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472" w:type="pct"/>
                  <w:tcBorders>
                    <w:tl2br w:val="nil"/>
                    <w:tr2bl w:val="nil"/>
                  </w:tcBorders>
                  <w:shd w:val="clear" w:color="auto" w:fill="FFFFFF"/>
                  <w:noWrap w:val="0"/>
                  <w:vAlign w:val="center"/>
                </w:tcPr>
                <w:p w14:paraId="2AB9BBA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环境要素</w:t>
                  </w:r>
                </w:p>
              </w:tc>
              <w:tc>
                <w:tcPr>
                  <w:tcW w:w="690" w:type="pct"/>
                  <w:tcBorders>
                    <w:tl2br w:val="nil"/>
                    <w:tr2bl w:val="nil"/>
                  </w:tcBorders>
                  <w:shd w:val="clear" w:color="auto" w:fill="FFFFFF"/>
                  <w:noWrap w:val="0"/>
                  <w:vAlign w:val="center"/>
                </w:tcPr>
                <w:p w14:paraId="5D7EDDB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环保目标</w:t>
                  </w:r>
                </w:p>
              </w:tc>
              <w:tc>
                <w:tcPr>
                  <w:tcW w:w="392" w:type="pct"/>
                  <w:tcBorders>
                    <w:tl2br w:val="nil"/>
                    <w:tr2bl w:val="nil"/>
                  </w:tcBorders>
                  <w:shd w:val="clear" w:color="auto" w:fill="FFFFFF"/>
                  <w:noWrap w:val="0"/>
                  <w:vAlign w:val="center"/>
                </w:tcPr>
                <w:p w14:paraId="6A48211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方位</w:t>
                  </w:r>
                </w:p>
              </w:tc>
              <w:tc>
                <w:tcPr>
                  <w:tcW w:w="633" w:type="pct"/>
                  <w:tcBorders>
                    <w:tl2br w:val="nil"/>
                    <w:tr2bl w:val="nil"/>
                  </w:tcBorders>
                  <w:shd w:val="clear" w:color="auto" w:fill="FFFFFF"/>
                  <w:noWrap w:val="0"/>
                  <w:vAlign w:val="center"/>
                </w:tcPr>
                <w:p w14:paraId="10916A8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与厂界最近</w:t>
                  </w:r>
                  <w:r>
                    <w:rPr>
                      <w:rFonts w:hint="default" w:ascii="Times New Roman" w:hAnsi="Times New Roman" w:cs="Times New Roman"/>
                      <w:color w:val="auto"/>
                      <w:szCs w:val="21"/>
                      <w:u w:val="none" w:color="auto"/>
                    </w:rPr>
                    <w:t>距离/m</w:t>
                  </w:r>
                </w:p>
              </w:tc>
              <w:tc>
                <w:tcPr>
                  <w:tcW w:w="1304" w:type="pct"/>
                  <w:tcBorders>
                    <w:tl2br w:val="nil"/>
                    <w:tr2bl w:val="nil"/>
                  </w:tcBorders>
                  <w:shd w:val="clear" w:color="auto" w:fill="FFFFFF"/>
                  <w:noWrap w:val="0"/>
                  <w:vAlign w:val="center"/>
                </w:tcPr>
                <w:p w14:paraId="6BCA8AC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经纬度</w:t>
                  </w:r>
                </w:p>
              </w:tc>
              <w:tc>
                <w:tcPr>
                  <w:tcW w:w="564" w:type="pct"/>
                  <w:tcBorders>
                    <w:tl2br w:val="nil"/>
                    <w:tr2bl w:val="nil"/>
                  </w:tcBorders>
                  <w:shd w:val="clear" w:color="auto" w:fill="FFFFFF"/>
                  <w:noWrap w:val="0"/>
                  <w:vAlign w:val="center"/>
                </w:tcPr>
                <w:p w14:paraId="3A40486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保护规模</w:t>
                  </w:r>
                </w:p>
              </w:tc>
              <w:tc>
                <w:tcPr>
                  <w:tcW w:w="941" w:type="pct"/>
                  <w:tcBorders>
                    <w:tl2br w:val="nil"/>
                    <w:tr2bl w:val="nil"/>
                  </w:tcBorders>
                  <w:shd w:val="clear" w:color="auto" w:fill="FFFFFF"/>
                  <w:noWrap w:val="0"/>
                  <w:vAlign w:val="center"/>
                </w:tcPr>
                <w:p w14:paraId="6197939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保护级别</w:t>
                  </w:r>
                </w:p>
              </w:tc>
            </w:tr>
            <w:tr w14:paraId="3B1E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72" w:type="pct"/>
                  <w:vMerge w:val="restart"/>
                  <w:tcBorders>
                    <w:tl2br w:val="nil"/>
                    <w:tr2bl w:val="nil"/>
                  </w:tcBorders>
                  <w:shd w:val="clear" w:color="auto" w:fill="FFFFFF"/>
                  <w:noWrap w:val="0"/>
                  <w:vAlign w:val="center"/>
                </w:tcPr>
                <w:p w14:paraId="4A8A00F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环境空气</w:t>
                  </w:r>
                </w:p>
              </w:tc>
              <w:tc>
                <w:tcPr>
                  <w:tcW w:w="690" w:type="pct"/>
                  <w:tcBorders>
                    <w:tl2br w:val="nil"/>
                    <w:tr2bl w:val="nil"/>
                  </w:tcBorders>
                  <w:noWrap w:val="0"/>
                  <w:vAlign w:val="center"/>
                </w:tcPr>
                <w:p w14:paraId="626E42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新华村新华九组</w:t>
                  </w:r>
                </w:p>
              </w:tc>
              <w:tc>
                <w:tcPr>
                  <w:tcW w:w="392" w:type="pct"/>
                  <w:tcBorders>
                    <w:tl2br w:val="nil"/>
                    <w:tr2bl w:val="nil"/>
                  </w:tcBorders>
                  <w:noWrap w:val="0"/>
                  <w:vAlign w:val="center"/>
                </w:tcPr>
                <w:p w14:paraId="71EE95A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lang w:val="en-US" w:eastAsia="zh-CN"/>
                    </w:rPr>
                  </w:pPr>
                  <w:r>
                    <w:rPr>
                      <w:rFonts w:hint="eastAsia" w:cs="Times New Roman"/>
                      <w:color w:val="auto"/>
                      <w:szCs w:val="21"/>
                      <w:u w:val="none" w:color="auto"/>
                      <w:lang w:val="en-US" w:eastAsia="zh-CN"/>
                    </w:rPr>
                    <w:t>南侧</w:t>
                  </w:r>
                </w:p>
              </w:tc>
              <w:tc>
                <w:tcPr>
                  <w:tcW w:w="633" w:type="pct"/>
                  <w:tcBorders>
                    <w:tl2br w:val="nil"/>
                    <w:tr2bl w:val="nil"/>
                  </w:tcBorders>
                  <w:noWrap w:val="0"/>
                  <w:vAlign w:val="center"/>
                </w:tcPr>
                <w:p w14:paraId="54DC80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30-500</w:t>
                  </w:r>
                </w:p>
              </w:tc>
              <w:tc>
                <w:tcPr>
                  <w:tcW w:w="1304" w:type="pct"/>
                  <w:tcBorders>
                    <w:tl2br w:val="nil"/>
                    <w:tr2bl w:val="nil"/>
                  </w:tcBorders>
                  <w:noWrap w:val="0"/>
                  <w:vAlign w:val="center"/>
                </w:tcPr>
                <w:p w14:paraId="54B0DD16">
                  <w:pPr>
                    <w:keepNext w:val="0"/>
                    <w:keepLines w:val="0"/>
                    <w:suppressLineNumbers w:val="0"/>
                    <w:spacing w:before="0" w:beforeAutospacing="0" w:after="0" w:afterAutospacing="0"/>
                    <w:ind w:left="0" w:right="0"/>
                    <w:jc w:val="center"/>
                    <w:rPr>
                      <w:rFonts w:hint="eastAsia" w:cs="Times New Roman"/>
                      <w:color w:val="auto"/>
                      <w:szCs w:val="21"/>
                      <w:u w:val="none" w:color="auto"/>
                      <w:lang w:val="en-US" w:eastAsia="zh-CN"/>
                    </w:rPr>
                  </w:pPr>
                  <w:r>
                    <w:rPr>
                      <w:rFonts w:hint="eastAsia" w:cs="Times New Roman"/>
                      <w:color w:val="auto"/>
                      <w:szCs w:val="21"/>
                      <w:u w:val="none" w:color="auto"/>
                      <w:lang w:val="en-US" w:eastAsia="zh-CN"/>
                    </w:rPr>
                    <w:t>E112°54′29.453″</w:t>
                  </w:r>
                </w:p>
                <w:p w14:paraId="4FE292C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u w:val="none" w:color="auto"/>
                    </w:rPr>
                  </w:pPr>
                  <w:r>
                    <w:rPr>
                      <w:rFonts w:hint="eastAsia" w:cs="Times New Roman"/>
                      <w:color w:val="auto"/>
                      <w:szCs w:val="21"/>
                      <w:u w:val="none" w:color="auto"/>
                      <w:lang w:val="en-US" w:eastAsia="zh-CN"/>
                    </w:rPr>
                    <w:t>N28°38′30.656″</w:t>
                  </w:r>
                </w:p>
              </w:tc>
              <w:tc>
                <w:tcPr>
                  <w:tcW w:w="564" w:type="pct"/>
                  <w:tcBorders>
                    <w:tl2br w:val="nil"/>
                    <w:tr2bl w:val="nil"/>
                  </w:tcBorders>
                  <w:noWrap w:val="0"/>
                  <w:vAlign w:val="center"/>
                </w:tcPr>
                <w:p w14:paraId="64C076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约150户，700人</w:t>
                  </w:r>
                </w:p>
              </w:tc>
              <w:tc>
                <w:tcPr>
                  <w:tcW w:w="941" w:type="pct"/>
                  <w:vMerge w:val="restart"/>
                  <w:tcBorders>
                    <w:tl2br w:val="nil"/>
                    <w:tr2bl w:val="nil"/>
                  </w:tcBorders>
                  <w:noWrap w:val="0"/>
                  <w:vAlign w:val="center"/>
                </w:tcPr>
                <w:p w14:paraId="4EFE475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u w:val="none" w:color="auto"/>
                    </w:rPr>
                    <w:t>《环境空气质量标准》GB3095-2012）二级标准</w:t>
                  </w:r>
                </w:p>
              </w:tc>
            </w:tr>
            <w:tr w14:paraId="3874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72" w:type="pct"/>
                  <w:vMerge w:val="continue"/>
                  <w:tcBorders>
                    <w:tl2br w:val="nil"/>
                    <w:tr2bl w:val="nil"/>
                  </w:tcBorders>
                  <w:shd w:val="clear" w:color="auto" w:fill="FFFFFF"/>
                  <w:noWrap w:val="0"/>
                  <w:vAlign w:val="center"/>
                </w:tcPr>
                <w:p w14:paraId="0860C4F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p>
              </w:tc>
              <w:tc>
                <w:tcPr>
                  <w:tcW w:w="690" w:type="pct"/>
                  <w:tcBorders>
                    <w:tl2br w:val="nil"/>
                    <w:tr2bl w:val="nil"/>
                  </w:tcBorders>
                  <w:noWrap w:val="0"/>
                  <w:vAlign w:val="center"/>
                </w:tcPr>
                <w:p w14:paraId="0465ECDF">
                  <w:pPr>
                    <w:keepNext w:val="0"/>
                    <w:keepLines w:val="0"/>
                    <w:suppressLineNumbers w:val="0"/>
                    <w:spacing w:before="0" w:beforeAutospacing="0" w:after="0" w:afterAutospacing="0"/>
                    <w:ind w:left="0" w:right="0"/>
                    <w:jc w:val="center"/>
                    <w:rPr>
                      <w:rFonts w:hint="eastAsia" w:cs="Times New Roman"/>
                      <w:color w:val="auto"/>
                      <w:szCs w:val="21"/>
                      <w:u w:val="none" w:color="auto"/>
                      <w:lang w:val="en-US" w:eastAsia="zh-CN"/>
                    </w:rPr>
                  </w:pPr>
                  <w:r>
                    <w:rPr>
                      <w:rFonts w:hint="eastAsia" w:cs="Times New Roman"/>
                      <w:color w:val="auto"/>
                      <w:szCs w:val="21"/>
                      <w:u w:val="none" w:color="auto"/>
                      <w:lang w:val="en-US" w:eastAsia="zh-CN"/>
                    </w:rPr>
                    <w:t>新华村新华十五组</w:t>
                  </w:r>
                </w:p>
              </w:tc>
              <w:tc>
                <w:tcPr>
                  <w:tcW w:w="392" w:type="pct"/>
                  <w:tcBorders>
                    <w:tl2br w:val="nil"/>
                    <w:tr2bl w:val="nil"/>
                  </w:tcBorders>
                  <w:noWrap w:val="0"/>
                  <w:vAlign w:val="center"/>
                </w:tcPr>
                <w:p w14:paraId="2854D507">
                  <w:pPr>
                    <w:keepNext w:val="0"/>
                    <w:keepLines w:val="0"/>
                    <w:suppressLineNumbers w:val="0"/>
                    <w:spacing w:before="0" w:beforeAutospacing="0" w:after="0" w:afterAutospacing="0"/>
                    <w:ind w:left="0" w:right="0"/>
                    <w:jc w:val="center"/>
                    <w:rPr>
                      <w:rFonts w:hint="eastAsia" w:cs="Times New Roman"/>
                      <w:color w:val="auto"/>
                      <w:szCs w:val="21"/>
                      <w:u w:val="none" w:color="auto"/>
                      <w:lang w:val="en-US" w:eastAsia="zh-CN"/>
                    </w:rPr>
                  </w:pPr>
                  <w:r>
                    <w:rPr>
                      <w:rFonts w:hint="eastAsia" w:cs="Times New Roman"/>
                      <w:color w:val="auto"/>
                      <w:szCs w:val="21"/>
                      <w:u w:val="none" w:color="auto"/>
                      <w:lang w:val="en-US" w:eastAsia="zh-CN"/>
                    </w:rPr>
                    <w:t>西侧</w:t>
                  </w:r>
                </w:p>
              </w:tc>
              <w:tc>
                <w:tcPr>
                  <w:tcW w:w="633" w:type="pct"/>
                  <w:tcBorders>
                    <w:tl2br w:val="nil"/>
                    <w:tr2bl w:val="nil"/>
                  </w:tcBorders>
                  <w:noWrap w:val="0"/>
                  <w:vAlign w:val="center"/>
                </w:tcPr>
                <w:p w14:paraId="77DECCDE">
                  <w:pPr>
                    <w:keepNext w:val="0"/>
                    <w:keepLines w:val="0"/>
                    <w:suppressLineNumbers w:val="0"/>
                    <w:spacing w:before="0" w:beforeAutospacing="0" w:after="0" w:afterAutospacing="0"/>
                    <w:ind w:left="0" w:right="0"/>
                    <w:jc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180-320</w:t>
                  </w:r>
                </w:p>
              </w:tc>
              <w:tc>
                <w:tcPr>
                  <w:tcW w:w="1304" w:type="pct"/>
                  <w:tcBorders>
                    <w:tl2br w:val="nil"/>
                    <w:tr2bl w:val="nil"/>
                  </w:tcBorders>
                  <w:shd w:val="clear" w:color="auto" w:fill="auto"/>
                  <w:noWrap w:val="0"/>
                  <w:vAlign w:val="center"/>
                </w:tcPr>
                <w:p w14:paraId="130AE4BF">
                  <w:pPr>
                    <w:keepNext w:val="0"/>
                    <w:keepLines w:val="0"/>
                    <w:suppressLineNumbers w:val="0"/>
                    <w:spacing w:before="0" w:beforeAutospacing="0" w:after="0" w:afterAutospacing="0"/>
                    <w:ind w:left="0" w:right="0"/>
                    <w:jc w:val="center"/>
                    <w:rPr>
                      <w:rFonts w:hint="eastAsia" w:cs="Times New Roman"/>
                      <w:color w:val="auto"/>
                      <w:szCs w:val="21"/>
                      <w:u w:val="none" w:color="auto"/>
                      <w:lang w:val="en-US" w:eastAsia="zh-CN"/>
                    </w:rPr>
                  </w:pPr>
                  <w:r>
                    <w:rPr>
                      <w:rFonts w:hint="eastAsia" w:cs="Times New Roman"/>
                      <w:color w:val="auto"/>
                      <w:szCs w:val="21"/>
                      <w:u w:val="none" w:color="auto"/>
                      <w:lang w:val="en-US" w:eastAsia="zh-CN"/>
                    </w:rPr>
                    <w:t>E112°54′7.892″</w:t>
                  </w:r>
                </w:p>
                <w:p w14:paraId="3BEF870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Cs w:val="21"/>
                      <w:u w:val="none" w:color="auto"/>
                      <w:lang w:val="en-US" w:eastAsia="zh-CN"/>
                    </w:rPr>
                    <w:t>N28°38′34.153″</w:t>
                  </w:r>
                </w:p>
              </w:tc>
              <w:tc>
                <w:tcPr>
                  <w:tcW w:w="564" w:type="pct"/>
                  <w:tcBorders>
                    <w:tl2br w:val="nil"/>
                    <w:tr2bl w:val="nil"/>
                  </w:tcBorders>
                  <w:noWrap w:val="0"/>
                  <w:vAlign w:val="center"/>
                </w:tcPr>
                <w:p w14:paraId="0E166EBC">
                  <w:pPr>
                    <w:keepNext w:val="0"/>
                    <w:keepLines w:val="0"/>
                    <w:suppressLineNumbers w:val="0"/>
                    <w:spacing w:before="0" w:beforeAutospacing="0" w:after="0" w:afterAutospacing="0"/>
                    <w:ind w:left="0" w:right="0"/>
                    <w:jc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约6户，30人</w:t>
                  </w:r>
                </w:p>
              </w:tc>
              <w:tc>
                <w:tcPr>
                  <w:tcW w:w="941" w:type="pct"/>
                  <w:vMerge w:val="continue"/>
                  <w:tcBorders>
                    <w:tl2br w:val="nil"/>
                    <w:tr2bl w:val="nil"/>
                  </w:tcBorders>
                  <w:noWrap w:val="0"/>
                  <w:vAlign w:val="center"/>
                </w:tcPr>
                <w:p w14:paraId="374232F5">
                  <w:pPr>
                    <w:keepNext w:val="0"/>
                    <w:keepLines w:val="0"/>
                    <w:suppressLineNumbers w:val="0"/>
                    <w:spacing w:before="0" w:beforeAutospacing="0" w:after="0" w:afterAutospacing="0"/>
                    <w:ind w:left="0" w:right="0"/>
                    <w:jc w:val="center"/>
                    <w:rPr>
                      <w:rFonts w:hint="default" w:ascii="Times New Roman" w:hAnsi="Times New Roman" w:cs="Times New Roman"/>
                      <w:color w:val="auto"/>
                      <w:u w:val="none" w:color="auto"/>
                    </w:rPr>
                  </w:pPr>
                </w:p>
              </w:tc>
            </w:tr>
            <w:tr w14:paraId="5FD8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72" w:type="pct"/>
                  <w:vMerge w:val="continue"/>
                  <w:tcBorders>
                    <w:tl2br w:val="nil"/>
                    <w:tr2bl w:val="nil"/>
                  </w:tcBorders>
                  <w:shd w:val="clear" w:color="auto" w:fill="FFFFFF"/>
                  <w:noWrap w:val="0"/>
                  <w:vAlign w:val="center"/>
                </w:tcPr>
                <w:p w14:paraId="6C6F3C9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p>
              </w:tc>
              <w:tc>
                <w:tcPr>
                  <w:tcW w:w="690" w:type="pct"/>
                  <w:tcBorders>
                    <w:tl2br w:val="nil"/>
                    <w:tr2bl w:val="nil"/>
                  </w:tcBorders>
                  <w:noWrap w:val="0"/>
                  <w:vAlign w:val="center"/>
                </w:tcPr>
                <w:p w14:paraId="66B039A5">
                  <w:pPr>
                    <w:keepNext w:val="0"/>
                    <w:keepLines w:val="0"/>
                    <w:suppressLineNumbers w:val="0"/>
                    <w:spacing w:before="0" w:beforeAutospacing="0" w:after="0" w:afterAutospacing="0"/>
                    <w:ind w:left="0" w:right="0"/>
                    <w:jc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湘阴文郡洋沙湖高级中学</w:t>
                  </w:r>
                </w:p>
              </w:tc>
              <w:tc>
                <w:tcPr>
                  <w:tcW w:w="392" w:type="pct"/>
                  <w:tcBorders>
                    <w:tl2br w:val="nil"/>
                    <w:tr2bl w:val="nil"/>
                  </w:tcBorders>
                  <w:noWrap w:val="0"/>
                  <w:vAlign w:val="center"/>
                </w:tcPr>
                <w:p w14:paraId="0FEBAC9C">
                  <w:pPr>
                    <w:keepNext w:val="0"/>
                    <w:keepLines w:val="0"/>
                    <w:suppressLineNumbers w:val="0"/>
                    <w:spacing w:before="0" w:beforeAutospacing="0" w:after="0" w:afterAutospacing="0"/>
                    <w:ind w:left="0" w:right="0"/>
                    <w:jc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西侧</w:t>
                  </w:r>
                </w:p>
              </w:tc>
              <w:tc>
                <w:tcPr>
                  <w:tcW w:w="633" w:type="pct"/>
                  <w:tcBorders>
                    <w:tl2br w:val="nil"/>
                    <w:tr2bl w:val="nil"/>
                  </w:tcBorders>
                  <w:noWrap w:val="0"/>
                  <w:vAlign w:val="center"/>
                </w:tcPr>
                <w:p w14:paraId="21A7017F">
                  <w:pPr>
                    <w:keepNext w:val="0"/>
                    <w:keepLines w:val="0"/>
                    <w:suppressLineNumbers w:val="0"/>
                    <w:spacing w:before="0" w:beforeAutospacing="0" w:after="0" w:afterAutospacing="0"/>
                    <w:ind w:left="0" w:right="0"/>
                    <w:jc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380-500</w:t>
                  </w:r>
                </w:p>
              </w:tc>
              <w:tc>
                <w:tcPr>
                  <w:tcW w:w="1304" w:type="pct"/>
                  <w:tcBorders>
                    <w:tl2br w:val="nil"/>
                    <w:tr2bl w:val="nil"/>
                  </w:tcBorders>
                  <w:noWrap w:val="0"/>
                  <w:vAlign w:val="center"/>
                </w:tcPr>
                <w:p w14:paraId="0C7E0523">
                  <w:pPr>
                    <w:keepNext w:val="0"/>
                    <w:keepLines w:val="0"/>
                    <w:suppressLineNumbers w:val="0"/>
                    <w:spacing w:before="0" w:beforeAutospacing="0" w:after="0" w:afterAutospacing="0"/>
                    <w:ind w:left="0" w:right="0"/>
                    <w:jc w:val="center"/>
                    <w:rPr>
                      <w:rFonts w:hint="eastAsia" w:cs="Times New Roman"/>
                      <w:color w:val="auto"/>
                      <w:szCs w:val="21"/>
                      <w:u w:val="none" w:color="auto"/>
                      <w:lang w:val="en-US" w:eastAsia="zh-CN"/>
                    </w:rPr>
                  </w:pPr>
                  <w:r>
                    <w:rPr>
                      <w:rFonts w:hint="eastAsia" w:cs="Times New Roman"/>
                      <w:color w:val="auto"/>
                      <w:szCs w:val="21"/>
                      <w:u w:val="none" w:color="auto"/>
                      <w:lang w:val="en-US" w:eastAsia="zh-CN"/>
                    </w:rPr>
                    <w:t>E112°54′9.866″</w:t>
                  </w:r>
                </w:p>
                <w:p w14:paraId="49442394">
                  <w:pPr>
                    <w:keepNext w:val="0"/>
                    <w:keepLines w:val="0"/>
                    <w:suppressLineNumbers w:val="0"/>
                    <w:spacing w:before="0" w:beforeAutospacing="0" w:after="0" w:afterAutospacing="0"/>
                    <w:ind w:left="0" w:right="0"/>
                    <w:jc w:val="center"/>
                    <w:rPr>
                      <w:rFonts w:hint="eastAsia" w:cs="Times New Roman"/>
                      <w:color w:val="auto"/>
                      <w:szCs w:val="21"/>
                      <w:u w:val="none" w:color="auto"/>
                      <w:lang w:val="en-US" w:eastAsia="zh-CN"/>
                    </w:rPr>
                  </w:pPr>
                  <w:r>
                    <w:rPr>
                      <w:rFonts w:hint="eastAsia" w:cs="Times New Roman"/>
                      <w:color w:val="auto"/>
                      <w:szCs w:val="21"/>
                      <w:u w:val="none" w:color="auto"/>
                      <w:lang w:val="en-US" w:eastAsia="zh-CN"/>
                    </w:rPr>
                    <w:t>N28°38′35.368″</w:t>
                  </w:r>
                </w:p>
              </w:tc>
              <w:tc>
                <w:tcPr>
                  <w:tcW w:w="564" w:type="pct"/>
                  <w:tcBorders>
                    <w:tl2br w:val="nil"/>
                    <w:tr2bl w:val="nil"/>
                  </w:tcBorders>
                  <w:noWrap w:val="0"/>
                  <w:vAlign w:val="center"/>
                </w:tcPr>
                <w:p w14:paraId="501832D6">
                  <w:pPr>
                    <w:keepNext w:val="0"/>
                    <w:keepLines w:val="0"/>
                    <w:suppressLineNumbers w:val="0"/>
                    <w:spacing w:before="0" w:beforeAutospacing="0" w:after="0" w:afterAutospacing="0"/>
                    <w:ind w:left="0" w:right="0"/>
                    <w:jc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师生，约5840人</w:t>
                  </w:r>
                </w:p>
              </w:tc>
              <w:tc>
                <w:tcPr>
                  <w:tcW w:w="941" w:type="pct"/>
                  <w:vMerge w:val="continue"/>
                  <w:tcBorders>
                    <w:tl2br w:val="nil"/>
                    <w:tr2bl w:val="nil"/>
                  </w:tcBorders>
                  <w:noWrap w:val="0"/>
                  <w:vAlign w:val="center"/>
                </w:tcPr>
                <w:p w14:paraId="0BA0626E">
                  <w:pPr>
                    <w:keepNext w:val="0"/>
                    <w:keepLines w:val="0"/>
                    <w:suppressLineNumbers w:val="0"/>
                    <w:spacing w:before="0" w:beforeAutospacing="0" w:after="0" w:afterAutospacing="0"/>
                    <w:ind w:left="0" w:right="0"/>
                    <w:jc w:val="center"/>
                    <w:rPr>
                      <w:rFonts w:hint="default" w:ascii="Times New Roman" w:hAnsi="Times New Roman" w:cs="Times New Roman"/>
                      <w:color w:val="auto"/>
                      <w:u w:val="none" w:color="auto"/>
                    </w:rPr>
                  </w:pPr>
                </w:p>
              </w:tc>
            </w:tr>
            <w:tr w14:paraId="7403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72" w:type="pct"/>
                  <w:vMerge w:val="restart"/>
                  <w:tcBorders>
                    <w:tl2br w:val="nil"/>
                    <w:tr2bl w:val="nil"/>
                  </w:tcBorders>
                  <w:shd w:val="clear" w:color="auto" w:fill="FFFFFF"/>
                  <w:noWrap w:val="0"/>
                  <w:vAlign w:val="center"/>
                </w:tcPr>
                <w:p w14:paraId="2F17F90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地表水</w:t>
                  </w:r>
                </w:p>
              </w:tc>
              <w:tc>
                <w:tcPr>
                  <w:tcW w:w="690" w:type="pct"/>
                  <w:tcBorders>
                    <w:tl2br w:val="nil"/>
                    <w:tr2bl w:val="nil"/>
                  </w:tcBorders>
                  <w:noWrap w:val="0"/>
                  <w:vAlign w:val="center"/>
                </w:tcPr>
                <w:p w14:paraId="6FA2DE2D">
                  <w:pPr>
                    <w:keepNext w:val="0"/>
                    <w:keepLines w:val="0"/>
                    <w:suppressLineNumbers w:val="0"/>
                    <w:spacing w:before="0" w:beforeAutospacing="0" w:after="0" w:afterAutospacing="0"/>
                    <w:ind w:left="0" w:right="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洋沙湖</w:t>
                  </w:r>
                </w:p>
              </w:tc>
              <w:tc>
                <w:tcPr>
                  <w:tcW w:w="392" w:type="pct"/>
                  <w:tcBorders>
                    <w:tl2br w:val="nil"/>
                    <w:tr2bl w:val="nil"/>
                  </w:tcBorders>
                  <w:noWrap w:val="0"/>
                  <w:vAlign w:val="center"/>
                </w:tcPr>
                <w:p w14:paraId="1400C9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西南</w:t>
                  </w:r>
                </w:p>
              </w:tc>
              <w:tc>
                <w:tcPr>
                  <w:tcW w:w="633" w:type="pct"/>
                  <w:tcBorders>
                    <w:tl2br w:val="nil"/>
                    <w:tr2bl w:val="nil"/>
                  </w:tcBorders>
                  <w:noWrap w:val="0"/>
                  <w:vAlign w:val="center"/>
                </w:tcPr>
                <w:p w14:paraId="1D5896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1500m</w:t>
                  </w:r>
                </w:p>
              </w:tc>
              <w:tc>
                <w:tcPr>
                  <w:tcW w:w="1304" w:type="pct"/>
                  <w:tcBorders>
                    <w:tl2br w:val="nil"/>
                    <w:tr2bl w:val="nil"/>
                  </w:tcBorders>
                  <w:noWrap w:val="0"/>
                  <w:vAlign w:val="center"/>
                </w:tcPr>
                <w:p w14:paraId="33BB90C7">
                  <w:pPr>
                    <w:keepNext w:val="0"/>
                    <w:keepLines w:val="0"/>
                    <w:suppressLineNumbers w:val="0"/>
                    <w:spacing w:before="0" w:beforeAutospacing="0" w:after="0" w:afterAutospacing="0"/>
                    <w:ind w:left="0" w:right="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p>
              </w:tc>
              <w:tc>
                <w:tcPr>
                  <w:tcW w:w="564" w:type="pct"/>
                  <w:tcBorders>
                    <w:tl2br w:val="nil"/>
                    <w:tr2bl w:val="nil"/>
                  </w:tcBorders>
                  <w:noWrap w:val="0"/>
                  <w:vAlign w:val="center"/>
                </w:tcPr>
                <w:p w14:paraId="7D044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u w:val="none" w:color="auto"/>
                    </w:rPr>
                  </w:pPr>
                  <w:r>
                    <w:rPr>
                      <w:rFonts w:hint="eastAsia" w:ascii="Times New Roman" w:hAnsi="Times New Roman" w:cs="Times New Roman"/>
                      <w:color w:val="auto"/>
                      <w:sz w:val="21"/>
                      <w:szCs w:val="21"/>
                      <w:u w:val="none" w:color="auto"/>
                      <w:lang w:val="en-US" w:eastAsia="zh-CN"/>
                    </w:rPr>
                    <w:t>湿地公园</w:t>
                  </w:r>
                </w:p>
              </w:tc>
              <w:tc>
                <w:tcPr>
                  <w:tcW w:w="941" w:type="pct"/>
                  <w:vMerge w:val="restart"/>
                  <w:tcBorders>
                    <w:tl2br w:val="nil"/>
                    <w:tr2bl w:val="nil"/>
                  </w:tcBorders>
                  <w:noWrap w:val="0"/>
                  <w:vAlign w:val="center"/>
                </w:tcPr>
                <w:p w14:paraId="68841E1A">
                  <w:pPr>
                    <w:keepNext w:val="0"/>
                    <w:keepLines w:val="0"/>
                    <w:suppressLineNumbers w:val="0"/>
                    <w:spacing w:before="0" w:beforeAutospacing="0" w:after="0" w:afterAutospacing="0"/>
                    <w:ind w:left="0" w:right="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《地表水环境质量标准》（GB3838-2002）Ⅲ类</w:t>
                  </w:r>
                </w:p>
              </w:tc>
            </w:tr>
            <w:tr w14:paraId="1792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2" w:type="pct"/>
                  <w:vMerge w:val="continue"/>
                  <w:tcBorders>
                    <w:tl2br w:val="nil"/>
                    <w:tr2bl w:val="nil"/>
                  </w:tcBorders>
                  <w:shd w:val="clear" w:color="auto" w:fill="FFFFFF"/>
                  <w:noWrap w:val="0"/>
                  <w:vAlign w:val="center"/>
                </w:tcPr>
                <w:p w14:paraId="70E64C5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u w:val="none" w:color="auto"/>
                    </w:rPr>
                  </w:pPr>
                </w:p>
              </w:tc>
              <w:tc>
                <w:tcPr>
                  <w:tcW w:w="690" w:type="pct"/>
                  <w:tcBorders>
                    <w:tl2br w:val="nil"/>
                    <w:tr2bl w:val="nil"/>
                  </w:tcBorders>
                  <w:noWrap w:val="0"/>
                  <w:vAlign w:val="center"/>
                </w:tcPr>
                <w:p w14:paraId="627F028B">
                  <w:pPr>
                    <w:keepNext w:val="0"/>
                    <w:keepLines w:val="0"/>
                    <w:suppressLineNumbers w:val="0"/>
                    <w:spacing w:before="0" w:beforeAutospacing="0" w:after="0" w:afterAutospacing="0"/>
                    <w:ind w:left="0" w:right="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湘江</w:t>
                  </w:r>
                </w:p>
              </w:tc>
              <w:tc>
                <w:tcPr>
                  <w:tcW w:w="392" w:type="pct"/>
                  <w:tcBorders>
                    <w:tl2br w:val="nil"/>
                    <w:tr2bl w:val="nil"/>
                  </w:tcBorders>
                  <w:noWrap w:val="0"/>
                  <w:vAlign w:val="center"/>
                </w:tcPr>
                <w:p w14:paraId="7B604A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西侧</w:t>
                  </w:r>
                </w:p>
              </w:tc>
              <w:tc>
                <w:tcPr>
                  <w:tcW w:w="633" w:type="pct"/>
                  <w:tcBorders>
                    <w:tl2br w:val="nil"/>
                    <w:tr2bl w:val="nil"/>
                  </w:tcBorders>
                  <w:noWrap w:val="0"/>
                  <w:vAlign w:val="center"/>
                </w:tcPr>
                <w:p w14:paraId="22F3DF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4300m</w:t>
                  </w:r>
                </w:p>
              </w:tc>
              <w:tc>
                <w:tcPr>
                  <w:tcW w:w="1304" w:type="pct"/>
                  <w:tcBorders>
                    <w:tl2br w:val="nil"/>
                    <w:tr2bl w:val="nil"/>
                  </w:tcBorders>
                  <w:noWrap w:val="0"/>
                  <w:vAlign w:val="center"/>
                </w:tcPr>
                <w:p w14:paraId="3EC3A581">
                  <w:pPr>
                    <w:keepNext w:val="0"/>
                    <w:keepLines w:val="0"/>
                    <w:suppressLineNumbers w:val="0"/>
                    <w:spacing w:before="0" w:beforeAutospacing="0" w:after="0" w:afterAutospacing="0"/>
                    <w:ind w:left="0" w:right="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p>
              </w:tc>
              <w:tc>
                <w:tcPr>
                  <w:tcW w:w="564" w:type="pct"/>
                  <w:tcBorders>
                    <w:tl2br w:val="nil"/>
                    <w:tr2bl w:val="nil"/>
                  </w:tcBorders>
                  <w:noWrap w:val="0"/>
                  <w:vAlign w:val="center"/>
                </w:tcPr>
                <w:p w14:paraId="63A7985E">
                  <w:pPr>
                    <w:keepNext w:val="0"/>
                    <w:keepLines w:val="0"/>
                    <w:suppressLineNumbers w:val="0"/>
                    <w:spacing w:before="0" w:beforeAutospacing="0" w:after="0" w:afterAutospacing="0"/>
                    <w:ind w:left="0" w:right="0"/>
                    <w:jc w:val="center"/>
                    <w:rPr>
                      <w:rFonts w:hint="default" w:ascii="Times New Roman" w:hAnsi="Times New Roman" w:cs="Times New Roman"/>
                      <w:color w:val="auto"/>
                      <w:u w:val="none" w:color="auto"/>
                    </w:rPr>
                  </w:pPr>
                  <w:r>
                    <w:rPr>
                      <w:rFonts w:hint="eastAsia" w:ascii="Times New Roman" w:hAnsi="Times New Roman" w:cs="Times New Roman"/>
                      <w:color w:val="auto"/>
                      <w:u w:val="none" w:color="auto"/>
                    </w:rPr>
                    <w:t>大</w:t>
                  </w:r>
                  <w:r>
                    <w:rPr>
                      <w:rFonts w:hint="default" w:ascii="Times New Roman" w:hAnsi="Times New Roman" w:cs="Times New Roman"/>
                      <w:color w:val="auto"/>
                      <w:u w:val="none" w:color="auto"/>
                    </w:rPr>
                    <w:t>河</w:t>
                  </w:r>
                </w:p>
              </w:tc>
              <w:tc>
                <w:tcPr>
                  <w:tcW w:w="941" w:type="pct"/>
                  <w:vMerge w:val="continue"/>
                  <w:tcBorders>
                    <w:tl2br w:val="nil"/>
                    <w:tr2bl w:val="nil"/>
                  </w:tcBorders>
                  <w:noWrap w:val="0"/>
                  <w:vAlign w:val="center"/>
                </w:tcPr>
                <w:p w14:paraId="2987FDB0">
                  <w:pPr>
                    <w:keepNext w:val="0"/>
                    <w:keepLines w:val="0"/>
                    <w:suppressLineNumbers w:val="0"/>
                    <w:spacing w:before="0" w:beforeAutospacing="0" w:after="0" w:afterAutospacing="0"/>
                    <w:ind w:left="0" w:right="0"/>
                    <w:jc w:val="center"/>
                    <w:rPr>
                      <w:rFonts w:hint="default" w:ascii="Times New Roman" w:hAnsi="Times New Roman" w:cs="Times New Roman"/>
                      <w:color w:val="auto"/>
                      <w:u w:val="none" w:color="auto"/>
                    </w:rPr>
                  </w:pPr>
                </w:p>
              </w:tc>
            </w:tr>
            <w:tr w14:paraId="54E1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472" w:type="pct"/>
                  <w:tcBorders>
                    <w:tl2br w:val="nil"/>
                    <w:tr2bl w:val="nil"/>
                  </w:tcBorders>
                  <w:shd w:val="clear" w:color="auto" w:fill="FFFFFF"/>
                  <w:noWrap w:val="0"/>
                  <w:vAlign w:val="center"/>
                </w:tcPr>
                <w:p w14:paraId="3F03E36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噪声</w:t>
                  </w:r>
                </w:p>
              </w:tc>
              <w:tc>
                <w:tcPr>
                  <w:tcW w:w="690" w:type="pct"/>
                  <w:tcBorders>
                    <w:tl2br w:val="nil"/>
                    <w:tr2bl w:val="nil"/>
                  </w:tcBorders>
                  <w:shd w:val="clear" w:color="auto" w:fill="auto"/>
                  <w:noWrap w:val="0"/>
                  <w:vAlign w:val="center"/>
                </w:tcPr>
                <w:p w14:paraId="69B951B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Cs w:val="21"/>
                      <w:u w:val="none" w:color="auto"/>
                      <w:lang w:val="en-US" w:eastAsia="zh-CN"/>
                    </w:rPr>
                    <w:t>新华村新华九组</w:t>
                  </w:r>
                </w:p>
              </w:tc>
              <w:tc>
                <w:tcPr>
                  <w:tcW w:w="392" w:type="pct"/>
                  <w:tcBorders>
                    <w:tl2br w:val="nil"/>
                    <w:tr2bl w:val="nil"/>
                  </w:tcBorders>
                  <w:shd w:val="clear" w:color="auto" w:fill="auto"/>
                  <w:noWrap w:val="0"/>
                  <w:vAlign w:val="center"/>
                </w:tcPr>
                <w:p w14:paraId="3431579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Cs w:val="21"/>
                      <w:u w:val="none" w:color="auto"/>
                      <w:lang w:val="en-US" w:eastAsia="zh-CN"/>
                    </w:rPr>
                    <w:t>南侧</w:t>
                  </w:r>
                </w:p>
              </w:tc>
              <w:tc>
                <w:tcPr>
                  <w:tcW w:w="633" w:type="pct"/>
                  <w:tcBorders>
                    <w:tl2br w:val="nil"/>
                    <w:tr2bl w:val="nil"/>
                  </w:tcBorders>
                  <w:shd w:val="clear" w:color="auto" w:fill="auto"/>
                  <w:noWrap w:val="0"/>
                  <w:vAlign w:val="center"/>
                </w:tcPr>
                <w:p w14:paraId="1967027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Cs w:val="21"/>
                      <w:u w:val="none" w:color="auto"/>
                      <w:lang w:val="en-US" w:eastAsia="zh-CN"/>
                    </w:rPr>
                    <w:t>30-50</w:t>
                  </w:r>
                </w:p>
              </w:tc>
              <w:tc>
                <w:tcPr>
                  <w:tcW w:w="1304" w:type="pct"/>
                  <w:tcBorders>
                    <w:tl2br w:val="nil"/>
                    <w:tr2bl w:val="nil"/>
                  </w:tcBorders>
                  <w:shd w:val="clear" w:color="auto" w:fill="auto"/>
                  <w:noWrap w:val="0"/>
                  <w:vAlign w:val="center"/>
                </w:tcPr>
                <w:p w14:paraId="2BFD5126">
                  <w:pPr>
                    <w:keepNext w:val="0"/>
                    <w:keepLines w:val="0"/>
                    <w:suppressLineNumbers w:val="0"/>
                    <w:spacing w:before="0" w:beforeAutospacing="0" w:after="0" w:afterAutospacing="0"/>
                    <w:ind w:left="0" w:right="0"/>
                    <w:jc w:val="center"/>
                    <w:rPr>
                      <w:rFonts w:hint="eastAsia" w:cs="Times New Roman"/>
                      <w:color w:val="auto"/>
                      <w:szCs w:val="21"/>
                      <w:u w:val="none" w:color="auto"/>
                      <w:lang w:val="en-US" w:eastAsia="zh-CN"/>
                    </w:rPr>
                  </w:pPr>
                  <w:r>
                    <w:rPr>
                      <w:rFonts w:hint="eastAsia" w:cs="Times New Roman"/>
                      <w:color w:val="auto"/>
                      <w:szCs w:val="21"/>
                      <w:u w:val="none" w:color="auto"/>
                      <w:lang w:val="en-US" w:eastAsia="zh-CN"/>
                    </w:rPr>
                    <w:t>E112°54′29.453″</w:t>
                  </w:r>
                </w:p>
                <w:p w14:paraId="57B1E64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Cs w:val="21"/>
                      <w:u w:val="none" w:color="auto"/>
                      <w:lang w:val="en-US" w:eastAsia="zh-CN"/>
                    </w:rPr>
                    <w:t>N28°38′30.656″</w:t>
                  </w:r>
                </w:p>
              </w:tc>
              <w:tc>
                <w:tcPr>
                  <w:tcW w:w="564" w:type="pct"/>
                  <w:tcBorders>
                    <w:tl2br w:val="nil"/>
                    <w:tr2bl w:val="nil"/>
                  </w:tcBorders>
                  <w:shd w:val="clear" w:color="auto" w:fill="auto"/>
                  <w:noWrap w:val="0"/>
                  <w:vAlign w:val="center"/>
                </w:tcPr>
                <w:p w14:paraId="1A48E0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Cs w:val="21"/>
                      <w:u w:val="none" w:color="auto"/>
                      <w:lang w:val="en-US" w:eastAsia="zh-CN"/>
                    </w:rPr>
                    <w:t>约10户，100</w:t>
                  </w:r>
                </w:p>
              </w:tc>
              <w:tc>
                <w:tcPr>
                  <w:tcW w:w="941" w:type="pct"/>
                  <w:tcBorders>
                    <w:tl2br w:val="nil"/>
                    <w:tr2bl w:val="nil"/>
                  </w:tcBorders>
                  <w:shd w:val="clear" w:color="auto" w:fill="auto"/>
                  <w:noWrap w:val="0"/>
                  <w:vAlign w:val="center"/>
                </w:tcPr>
                <w:p w14:paraId="0D3E50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eastAsia="zh-CN"/>
                    </w:rPr>
                    <w:t>《</w:t>
                  </w:r>
                  <w:r>
                    <w:rPr>
                      <w:rFonts w:hint="eastAsia" w:cs="Times New Roman"/>
                      <w:color w:val="auto"/>
                      <w:u w:val="none" w:color="auto"/>
                      <w:lang w:val="en-US" w:eastAsia="zh-CN"/>
                    </w:rPr>
                    <w:t>声环境质量标准</w:t>
                  </w:r>
                  <w:r>
                    <w:rPr>
                      <w:rFonts w:hint="eastAsia" w:cs="Times New Roman"/>
                      <w:color w:val="auto"/>
                      <w:u w:val="none" w:color="auto"/>
                      <w:lang w:eastAsia="zh-CN"/>
                    </w:rPr>
                    <w:t>》（</w:t>
                  </w:r>
                  <w:r>
                    <w:rPr>
                      <w:rFonts w:hint="eastAsia" w:cs="Times New Roman"/>
                      <w:color w:val="auto"/>
                      <w:u w:val="none" w:color="auto"/>
                      <w:lang w:val="en-US" w:eastAsia="zh-CN"/>
                    </w:rPr>
                    <w:t>GB3096-2008</w:t>
                  </w:r>
                  <w:r>
                    <w:rPr>
                      <w:rFonts w:hint="eastAsia" w:cs="Times New Roman"/>
                      <w:color w:val="auto"/>
                      <w:u w:val="none" w:color="auto"/>
                      <w:lang w:eastAsia="zh-CN"/>
                    </w:rPr>
                    <w:t>）</w:t>
                  </w:r>
                  <w:r>
                    <w:rPr>
                      <w:rFonts w:hint="eastAsia" w:cs="Times New Roman"/>
                      <w:color w:val="auto"/>
                      <w:u w:val="none" w:color="auto"/>
                      <w:lang w:val="en-US" w:eastAsia="zh-CN"/>
                    </w:rPr>
                    <w:t>中Ⅱ类标准</w:t>
                  </w:r>
                </w:p>
              </w:tc>
            </w:tr>
          </w:tbl>
          <w:p w14:paraId="61016EE5">
            <w:pPr>
              <w:keepNext w:val="0"/>
              <w:keepLines/>
              <w:suppressLineNumbers w:val="0"/>
              <w:spacing w:before="0" w:beforeAutospacing="0" w:after="0" w:afterAutospacing="0" w:line="360" w:lineRule="auto"/>
              <w:ind w:left="0" w:right="0" w:firstLine="420" w:firstLineChars="200"/>
              <w:rPr>
                <w:rFonts w:hint="default" w:ascii="Times New Roman" w:hAnsi="Times New Roman" w:cs="Times New Roman"/>
                <w:color w:val="0000FF"/>
                <w:kern w:val="0"/>
                <w:szCs w:val="21"/>
                <w:highlight w:val="none"/>
              </w:rPr>
            </w:pPr>
          </w:p>
        </w:tc>
      </w:tr>
      <w:tr w14:paraId="29886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23" w:type="dxa"/>
            <w:noWrap w:val="0"/>
            <w:tcMar>
              <w:left w:w="28" w:type="dxa"/>
              <w:right w:w="28" w:type="dxa"/>
            </w:tcMar>
            <w:vAlign w:val="center"/>
          </w:tcPr>
          <w:p w14:paraId="62AA252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14:paraId="36284FA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物排</w:t>
            </w:r>
          </w:p>
          <w:p w14:paraId="47BFF6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放控</w:t>
            </w:r>
          </w:p>
          <w:p w14:paraId="13D238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制标</w:t>
            </w:r>
          </w:p>
          <w:p w14:paraId="1479063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FF"/>
                <w:kern w:val="0"/>
                <w:szCs w:val="21"/>
                <w:highlight w:val="none"/>
              </w:rPr>
            </w:pPr>
            <w:r>
              <w:rPr>
                <w:rFonts w:hint="default" w:ascii="Times New Roman" w:hAnsi="Times New Roman" w:cs="Times New Roman"/>
                <w:color w:val="auto"/>
                <w:kern w:val="0"/>
                <w:szCs w:val="21"/>
                <w:highlight w:val="none"/>
              </w:rPr>
              <w:t>准</w:t>
            </w:r>
          </w:p>
        </w:tc>
        <w:tc>
          <w:tcPr>
            <w:tcW w:w="8338" w:type="dxa"/>
            <w:noWrap w:val="0"/>
            <w:vAlign w:val="center"/>
          </w:tcPr>
          <w:p w14:paraId="30AE6778">
            <w:pPr>
              <w:keepNext w:val="0"/>
              <w:keepLines w:val="0"/>
              <w:suppressLineNumbers w:val="0"/>
              <w:adjustRightInd w:val="0"/>
              <w:spacing w:before="120" w:beforeLines="50" w:beforeAutospacing="0" w:after="0" w:afterAutospacing="0" w:line="360" w:lineRule="auto"/>
              <w:ind w:left="0" w:right="0"/>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1、大气污染物排放标准</w:t>
            </w:r>
          </w:p>
          <w:p w14:paraId="2A60400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 w:val="24"/>
                <w:szCs w:val="24"/>
                <w:highlight w:val="none"/>
                <w:u w:val="none"/>
                <w:lang w:val="en-US" w:eastAsia="zh-CN"/>
              </w:rPr>
            </w:pPr>
            <w:r>
              <w:rPr>
                <w:rFonts w:hint="eastAsia" w:ascii="Times New Roman" w:hAnsi="Times New Roman" w:cs="Times New Roman"/>
                <w:snapToGrid w:val="0"/>
                <w:color w:val="auto"/>
                <w:kern w:val="0"/>
                <w:sz w:val="24"/>
                <w:szCs w:val="24"/>
                <w:highlight w:val="none"/>
                <w:u w:val="none"/>
                <w:lang w:val="en-US" w:eastAsia="zh-CN"/>
              </w:rPr>
              <w:t>施工期：执行《大气污染物综合排放标准》（GB16297-1996）</w:t>
            </w:r>
          </w:p>
          <w:p w14:paraId="2D63187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snapToGrid w:val="0"/>
                <w:color w:val="auto"/>
                <w:kern w:val="0"/>
                <w:sz w:val="24"/>
                <w:szCs w:val="24"/>
                <w:highlight w:val="none"/>
                <w:u w:val="none"/>
                <w:lang w:val="en-US" w:eastAsia="zh-CN"/>
              </w:rPr>
            </w:pPr>
            <w:r>
              <w:rPr>
                <w:rFonts w:hint="eastAsia" w:ascii="Times New Roman" w:hAnsi="Times New Roman" w:cs="Times New Roman"/>
                <w:snapToGrid w:val="0"/>
                <w:color w:val="auto"/>
                <w:kern w:val="0"/>
                <w:sz w:val="24"/>
                <w:szCs w:val="24"/>
                <w:highlight w:val="none"/>
                <w:u w:val="none"/>
                <w:lang w:val="en-US" w:eastAsia="zh-CN"/>
              </w:rPr>
              <w:t>运行期：</w:t>
            </w:r>
            <w:r>
              <w:rPr>
                <w:rFonts w:hint="default" w:ascii="Times New Roman" w:hAnsi="Times New Roman" w:cs="Times New Roman"/>
                <w:snapToGrid w:val="0"/>
                <w:color w:val="auto"/>
                <w:kern w:val="0"/>
                <w:sz w:val="24"/>
                <w:szCs w:val="24"/>
                <w:highlight w:val="none"/>
                <w:u w:val="none"/>
                <w:lang w:val="en-US" w:eastAsia="zh-CN"/>
              </w:rPr>
              <w:t>本项目</w:t>
            </w:r>
            <w:r>
              <w:rPr>
                <w:rFonts w:hint="eastAsia" w:ascii="Times New Roman" w:hAnsi="Times New Roman" w:cs="Times New Roman"/>
                <w:snapToGrid w:val="0"/>
                <w:color w:val="auto"/>
                <w:kern w:val="0"/>
                <w:sz w:val="24"/>
                <w:szCs w:val="24"/>
                <w:highlight w:val="none"/>
                <w:u w:val="none"/>
                <w:lang w:val="en-US" w:eastAsia="zh-CN"/>
              </w:rPr>
              <w:t>废气</w:t>
            </w:r>
            <w:r>
              <w:rPr>
                <w:rFonts w:hint="eastAsia" w:cs="Times New Roman"/>
                <w:snapToGrid w:val="0"/>
                <w:color w:val="auto"/>
                <w:kern w:val="0"/>
                <w:sz w:val="24"/>
                <w:szCs w:val="24"/>
                <w:highlight w:val="none"/>
                <w:u w:val="none"/>
                <w:lang w:val="en-US" w:eastAsia="zh-CN"/>
              </w:rPr>
              <w:t>有高频淬火产生的油烟（挥发性有机物，以非甲烷总烃表征）、机加工产生的挥发性有机物（以非甲烷总烃表征）和油雾（颗粒物）、以及表面喷砂处理产生的颗粒物，</w:t>
            </w:r>
            <w:r>
              <w:rPr>
                <w:rFonts w:hint="eastAsia" w:ascii="Times New Roman" w:hAnsi="Times New Roman" w:cs="Times New Roman"/>
                <w:snapToGrid w:val="0"/>
                <w:color w:val="auto"/>
                <w:kern w:val="0"/>
                <w:sz w:val="24"/>
                <w:szCs w:val="24"/>
                <w:highlight w:val="none"/>
                <w:u w:val="none"/>
                <w:lang w:val="en-US" w:eastAsia="zh-CN"/>
              </w:rPr>
              <w:t>执行《大气污染物排放标准》（GB</w:t>
            </w:r>
            <w:r>
              <w:rPr>
                <w:rFonts w:hint="eastAsia" w:cs="Times New Roman"/>
                <w:snapToGrid w:val="0"/>
                <w:color w:val="auto"/>
                <w:kern w:val="0"/>
                <w:sz w:val="24"/>
                <w:szCs w:val="24"/>
                <w:highlight w:val="none"/>
                <w:u w:val="none"/>
                <w:lang w:val="en-US" w:eastAsia="zh-CN"/>
              </w:rPr>
              <w:t>16297</w:t>
            </w:r>
            <w:r>
              <w:rPr>
                <w:rFonts w:hint="eastAsia" w:ascii="Times New Roman" w:hAnsi="Times New Roman" w:cs="Times New Roman"/>
                <w:snapToGrid w:val="0"/>
                <w:color w:val="auto"/>
                <w:kern w:val="0"/>
                <w:sz w:val="24"/>
                <w:szCs w:val="24"/>
                <w:highlight w:val="none"/>
                <w:u w:val="none"/>
                <w:lang w:val="en-US" w:eastAsia="zh-CN"/>
              </w:rPr>
              <w:t>-</w:t>
            </w:r>
            <w:r>
              <w:rPr>
                <w:rFonts w:hint="eastAsia" w:cs="Times New Roman"/>
                <w:snapToGrid w:val="0"/>
                <w:color w:val="auto"/>
                <w:kern w:val="0"/>
                <w:sz w:val="24"/>
                <w:szCs w:val="24"/>
                <w:highlight w:val="none"/>
                <w:u w:val="none"/>
                <w:lang w:val="en-US" w:eastAsia="zh-CN"/>
              </w:rPr>
              <w:t>1992</w:t>
            </w:r>
            <w:r>
              <w:rPr>
                <w:rFonts w:hint="eastAsia" w:ascii="Times New Roman" w:hAnsi="Times New Roman" w:cs="Times New Roman"/>
                <w:snapToGrid w:val="0"/>
                <w:color w:val="auto"/>
                <w:kern w:val="0"/>
                <w:sz w:val="24"/>
                <w:szCs w:val="24"/>
                <w:highlight w:val="none"/>
                <w:u w:val="none"/>
                <w:lang w:val="en-US" w:eastAsia="zh-CN"/>
              </w:rPr>
              <w:t>）表</w:t>
            </w:r>
            <w:r>
              <w:rPr>
                <w:rFonts w:hint="eastAsia" w:cs="Times New Roman"/>
                <w:snapToGrid w:val="0"/>
                <w:color w:val="auto"/>
                <w:kern w:val="0"/>
                <w:sz w:val="24"/>
                <w:szCs w:val="24"/>
                <w:highlight w:val="none"/>
                <w:u w:val="none"/>
                <w:lang w:val="en-US" w:eastAsia="zh-CN"/>
              </w:rPr>
              <w:t>2</w:t>
            </w:r>
            <w:r>
              <w:rPr>
                <w:rFonts w:hint="eastAsia" w:ascii="Times New Roman" w:hAnsi="Times New Roman" w:cs="Times New Roman"/>
                <w:snapToGrid w:val="0"/>
                <w:color w:val="auto"/>
                <w:kern w:val="0"/>
                <w:sz w:val="24"/>
                <w:szCs w:val="24"/>
                <w:highlight w:val="none"/>
                <w:u w:val="none"/>
                <w:lang w:val="en-US" w:eastAsia="zh-CN"/>
              </w:rPr>
              <w:t>排放限值</w:t>
            </w:r>
            <w:r>
              <w:rPr>
                <w:rFonts w:hint="eastAsia" w:cs="Times New Roman"/>
                <w:snapToGrid w:val="0"/>
                <w:color w:val="auto"/>
                <w:kern w:val="0"/>
                <w:sz w:val="24"/>
                <w:szCs w:val="24"/>
                <w:highlight w:val="none"/>
                <w:u w:val="none"/>
                <w:lang w:val="en-US" w:eastAsia="zh-CN"/>
              </w:rPr>
              <w:t>，厂区内挥发性有机物执行《无组织挥发性有机物排放标准》（GB37822-2019）附录表A.1；食堂油烟执行</w:t>
            </w:r>
            <w:r>
              <w:rPr>
                <w:rFonts w:hint="eastAsia" w:ascii="Times New Roman" w:hAnsi="Times New Roman" w:eastAsia="宋体" w:cs="Times New Roman"/>
                <w:snapToGrid w:val="0"/>
                <w:kern w:val="0"/>
                <w:sz w:val="24"/>
                <w:lang w:eastAsia="zh-CN"/>
              </w:rPr>
              <w:t>《饮食业油烟排放标准》</w:t>
            </w:r>
            <w:r>
              <w:rPr>
                <w:rFonts w:hint="eastAsia" w:ascii="Times New Roman" w:hAnsi="Times New Roman" w:eastAsia="宋体" w:cs="Times New Roman"/>
                <w:snapToGrid w:val="0"/>
                <w:kern w:val="0"/>
                <w:sz w:val="24"/>
                <w:lang w:val="en-US" w:eastAsia="zh-CN"/>
              </w:rPr>
              <w:t>（GB18483-2001）排放标准</w:t>
            </w:r>
            <w:r>
              <w:rPr>
                <w:rFonts w:hint="eastAsia" w:ascii="Times New Roman" w:hAnsi="Times New Roman" w:cs="Times New Roman"/>
                <w:snapToGrid w:val="0"/>
                <w:color w:val="auto"/>
                <w:kern w:val="0"/>
                <w:sz w:val="24"/>
                <w:szCs w:val="24"/>
                <w:highlight w:val="none"/>
                <w:u w:val="none"/>
                <w:lang w:val="en-US" w:eastAsia="zh-CN"/>
              </w:rPr>
              <w:t>。</w:t>
            </w:r>
          </w:p>
          <w:p w14:paraId="56BEE69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 w:val="24"/>
                <w:szCs w:val="24"/>
                <w:highlight w:val="none"/>
                <w:u w:val="none"/>
                <w:lang w:val="en-US" w:eastAsia="zh-CN"/>
              </w:rPr>
            </w:pPr>
            <w:r>
              <w:rPr>
                <w:rFonts w:hint="eastAsia" w:cs="Times New Roman"/>
                <w:snapToGrid w:val="0"/>
                <w:color w:val="auto"/>
                <w:kern w:val="0"/>
                <w:sz w:val="24"/>
                <w:szCs w:val="24"/>
                <w:highlight w:val="none"/>
                <w:u w:val="none"/>
                <w:lang w:val="en-US" w:eastAsia="zh-CN"/>
              </w:rPr>
              <w:t>经现场勘察，本项目周边200m范围内最高建筑为南侧居民楼，高度约为20m，因本项目排气筒高度为15m，低于周边200m范围内最高建筑，排放速率需严格50%执行。</w:t>
            </w:r>
          </w:p>
          <w:p w14:paraId="2E0AD93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cs="Times New Roman"/>
                <w:b/>
                <w:bCs w:val="0"/>
                <w:color w:val="auto"/>
                <w:kern w:val="0"/>
                <w:sz w:val="21"/>
                <w:szCs w:val="21"/>
                <w:u w:val="none"/>
                <w:vertAlign w:val="baseline"/>
                <w:lang w:val="en-US" w:eastAsia="zh-CN"/>
              </w:rPr>
            </w:pPr>
            <w:r>
              <w:rPr>
                <w:rFonts w:hint="default" w:ascii="Times New Roman" w:hAnsi="Times New Roman" w:cs="Times New Roman"/>
                <w:b/>
                <w:bCs w:val="0"/>
                <w:color w:val="auto"/>
                <w:kern w:val="0"/>
                <w:sz w:val="21"/>
                <w:szCs w:val="21"/>
                <w:u w:val="none"/>
                <w:vertAlign w:val="baseline"/>
                <w:lang w:val="en-US" w:eastAsia="zh-CN"/>
              </w:rPr>
              <w:t>表</w:t>
            </w:r>
            <w:r>
              <w:rPr>
                <w:rFonts w:hint="eastAsia" w:ascii="Times New Roman" w:hAnsi="Times New Roman" w:cs="Times New Roman"/>
                <w:b/>
                <w:bCs w:val="0"/>
                <w:color w:val="auto"/>
                <w:kern w:val="0"/>
                <w:sz w:val="21"/>
                <w:szCs w:val="21"/>
                <w:u w:val="none"/>
                <w:vertAlign w:val="baseline"/>
                <w:lang w:val="en-US" w:eastAsia="zh-CN"/>
              </w:rPr>
              <w:t>3-</w:t>
            </w:r>
            <w:r>
              <w:rPr>
                <w:rFonts w:hint="eastAsia" w:cs="Times New Roman"/>
                <w:b/>
                <w:bCs w:val="0"/>
                <w:color w:val="auto"/>
                <w:kern w:val="0"/>
                <w:sz w:val="21"/>
                <w:szCs w:val="21"/>
                <w:u w:val="none"/>
                <w:vertAlign w:val="baseline"/>
                <w:lang w:val="en-US" w:eastAsia="zh-CN"/>
              </w:rPr>
              <w:t>6</w:t>
            </w:r>
            <w:r>
              <w:rPr>
                <w:rFonts w:hint="eastAsia" w:ascii="Times New Roman" w:hAnsi="Times New Roman" w:cs="Times New Roman"/>
                <w:b/>
                <w:bCs w:val="0"/>
                <w:color w:val="auto"/>
                <w:kern w:val="0"/>
                <w:sz w:val="21"/>
                <w:szCs w:val="21"/>
                <w:u w:val="none"/>
                <w:vertAlign w:val="baseline"/>
                <w:lang w:val="en-US" w:eastAsia="zh-CN"/>
              </w:rPr>
              <w:t xml:space="preserve"> </w:t>
            </w:r>
            <w:r>
              <w:rPr>
                <w:rFonts w:hint="default" w:ascii="Times New Roman" w:hAnsi="Times New Roman" w:cs="Times New Roman"/>
                <w:b/>
                <w:bCs w:val="0"/>
                <w:color w:val="auto"/>
                <w:kern w:val="0"/>
                <w:sz w:val="21"/>
                <w:szCs w:val="21"/>
                <w:u w:val="none"/>
                <w:vertAlign w:val="baseline"/>
                <w:lang w:val="en-US" w:eastAsia="zh-CN"/>
              </w:rPr>
              <w:t xml:space="preserve">  </w:t>
            </w:r>
            <w:r>
              <w:rPr>
                <w:rFonts w:hint="eastAsia" w:cs="Times New Roman"/>
                <w:b/>
                <w:bCs w:val="0"/>
                <w:color w:val="auto"/>
                <w:kern w:val="0"/>
                <w:sz w:val="21"/>
                <w:szCs w:val="21"/>
                <w:u w:val="none"/>
                <w:vertAlign w:val="baseline"/>
                <w:lang w:val="en-US" w:eastAsia="zh-CN"/>
              </w:rPr>
              <w:t>大气污染物执行标准</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868"/>
              <w:gridCol w:w="1316"/>
              <w:gridCol w:w="876"/>
              <w:gridCol w:w="812"/>
              <w:gridCol w:w="1089"/>
              <w:gridCol w:w="1089"/>
              <w:gridCol w:w="1090"/>
            </w:tblGrid>
            <w:tr w14:paraId="1A9E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9" w:type="pct"/>
                  <w:vMerge w:val="restart"/>
                  <w:tcBorders>
                    <w:tl2br w:val="nil"/>
                    <w:tr2bl w:val="nil"/>
                  </w:tcBorders>
                  <w:noWrap w:val="0"/>
                  <w:vAlign w:val="center"/>
                </w:tcPr>
                <w:p w14:paraId="3DB5759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bCs w:val="0"/>
                      <w:color w:val="auto"/>
                      <w:kern w:val="0"/>
                      <w:sz w:val="21"/>
                      <w:szCs w:val="21"/>
                      <w:u w:val="none"/>
                      <w:vertAlign w:val="baseline"/>
                      <w:lang w:val="en-US" w:eastAsia="zh-CN"/>
                    </w:rPr>
                  </w:pPr>
                  <w:r>
                    <w:rPr>
                      <w:rFonts w:hint="eastAsia" w:cs="Times New Roman"/>
                      <w:b/>
                      <w:bCs w:val="0"/>
                      <w:color w:val="auto"/>
                      <w:kern w:val="0"/>
                      <w:sz w:val="21"/>
                      <w:szCs w:val="21"/>
                      <w:u w:val="none"/>
                      <w:vertAlign w:val="baseline"/>
                      <w:lang w:val="en-US" w:eastAsia="zh-CN"/>
                    </w:rPr>
                    <w:t>污染源</w:t>
                  </w:r>
                </w:p>
              </w:tc>
              <w:tc>
                <w:tcPr>
                  <w:tcW w:w="535" w:type="pct"/>
                  <w:vMerge w:val="restart"/>
                  <w:tcBorders>
                    <w:tl2br w:val="nil"/>
                    <w:tr2bl w:val="nil"/>
                  </w:tcBorders>
                  <w:noWrap w:val="0"/>
                  <w:vAlign w:val="center"/>
                </w:tcPr>
                <w:p w14:paraId="2FEEA8B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cs="Times New Roman"/>
                      <w:b/>
                      <w:bCs w:val="0"/>
                      <w:color w:val="auto"/>
                      <w:kern w:val="0"/>
                      <w:sz w:val="21"/>
                      <w:szCs w:val="21"/>
                      <w:u w:val="none"/>
                      <w:vertAlign w:val="baseline"/>
                      <w:lang w:val="en-US" w:eastAsia="zh-CN"/>
                    </w:rPr>
                  </w:pPr>
                  <w:r>
                    <w:rPr>
                      <w:rFonts w:hint="eastAsia" w:cs="Times New Roman"/>
                      <w:b/>
                      <w:bCs w:val="0"/>
                      <w:color w:val="auto"/>
                      <w:kern w:val="0"/>
                      <w:sz w:val="21"/>
                      <w:szCs w:val="21"/>
                      <w:u w:val="none"/>
                      <w:vertAlign w:val="baseline"/>
                      <w:lang w:val="en-US" w:eastAsia="zh-CN"/>
                    </w:rPr>
                    <w:t>排放形式</w:t>
                  </w:r>
                </w:p>
              </w:tc>
              <w:tc>
                <w:tcPr>
                  <w:tcW w:w="811" w:type="pct"/>
                  <w:vMerge w:val="restart"/>
                  <w:tcBorders>
                    <w:tl2br w:val="nil"/>
                    <w:tr2bl w:val="nil"/>
                  </w:tcBorders>
                  <w:noWrap w:val="0"/>
                  <w:vAlign w:val="center"/>
                </w:tcPr>
                <w:p w14:paraId="59BCFF7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kern w:val="0"/>
                      <w:sz w:val="21"/>
                      <w:szCs w:val="21"/>
                      <w:u w:val="none"/>
                      <w:vertAlign w:val="baseline"/>
                      <w:lang w:eastAsia="zh-CN"/>
                    </w:rPr>
                  </w:pPr>
                  <w:r>
                    <w:rPr>
                      <w:rFonts w:hint="default" w:ascii="Times New Roman" w:hAnsi="Times New Roman" w:cs="Times New Roman"/>
                      <w:b/>
                      <w:bCs w:val="0"/>
                      <w:color w:val="auto"/>
                      <w:kern w:val="0"/>
                      <w:sz w:val="21"/>
                      <w:szCs w:val="21"/>
                      <w:u w:val="none"/>
                      <w:vertAlign w:val="baseline"/>
                      <w:lang w:eastAsia="zh-CN"/>
                    </w:rPr>
                    <w:t>污染物项目</w:t>
                  </w:r>
                </w:p>
              </w:tc>
              <w:tc>
                <w:tcPr>
                  <w:tcW w:w="1040" w:type="pct"/>
                  <w:gridSpan w:val="2"/>
                  <w:tcBorders>
                    <w:tl2br w:val="nil"/>
                    <w:tr2bl w:val="nil"/>
                  </w:tcBorders>
                  <w:noWrap w:val="0"/>
                  <w:vAlign w:val="center"/>
                </w:tcPr>
                <w:p w14:paraId="36FDC48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bCs w:val="0"/>
                      <w:color w:val="auto"/>
                      <w:kern w:val="0"/>
                      <w:sz w:val="21"/>
                      <w:szCs w:val="21"/>
                      <w:u w:val="none"/>
                      <w:vertAlign w:val="baseline"/>
                      <w:lang w:val="en-US" w:eastAsia="zh-CN"/>
                    </w:rPr>
                  </w:pPr>
                  <w:r>
                    <w:rPr>
                      <w:rFonts w:hint="eastAsia" w:cs="Times New Roman"/>
                      <w:b/>
                      <w:bCs w:val="0"/>
                      <w:color w:val="auto"/>
                      <w:kern w:val="0"/>
                      <w:sz w:val="21"/>
                      <w:szCs w:val="21"/>
                      <w:u w:val="none"/>
                      <w:vertAlign w:val="baseline"/>
                      <w:lang w:val="en-US" w:eastAsia="zh-CN"/>
                    </w:rPr>
                    <w:t>排放</w:t>
                  </w:r>
                  <w:r>
                    <w:rPr>
                      <w:rFonts w:hint="default" w:ascii="Times New Roman" w:hAnsi="Times New Roman" w:cs="Times New Roman"/>
                      <w:b/>
                      <w:bCs w:val="0"/>
                      <w:color w:val="auto"/>
                      <w:kern w:val="0"/>
                      <w:sz w:val="21"/>
                      <w:szCs w:val="21"/>
                      <w:u w:val="none"/>
                      <w:vertAlign w:val="baseline"/>
                      <w:lang w:eastAsia="zh-CN"/>
                    </w:rPr>
                    <w:t>限值</w:t>
                  </w:r>
                </w:p>
              </w:tc>
              <w:tc>
                <w:tcPr>
                  <w:tcW w:w="671" w:type="pct"/>
                  <w:vMerge w:val="restart"/>
                  <w:tcBorders>
                    <w:tl2br w:val="nil"/>
                    <w:tr2bl w:val="nil"/>
                  </w:tcBorders>
                  <w:noWrap w:val="0"/>
                  <w:vAlign w:val="center"/>
                </w:tcPr>
                <w:p w14:paraId="4AD56D0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kern w:val="0"/>
                      <w:sz w:val="21"/>
                      <w:szCs w:val="21"/>
                      <w:u w:val="none"/>
                      <w:vertAlign w:val="baseline"/>
                      <w:lang w:eastAsia="zh-CN"/>
                    </w:rPr>
                  </w:pPr>
                  <w:r>
                    <w:rPr>
                      <w:rFonts w:hint="default" w:ascii="Times New Roman" w:hAnsi="Times New Roman" w:cs="Times New Roman"/>
                      <w:b/>
                      <w:bCs w:val="0"/>
                      <w:color w:val="auto"/>
                      <w:kern w:val="0"/>
                      <w:sz w:val="21"/>
                      <w:szCs w:val="21"/>
                      <w:u w:val="none"/>
                      <w:vertAlign w:val="baseline"/>
                      <w:lang w:eastAsia="zh-CN"/>
                    </w:rPr>
                    <w:t>污染物排放监控位置</w:t>
                  </w:r>
                </w:p>
              </w:tc>
              <w:tc>
                <w:tcPr>
                  <w:tcW w:w="671" w:type="pct"/>
                  <w:vMerge w:val="restart"/>
                  <w:tcBorders>
                    <w:tl2br w:val="nil"/>
                    <w:tr2bl w:val="nil"/>
                  </w:tcBorders>
                  <w:noWrap w:val="0"/>
                  <w:vAlign w:val="center"/>
                </w:tcPr>
                <w:p w14:paraId="2084026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cs="Times New Roman"/>
                      <w:b/>
                      <w:bCs w:val="0"/>
                      <w:color w:val="auto"/>
                      <w:kern w:val="0"/>
                      <w:sz w:val="21"/>
                      <w:szCs w:val="21"/>
                      <w:u w:val="none"/>
                      <w:vertAlign w:val="baseline"/>
                      <w:lang w:val="en-US" w:eastAsia="zh-CN"/>
                    </w:rPr>
                  </w:pPr>
                  <w:r>
                    <w:rPr>
                      <w:rFonts w:hint="eastAsia" w:cs="Times New Roman"/>
                      <w:b/>
                      <w:bCs w:val="0"/>
                      <w:color w:val="auto"/>
                      <w:kern w:val="0"/>
                      <w:sz w:val="21"/>
                      <w:szCs w:val="21"/>
                      <w:u w:val="none"/>
                      <w:vertAlign w:val="baseline"/>
                      <w:lang w:val="en-US" w:eastAsia="zh-CN"/>
                    </w:rPr>
                    <w:t>执行标准</w:t>
                  </w:r>
                </w:p>
              </w:tc>
              <w:tc>
                <w:tcPr>
                  <w:tcW w:w="671" w:type="pct"/>
                  <w:vMerge w:val="restart"/>
                  <w:tcBorders>
                    <w:tl2br w:val="nil"/>
                    <w:tr2bl w:val="nil"/>
                  </w:tcBorders>
                  <w:noWrap w:val="0"/>
                  <w:vAlign w:val="center"/>
                </w:tcPr>
                <w:p w14:paraId="78FC9D6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bCs w:val="0"/>
                      <w:color w:val="auto"/>
                      <w:kern w:val="0"/>
                      <w:sz w:val="21"/>
                      <w:szCs w:val="21"/>
                      <w:u w:val="none"/>
                      <w:vertAlign w:val="baseline"/>
                      <w:lang w:val="en-US" w:eastAsia="zh-CN"/>
                    </w:rPr>
                  </w:pPr>
                  <w:r>
                    <w:rPr>
                      <w:rFonts w:hint="eastAsia" w:cs="Times New Roman"/>
                      <w:b/>
                      <w:bCs w:val="0"/>
                      <w:color w:val="auto"/>
                      <w:kern w:val="0"/>
                      <w:sz w:val="21"/>
                      <w:szCs w:val="21"/>
                      <w:u w:val="none"/>
                      <w:vertAlign w:val="baseline"/>
                      <w:lang w:val="en-US" w:eastAsia="zh-CN"/>
                    </w:rPr>
                    <w:t>备注</w:t>
                  </w:r>
                </w:p>
              </w:tc>
            </w:tr>
            <w:tr w14:paraId="5A95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9" w:type="pct"/>
                  <w:vMerge w:val="continue"/>
                  <w:tcBorders>
                    <w:tl2br w:val="nil"/>
                    <w:tr2bl w:val="nil"/>
                  </w:tcBorders>
                  <w:noWrap w:val="0"/>
                  <w:vAlign w:val="center"/>
                </w:tcPr>
                <w:p w14:paraId="675AE6E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u w:val="none"/>
                    </w:rPr>
                  </w:pPr>
                </w:p>
              </w:tc>
              <w:tc>
                <w:tcPr>
                  <w:tcW w:w="535" w:type="pct"/>
                  <w:vMerge w:val="continue"/>
                  <w:tcBorders>
                    <w:tl2br w:val="nil"/>
                    <w:tr2bl w:val="nil"/>
                  </w:tcBorders>
                  <w:noWrap w:val="0"/>
                  <w:vAlign w:val="center"/>
                </w:tcPr>
                <w:p w14:paraId="04310AD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u w:val="none"/>
                    </w:rPr>
                  </w:pPr>
                </w:p>
              </w:tc>
              <w:tc>
                <w:tcPr>
                  <w:tcW w:w="811" w:type="pct"/>
                  <w:vMerge w:val="continue"/>
                  <w:tcBorders>
                    <w:tl2br w:val="nil"/>
                    <w:tr2bl w:val="nil"/>
                  </w:tcBorders>
                  <w:noWrap w:val="0"/>
                  <w:vAlign w:val="center"/>
                </w:tcPr>
                <w:p w14:paraId="3D4A719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u w:val="none"/>
                    </w:rPr>
                  </w:pPr>
                </w:p>
              </w:tc>
              <w:tc>
                <w:tcPr>
                  <w:tcW w:w="539" w:type="pct"/>
                  <w:tcBorders>
                    <w:tl2br w:val="nil"/>
                    <w:tr2bl w:val="nil"/>
                  </w:tcBorders>
                  <w:noWrap w:val="0"/>
                  <w:vAlign w:val="center"/>
                </w:tcPr>
                <w:p w14:paraId="0F417D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eastAsia="宋体"/>
                      <w:u w:val="none"/>
                      <w:lang w:val="en-US" w:eastAsia="zh-CN"/>
                    </w:rPr>
                  </w:pPr>
                  <w:r>
                    <w:rPr>
                      <w:rFonts w:hint="eastAsia"/>
                      <w:u w:val="none"/>
                      <w:lang w:val="en-US" w:eastAsia="zh-CN"/>
                    </w:rPr>
                    <w:t>浓度</w:t>
                  </w:r>
                  <w:r>
                    <w:rPr>
                      <w:rFonts w:hint="eastAsia" w:ascii="Times New Roman" w:hAnsi="Times New Roman" w:eastAsia="宋体" w:cs="Times New Roman"/>
                      <w:b w:val="0"/>
                      <w:bCs/>
                      <w:color w:val="auto"/>
                      <w:kern w:val="0"/>
                      <w:sz w:val="21"/>
                      <w:szCs w:val="21"/>
                      <w:u w:val="none"/>
                      <w:vertAlign w:val="baseline"/>
                      <w:lang w:val="en-US" w:eastAsia="zh-CN"/>
                    </w:rPr>
                    <w:t>mg/m</w:t>
                  </w:r>
                  <w:r>
                    <w:rPr>
                      <w:rFonts w:hint="eastAsia" w:ascii="Times New Roman" w:hAnsi="Times New Roman" w:eastAsia="宋体" w:cs="Times New Roman"/>
                      <w:b w:val="0"/>
                      <w:bCs/>
                      <w:color w:val="auto"/>
                      <w:kern w:val="0"/>
                      <w:sz w:val="21"/>
                      <w:szCs w:val="21"/>
                      <w:u w:val="none"/>
                      <w:vertAlign w:val="superscript"/>
                      <w:lang w:val="en-US" w:eastAsia="zh-CN"/>
                    </w:rPr>
                    <w:t>3</w:t>
                  </w:r>
                </w:p>
              </w:tc>
              <w:tc>
                <w:tcPr>
                  <w:tcW w:w="500" w:type="pct"/>
                  <w:tcBorders>
                    <w:tl2br w:val="nil"/>
                    <w:tr2bl w:val="nil"/>
                  </w:tcBorders>
                  <w:noWrap w:val="0"/>
                  <w:vAlign w:val="center"/>
                </w:tcPr>
                <w:p w14:paraId="584C4ED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u w:val="none"/>
                      <w:lang w:val="en-US" w:eastAsia="zh-CN"/>
                    </w:rPr>
                  </w:pPr>
                  <w:r>
                    <w:rPr>
                      <w:rFonts w:hint="eastAsia"/>
                      <w:u w:val="none"/>
                      <w:lang w:val="en-US" w:eastAsia="zh-CN"/>
                    </w:rPr>
                    <w:t>速率</w:t>
                  </w:r>
                </w:p>
                <w:p w14:paraId="2228A41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eastAsia="宋体"/>
                      <w:u w:val="none"/>
                      <w:lang w:val="en-US" w:eastAsia="zh-CN"/>
                    </w:rPr>
                  </w:pPr>
                  <w:r>
                    <w:rPr>
                      <w:rFonts w:hint="eastAsia"/>
                      <w:u w:val="none"/>
                      <w:lang w:val="en-US" w:eastAsia="zh-CN"/>
                    </w:rPr>
                    <w:t>kg/h</w:t>
                  </w:r>
                </w:p>
              </w:tc>
              <w:tc>
                <w:tcPr>
                  <w:tcW w:w="671" w:type="pct"/>
                  <w:vMerge w:val="continue"/>
                  <w:tcBorders>
                    <w:tl2br w:val="nil"/>
                    <w:tr2bl w:val="nil"/>
                  </w:tcBorders>
                  <w:noWrap w:val="0"/>
                  <w:vAlign w:val="center"/>
                </w:tcPr>
                <w:p w14:paraId="46B8C55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u w:val="none"/>
                    </w:rPr>
                  </w:pPr>
                </w:p>
              </w:tc>
              <w:tc>
                <w:tcPr>
                  <w:tcW w:w="671" w:type="pct"/>
                  <w:vMerge w:val="continue"/>
                  <w:tcBorders>
                    <w:tl2br w:val="nil"/>
                    <w:tr2bl w:val="nil"/>
                  </w:tcBorders>
                  <w:noWrap w:val="0"/>
                  <w:vAlign w:val="center"/>
                </w:tcPr>
                <w:p w14:paraId="30FF5CB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u w:val="none"/>
                    </w:rPr>
                  </w:pPr>
                </w:p>
              </w:tc>
              <w:tc>
                <w:tcPr>
                  <w:tcW w:w="671" w:type="pct"/>
                  <w:vMerge w:val="continue"/>
                  <w:tcBorders>
                    <w:tl2br w:val="nil"/>
                    <w:tr2bl w:val="nil"/>
                  </w:tcBorders>
                  <w:noWrap w:val="0"/>
                  <w:vAlign w:val="center"/>
                </w:tcPr>
                <w:p w14:paraId="2024CC3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u w:val="none"/>
                    </w:rPr>
                  </w:pPr>
                </w:p>
              </w:tc>
            </w:tr>
            <w:tr w14:paraId="557B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599" w:type="pct"/>
                  <w:tcBorders>
                    <w:tl2br w:val="nil"/>
                    <w:tr2bl w:val="nil"/>
                  </w:tcBorders>
                  <w:noWrap w:val="0"/>
                  <w:vAlign w:val="center"/>
                </w:tcPr>
                <w:p w14:paraId="4B3ECBC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表面喷砂处理</w:t>
                  </w:r>
                </w:p>
              </w:tc>
              <w:tc>
                <w:tcPr>
                  <w:tcW w:w="535" w:type="pct"/>
                  <w:tcBorders>
                    <w:tl2br w:val="nil"/>
                    <w:tr2bl w:val="nil"/>
                  </w:tcBorders>
                  <w:noWrap w:val="0"/>
                  <w:vAlign w:val="center"/>
                </w:tcPr>
                <w:p w14:paraId="085A2D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有组织</w:t>
                  </w:r>
                </w:p>
              </w:tc>
              <w:tc>
                <w:tcPr>
                  <w:tcW w:w="811" w:type="pct"/>
                  <w:tcBorders>
                    <w:tl2br w:val="nil"/>
                    <w:tr2bl w:val="nil"/>
                  </w:tcBorders>
                  <w:noWrap w:val="0"/>
                  <w:vAlign w:val="center"/>
                </w:tcPr>
                <w:p w14:paraId="37E08AD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kern w:val="0"/>
                      <w:sz w:val="21"/>
                      <w:szCs w:val="21"/>
                      <w:u w:val="none"/>
                      <w:vertAlign w:val="baseline"/>
                      <w:lang w:val="en-US" w:eastAsia="zh-CN"/>
                    </w:rPr>
                  </w:pPr>
                  <w:r>
                    <w:rPr>
                      <w:rFonts w:hint="default" w:ascii="Times New Roman" w:hAnsi="Times New Roman" w:eastAsia="宋体" w:cs="Times New Roman"/>
                      <w:b w:val="0"/>
                      <w:bCs/>
                      <w:color w:val="auto"/>
                      <w:kern w:val="0"/>
                      <w:sz w:val="21"/>
                      <w:szCs w:val="21"/>
                      <w:u w:val="none"/>
                      <w:vertAlign w:val="baseline"/>
                      <w:lang w:val="en-US" w:eastAsia="zh-CN"/>
                    </w:rPr>
                    <w:t>颗粒物</w:t>
                  </w:r>
                </w:p>
              </w:tc>
              <w:tc>
                <w:tcPr>
                  <w:tcW w:w="539" w:type="pct"/>
                  <w:tcBorders>
                    <w:tl2br w:val="nil"/>
                    <w:tr2bl w:val="nil"/>
                  </w:tcBorders>
                  <w:noWrap w:val="0"/>
                  <w:vAlign w:val="center"/>
                </w:tcPr>
                <w:p w14:paraId="43848C5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120</w:t>
                  </w:r>
                </w:p>
              </w:tc>
              <w:tc>
                <w:tcPr>
                  <w:tcW w:w="500" w:type="pct"/>
                  <w:tcBorders>
                    <w:tl2br w:val="nil"/>
                    <w:tr2bl w:val="nil"/>
                  </w:tcBorders>
                  <w:noWrap w:val="0"/>
                  <w:vAlign w:val="center"/>
                </w:tcPr>
                <w:p w14:paraId="6146B7A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1.75</w:t>
                  </w:r>
                </w:p>
              </w:tc>
              <w:tc>
                <w:tcPr>
                  <w:tcW w:w="671" w:type="pct"/>
                  <w:tcBorders>
                    <w:tl2br w:val="nil"/>
                    <w:tr2bl w:val="nil"/>
                  </w:tcBorders>
                  <w:noWrap w:val="0"/>
                  <w:vAlign w:val="center"/>
                </w:tcPr>
                <w:p w14:paraId="457D314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排气筒出口</w:t>
                  </w:r>
                </w:p>
              </w:tc>
              <w:tc>
                <w:tcPr>
                  <w:tcW w:w="671" w:type="pct"/>
                  <w:vMerge w:val="restart"/>
                  <w:tcBorders>
                    <w:tl2br w:val="nil"/>
                    <w:tr2bl w:val="nil"/>
                  </w:tcBorders>
                  <w:noWrap w:val="0"/>
                  <w:vAlign w:val="center"/>
                </w:tcPr>
                <w:p w14:paraId="7EBCF86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（GB16297-1992）表2</w:t>
                  </w:r>
                </w:p>
              </w:tc>
              <w:tc>
                <w:tcPr>
                  <w:tcW w:w="671" w:type="pct"/>
                  <w:tcBorders>
                    <w:tl2br w:val="nil"/>
                    <w:tr2bl w:val="nil"/>
                  </w:tcBorders>
                  <w:noWrap w:val="0"/>
                  <w:vAlign w:val="center"/>
                </w:tcPr>
                <w:p w14:paraId="5A758B7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排放速率严格50%</w:t>
                  </w:r>
                </w:p>
              </w:tc>
            </w:tr>
            <w:tr w14:paraId="5BC4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9" w:type="pct"/>
                  <w:vMerge w:val="restart"/>
                  <w:tcBorders>
                    <w:tl2br w:val="nil"/>
                    <w:tr2bl w:val="nil"/>
                  </w:tcBorders>
                  <w:noWrap w:val="0"/>
                  <w:vAlign w:val="center"/>
                </w:tcPr>
                <w:p w14:paraId="73A2217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高频淬火、机加工</w:t>
                  </w:r>
                </w:p>
              </w:tc>
              <w:tc>
                <w:tcPr>
                  <w:tcW w:w="535" w:type="pct"/>
                  <w:vMerge w:val="restart"/>
                  <w:tcBorders>
                    <w:tl2br w:val="nil"/>
                    <w:tr2bl w:val="nil"/>
                  </w:tcBorders>
                  <w:noWrap w:val="0"/>
                  <w:vAlign w:val="center"/>
                </w:tcPr>
                <w:p w14:paraId="259502C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无组织</w:t>
                  </w:r>
                </w:p>
              </w:tc>
              <w:tc>
                <w:tcPr>
                  <w:tcW w:w="811" w:type="pct"/>
                  <w:tcBorders>
                    <w:tl2br w:val="nil"/>
                    <w:tr2bl w:val="nil"/>
                  </w:tcBorders>
                  <w:noWrap w:val="0"/>
                  <w:vAlign w:val="center"/>
                </w:tcPr>
                <w:p w14:paraId="2F4D5B8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颗粒物</w:t>
                  </w:r>
                </w:p>
              </w:tc>
              <w:tc>
                <w:tcPr>
                  <w:tcW w:w="539" w:type="pct"/>
                  <w:tcBorders>
                    <w:tl2br w:val="nil"/>
                    <w:tr2bl w:val="nil"/>
                  </w:tcBorders>
                  <w:noWrap w:val="0"/>
                  <w:vAlign w:val="center"/>
                </w:tcPr>
                <w:p w14:paraId="39C22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1.0</w:t>
                  </w:r>
                </w:p>
              </w:tc>
              <w:tc>
                <w:tcPr>
                  <w:tcW w:w="500" w:type="pct"/>
                  <w:tcBorders>
                    <w:tl2br w:val="nil"/>
                    <w:tr2bl w:val="nil"/>
                  </w:tcBorders>
                  <w:noWrap w:val="0"/>
                  <w:vAlign w:val="center"/>
                </w:tcPr>
                <w:p w14:paraId="1DFC985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w:t>
                  </w:r>
                </w:p>
              </w:tc>
              <w:tc>
                <w:tcPr>
                  <w:tcW w:w="671" w:type="pct"/>
                  <w:vMerge w:val="restart"/>
                  <w:tcBorders>
                    <w:tl2br w:val="nil"/>
                    <w:tr2bl w:val="nil"/>
                  </w:tcBorders>
                  <w:noWrap w:val="0"/>
                  <w:vAlign w:val="center"/>
                </w:tcPr>
                <w:p w14:paraId="0FCB14A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厂界</w:t>
                  </w:r>
                </w:p>
              </w:tc>
              <w:tc>
                <w:tcPr>
                  <w:tcW w:w="671" w:type="pct"/>
                  <w:vMerge w:val="continue"/>
                  <w:tcBorders>
                    <w:tl2br w:val="nil"/>
                    <w:tr2bl w:val="nil"/>
                  </w:tcBorders>
                  <w:noWrap w:val="0"/>
                  <w:vAlign w:val="center"/>
                </w:tcPr>
                <w:p w14:paraId="6CE1466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p>
              </w:tc>
              <w:tc>
                <w:tcPr>
                  <w:tcW w:w="671" w:type="pct"/>
                  <w:tcBorders>
                    <w:tl2br w:val="nil"/>
                    <w:tr2bl w:val="nil"/>
                  </w:tcBorders>
                  <w:noWrap w:val="0"/>
                  <w:vAlign w:val="center"/>
                </w:tcPr>
                <w:p w14:paraId="7EDA832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w:t>
                  </w:r>
                </w:p>
              </w:tc>
            </w:tr>
            <w:tr w14:paraId="085D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99" w:type="pct"/>
                  <w:vMerge w:val="continue"/>
                  <w:tcBorders>
                    <w:tl2br w:val="nil"/>
                    <w:tr2bl w:val="nil"/>
                  </w:tcBorders>
                  <w:noWrap w:val="0"/>
                  <w:vAlign w:val="center"/>
                </w:tcPr>
                <w:p w14:paraId="1600B1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p>
              </w:tc>
              <w:tc>
                <w:tcPr>
                  <w:tcW w:w="535" w:type="pct"/>
                  <w:vMerge w:val="continue"/>
                  <w:tcBorders>
                    <w:tl2br w:val="nil"/>
                    <w:tr2bl w:val="nil"/>
                  </w:tcBorders>
                  <w:noWrap w:val="0"/>
                  <w:vAlign w:val="center"/>
                </w:tcPr>
                <w:p w14:paraId="662BB34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p>
              </w:tc>
              <w:tc>
                <w:tcPr>
                  <w:tcW w:w="811" w:type="pct"/>
                  <w:tcBorders>
                    <w:tl2br w:val="nil"/>
                    <w:tr2bl w:val="nil"/>
                  </w:tcBorders>
                  <w:noWrap w:val="0"/>
                  <w:vAlign w:val="center"/>
                </w:tcPr>
                <w:p w14:paraId="10930B7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非甲烷总烃</w:t>
                  </w:r>
                </w:p>
              </w:tc>
              <w:tc>
                <w:tcPr>
                  <w:tcW w:w="539" w:type="pct"/>
                  <w:tcBorders>
                    <w:tl2br w:val="nil"/>
                    <w:tr2bl w:val="nil"/>
                  </w:tcBorders>
                  <w:noWrap w:val="0"/>
                  <w:vAlign w:val="center"/>
                </w:tcPr>
                <w:p w14:paraId="6AC0A48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4.0</w:t>
                  </w:r>
                </w:p>
              </w:tc>
              <w:tc>
                <w:tcPr>
                  <w:tcW w:w="500" w:type="pct"/>
                  <w:tcBorders>
                    <w:tl2br w:val="nil"/>
                    <w:tr2bl w:val="nil"/>
                  </w:tcBorders>
                  <w:noWrap w:val="0"/>
                  <w:vAlign w:val="center"/>
                </w:tcPr>
                <w:p w14:paraId="01831B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w:t>
                  </w:r>
                </w:p>
              </w:tc>
              <w:tc>
                <w:tcPr>
                  <w:tcW w:w="671" w:type="pct"/>
                  <w:vMerge w:val="continue"/>
                  <w:tcBorders>
                    <w:tl2br w:val="nil"/>
                    <w:tr2bl w:val="nil"/>
                  </w:tcBorders>
                  <w:noWrap w:val="0"/>
                  <w:vAlign w:val="center"/>
                </w:tcPr>
                <w:p w14:paraId="424F37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p>
              </w:tc>
              <w:tc>
                <w:tcPr>
                  <w:tcW w:w="671" w:type="pct"/>
                  <w:vMerge w:val="continue"/>
                  <w:tcBorders>
                    <w:tl2br w:val="nil"/>
                    <w:tr2bl w:val="nil"/>
                  </w:tcBorders>
                  <w:noWrap w:val="0"/>
                  <w:vAlign w:val="center"/>
                </w:tcPr>
                <w:p w14:paraId="1EDB2A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p>
              </w:tc>
              <w:tc>
                <w:tcPr>
                  <w:tcW w:w="671" w:type="pct"/>
                  <w:tcBorders>
                    <w:tl2br w:val="nil"/>
                    <w:tr2bl w:val="nil"/>
                  </w:tcBorders>
                  <w:noWrap w:val="0"/>
                  <w:vAlign w:val="center"/>
                </w:tcPr>
                <w:p w14:paraId="2A972DF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w:t>
                  </w:r>
                </w:p>
              </w:tc>
            </w:tr>
            <w:tr w14:paraId="25C5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99" w:type="pct"/>
                  <w:vMerge w:val="restart"/>
                  <w:tcBorders>
                    <w:tl2br w:val="nil"/>
                    <w:tr2bl w:val="nil"/>
                  </w:tcBorders>
                  <w:noWrap w:val="0"/>
                  <w:vAlign w:val="center"/>
                </w:tcPr>
                <w:p w14:paraId="7F428A0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高频淬火、机加工</w:t>
                  </w:r>
                </w:p>
              </w:tc>
              <w:tc>
                <w:tcPr>
                  <w:tcW w:w="535" w:type="pct"/>
                  <w:vMerge w:val="restart"/>
                  <w:tcBorders>
                    <w:tl2br w:val="nil"/>
                    <w:tr2bl w:val="nil"/>
                  </w:tcBorders>
                  <w:noWrap w:val="0"/>
                  <w:vAlign w:val="center"/>
                </w:tcPr>
                <w:p w14:paraId="41572E0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无组织</w:t>
                  </w:r>
                </w:p>
              </w:tc>
              <w:tc>
                <w:tcPr>
                  <w:tcW w:w="811" w:type="pct"/>
                  <w:vMerge w:val="restart"/>
                  <w:tcBorders>
                    <w:tl2br w:val="nil"/>
                    <w:tr2bl w:val="nil"/>
                  </w:tcBorders>
                  <w:noWrap w:val="0"/>
                  <w:vAlign w:val="center"/>
                </w:tcPr>
                <w:p w14:paraId="1D33AC1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非甲烷总烃</w:t>
                  </w:r>
                </w:p>
              </w:tc>
              <w:tc>
                <w:tcPr>
                  <w:tcW w:w="539" w:type="pct"/>
                  <w:tcBorders>
                    <w:tl2br w:val="nil"/>
                    <w:tr2bl w:val="nil"/>
                  </w:tcBorders>
                  <w:noWrap w:val="0"/>
                  <w:vAlign w:val="center"/>
                </w:tcPr>
                <w:p w14:paraId="587AE40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10.0</w:t>
                  </w:r>
                </w:p>
              </w:tc>
              <w:tc>
                <w:tcPr>
                  <w:tcW w:w="500" w:type="pct"/>
                  <w:tcBorders>
                    <w:tl2br w:val="nil"/>
                    <w:tr2bl w:val="nil"/>
                  </w:tcBorders>
                  <w:noWrap w:val="0"/>
                  <w:vAlign w:val="center"/>
                </w:tcPr>
                <w:p w14:paraId="5AB10DE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w:t>
                  </w:r>
                </w:p>
              </w:tc>
              <w:tc>
                <w:tcPr>
                  <w:tcW w:w="671" w:type="pct"/>
                  <w:vMerge w:val="restart"/>
                  <w:tcBorders>
                    <w:tl2br w:val="nil"/>
                    <w:tr2bl w:val="nil"/>
                  </w:tcBorders>
                  <w:noWrap w:val="0"/>
                  <w:vAlign w:val="center"/>
                </w:tcPr>
                <w:p w14:paraId="30B8FD8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厂房外</w:t>
                  </w:r>
                </w:p>
              </w:tc>
              <w:tc>
                <w:tcPr>
                  <w:tcW w:w="671" w:type="pct"/>
                  <w:vMerge w:val="restart"/>
                  <w:tcBorders>
                    <w:tl2br w:val="nil"/>
                    <w:tr2bl w:val="nil"/>
                  </w:tcBorders>
                  <w:noWrap w:val="0"/>
                  <w:vAlign w:val="center"/>
                </w:tcPr>
                <w:p w14:paraId="35CE1C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（GB37822-2019）附录表A.1</w:t>
                  </w:r>
                </w:p>
              </w:tc>
              <w:tc>
                <w:tcPr>
                  <w:tcW w:w="671" w:type="pct"/>
                  <w:tcBorders>
                    <w:tl2br w:val="nil"/>
                    <w:tr2bl w:val="nil"/>
                  </w:tcBorders>
                  <w:noWrap w:val="0"/>
                  <w:vAlign w:val="center"/>
                </w:tcPr>
                <w:p w14:paraId="7315890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监控点处1h平均值</w:t>
                  </w:r>
                </w:p>
              </w:tc>
            </w:tr>
            <w:tr w14:paraId="0E02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99" w:type="pct"/>
                  <w:vMerge w:val="continue"/>
                  <w:tcBorders>
                    <w:tl2br w:val="nil"/>
                    <w:tr2bl w:val="nil"/>
                  </w:tcBorders>
                  <w:noWrap w:val="0"/>
                  <w:vAlign w:val="center"/>
                </w:tcPr>
                <w:p w14:paraId="4E230F3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p>
              </w:tc>
              <w:tc>
                <w:tcPr>
                  <w:tcW w:w="535" w:type="pct"/>
                  <w:vMerge w:val="continue"/>
                  <w:tcBorders>
                    <w:tl2br w:val="nil"/>
                    <w:tr2bl w:val="nil"/>
                  </w:tcBorders>
                  <w:noWrap w:val="0"/>
                  <w:vAlign w:val="center"/>
                </w:tcPr>
                <w:p w14:paraId="7C2EEBA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p>
              </w:tc>
              <w:tc>
                <w:tcPr>
                  <w:tcW w:w="811" w:type="pct"/>
                  <w:vMerge w:val="continue"/>
                  <w:tcBorders>
                    <w:tl2br w:val="nil"/>
                    <w:tr2bl w:val="nil"/>
                  </w:tcBorders>
                  <w:noWrap w:val="0"/>
                  <w:vAlign w:val="center"/>
                </w:tcPr>
                <w:p w14:paraId="5D2B891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p>
              </w:tc>
              <w:tc>
                <w:tcPr>
                  <w:tcW w:w="539" w:type="pct"/>
                  <w:tcBorders>
                    <w:tl2br w:val="nil"/>
                    <w:tr2bl w:val="nil"/>
                  </w:tcBorders>
                  <w:noWrap w:val="0"/>
                  <w:vAlign w:val="center"/>
                </w:tcPr>
                <w:p w14:paraId="20C282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30.0</w:t>
                  </w:r>
                </w:p>
              </w:tc>
              <w:tc>
                <w:tcPr>
                  <w:tcW w:w="500" w:type="pct"/>
                  <w:tcBorders>
                    <w:tl2br w:val="nil"/>
                    <w:tr2bl w:val="nil"/>
                  </w:tcBorders>
                  <w:noWrap w:val="0"/>
                  <w:vAlign w:val="center"/>
                </w:tcPr>
                <w:p w14:paraId="1D32CD7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w:t>
                  </w:r>
                </w:p>
              </w:tc>
              <w:tc>
                <w:tcPr>
                  <w:tcW w:w="671" w:type="pct"/>
                  <w:vMerge w:val="continue"/>
                  <w:tcBorders>
                    <w:tl2br w:val="nil"/>
                    <w:tr2bl w:val="nil"/>
                  </w:tcBorders>
                  <w:noWrap w:val="0"/>
                  <w:vAlign w:val="center"/>
                </w:tcPr>
                <w:p w14:paraId="2118C5B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p>
              </w:tc>
              <w:tc>
                <w:tcPr>
                  <w:tcW w:w="671" w:type="pct"/>
                  <w:vMerge w:val="continue"/>
                  <w:tcBorders>
                    <w:tl2br w:val="nil"/>
                    <w:tr2bl w:val="nil"/>
                  </w:tcBorders>
                  <w:noWrap w:val="0"/>
                  <w:vAlign w:val="center"/>
                </w:tcPr>
                <w:p w14:paraId="0DD9E9E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p>
              </w:tc>
              <w:tc>
                <w:tcPr>
                  <w:tcW w:w="671" w:type="pct"/>
                  <w:tcBorders>
                    <w:tl2br w:val="nil"/>
                    <w:tr2bl w:val="nil"/>
                  </w:tcBorders>
                  <w:noWrap w:val="0"/>
                  <w:vAlign w:val="center"/>
                </w:tcPr>
                <w:p w14:paraId="15BA412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监控点处任意一次</w:t>
                  </w:r>
                </w:p>
              </w:tc>
            </w:tr>
            <w:tr w14:paraId="6CB3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99" w:type="pct"/>
                  <w:tcBorders>
                    <w:tl2br w:val="nil"/>
                    <w:tr2bl w:val="nil"/>
                  </w:tcBorders>
                  <w:noWrap w:val="0"/>
                  <w:vAlign w:val="center"/>
                </w:tcPr>
                <w:p w14:paraId="1C1C500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食堂</w:t>
                  </w:r>
                </w:p>
              </w:tc>
              <w:tc>
                <w:tcPr>
                  <w:tcW w:w="535" w:type="pct"/>
                  <w:tcBorders>
                    <w:tl2br w:val="nil"/>
                    <w:tr2bl w:val="nil"/>
                  </w:tcBorders>
                  <w:noWrap w:val="0"/>
                  <w:vAlign w:val="center"/>
                </w:tcPr>
                <w:p w14:paraId="433928B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有组织</w:t>
                  </w:r>
                </w:p>
              </w:tc>
              <w:tc>
                <w:tcPr>
                  <w:tcW w:w="811" w:type="pct"/>
                  <w:tcBorders>
                    <w:tl2br w:val="nil"/>
                    <w:tr2bl w:val="nil"/>
                  </w:tcBorders>
                  <w:noWrap w:val="0"/>
                  <w:vAlign w:val="center"/>
                </w:tcPr>
                <w:p w14:paraId="0B553C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油烟</w:t>
                  </w:r>
                </w:p>
              </w:tc>
              <w:tc>
                <w:tcPr>
                  <w:tcW w:w="539" w:type="pct"/>
                  <w:tcBorders>
                    <w:tl2br w:val="nil"/>
                    <w:tr2bl w:val="nil"/>
                  </w:tcBorders>
                  <w:noWrap w:val="0"/>
                  <w:vAlign w:val="center"/>
                </w:tcPr>
                <w:p w14:paraId="4D8E950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2.0</w:t>
                  </w:r>
                </w:p>
              </w:tc>
              <w:tc>
                <w:tcPr>
                  <w:tcW w:w="500" w:type="pct"/>
                  <w:tcBorders>
                    <w:tl2br w:val="nil"/>
                    <w:tr2bl w:val="nil"/>
                  </w:tcBorders>
                  <w:noWrap w:val="0"/>
                  <w:vAlign w:val="center"/>
                </w:tcPr>
                <w:p w14:paraId="08794EF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w:t>
                  </w:r>
                </w:p>
              </w:tc>
              <w:tc>
                <w:tcPr>
                  <w:tcW w:w="671" w:type="pct"/>
                  <w:tcBorders>
                    <w:tl2br w:val="nil"/>
                    <w:tr2bl w:val="nil"/>
                  </w:tcBorders>
                  <w:noWrap w:val="0"/>
                  <w:vAlign w:val="center"/>
                </w:tcPr>
                <w:p w14:paraId="4FFE634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排气筒出口</w:t>
                  </w:r>
                </w:p>
              </w:tc>
              <w:tc>
                <w:tcPr>
                  <w:tcW w:w="671" w:type="pct"/>
                  <w:tcBorders>
                    <w:tl2br w:val="nil"/>
                    <w:tr2bl w:val="nil"/>
                  </w:tcBorders>
                  <w:noWrap w:val="0"/>
                  <w:vAlign w:val="center"/>
                </w:tcPr>
                <w:p w14:paraId="2F8CC50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cs="Times New Roman"/>
                      <w:b w:val="0"/>
                      <w:bCs/>
                      <w:color w:val="auto"/>
                      <w:kern w:val="0"/>
                      <w:sz w:val="21"/>
                      <w:szCs w:val="21"/>
                      <w:u w:val="none"/>
                      <w:vertAlign w:val="baseline"/>
                      <w:lang w:val="en-US" w:eastAsia="zh-CN"/>
                    </w:rPr>
                  </w:pPr>
                  <w:r>
                    <w:rPr>
                      <w:rFonts w:hint="eastAsia" w:ascii="Times New Roman" w:hAnsi="Times New Roman" w:eastAsia="宋体" w:cs="Times New Roman"/>
                      <w:b w:val="0"/>
                      <w:bCs/>
                      <w:color w:val="auto"/>
                      <w:kern w:val="0"/>
                      <w:sz w:val="21"/>
                      <w:szCs w:val="21"/>
                      <w:u w:val="none"/>
                      <w:vertAlign w:val="baseline"/>
                      <w:lang w:val="en-US" w:eastAsia="zh-CN"/>
                    </w:rPr>
                    <w:t>（GB18483-2001）排放标准</w:t>
                  </w:r>
                </w:p>
              </w:tc>
              <w:tc>
                <w:tcPr>
                  <w:tcW w:w="671" w:type="pct"/>
                  <w:tcBorders>
                    <w:tl2br w:val="nil"/>
                    <w:tr2bl w:val="nil"/>
                  </w:tcBorders>
                  <w:noWrap w:val="0"/>
                  <w:vAlign w:val="center"/>
                </w:tcPr>
                <w:p w14:paraId="00FE783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cs="Times New Roman"/>
                      <w:b w:val="0"/>
                      <w:bCs/>
                      <w:color w:val="auto"/>
                      <w:kern w:val="0"/>
                      <w:sz w:val="21"/>
                      <w:szCs w:val="21"/>
                      <w:u w:val="none"/>
                      <w:vertAlign w:val="baseline"/>
                      <w:lang w:val="en-US" w:eastAsia="zh-CN"/>
                    </w:rPr>
                  </w:pPr>
                  <w:r>
                    <w:rPr>
                      <w:rFonts w:hint="eastAsia" w:cs="Times New Roman"/>
                      <w:b w:val="0"/>
                      <w:bCs/>
                      <w:color w:val="auto"/>
                      <w:kern w:val="0"/>
                      <w:sz w:val="21"/>
                      <w:szCs w:val="21"/>
                      <w:u w:val="none"/>
                      <w:vertAlign w:val="baseline"/>
                      <w:lang w:val="en-US" w:eastAsia="zh-CN"/>
                    </w:rPr>
                    <w:t>/</w:t>
                  </w:r>
                </w:p>
              </w:tc>
            </w:tr>
          </w:tbl>
          <w:p w14:paraId="79942DF1">
            <w:pPr>
              <w:keepNext w:val="0"/>
              <w:keepLines w:val="0"/>
              <w:suppressLineNumbers w:val="0"/>
              <w:adjustRightInd w:val="0"/>
              <w:spacing w:before="120" w:beforeLines="50" w:beforeAutospacing="0" w:after="0" w:afterAutospacing="0" w:line="360" w:lineRule="auto"/>
              <w:ind w:left="0" w:right="0"/>
              <w:rPr>
                <w:rFonts w:hint="default" w:ascii="Times New Roman" w:hAnsi="Times New Roman" w:cs="Times New Roman"/>
                <w:color w:val="auto"/>
                <w:kern w:val="0"/>
                <w:sz w:val="24"/>
                <w:szCs w:val="24"/>
                <w:highlight w:val="none"/>
              </w:rPr>
            </w:pPr>
            <w:r>
              <w:rPr>
                <w:rFonts w:hint="default" w:ascii="Times New Roman" w:hAnsi="Times New Roman" w:cs="Times New Roman"/>
                <w:b/>
                <w:bCs/>
                <w:color w:val="auto"/>
                <w:kern w:val="0"/>
                <w:sz w:val="24"/>
                <w:szCs w:val="24"/>
                <w:highlight w:val="none"/>
              </w:rPr>
              <w:t>2、水污染物排放标准</w:t>
            </w:r>
          </w:p>
          <w:p w14:paraId="58DE85F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snapToGrid w:val="0"/>
                <w:color w:val="000000" w:themeColor="text1"/>
                <w:kern w:val="0"/>
                <w:sz w:val="24"/>
                <w:szCs w:val="24"/>
                <w:highlight w:val="none"/>
                <w:u w:val="none"/>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4"/>
                <w:szCs w:val="24"/>
                <w:highlight w:val="none"/>
                <w:u w:val="none"/>
                <w:lang w:val="en-US" w:eastAsia="zh-CN"/>
                <w14:textFill>
                  <w14:solidFill>
                    <w14:schemeClr w14:val="tx1"/>
                  </w14:solidFill>
                </w14:textFill>
              </w:rPr>
              <w:t>项目</w:t>
            </w:r>
            <w:r>
              <w:rPr>
                <w:rFonts w:hint="eastAsia" w:cs="Times New Roman"/>
                <w:snapToGrid w:val="0"/>
                <w:color w:val="000000" w:themeColor="text1"/>
                <w:kern w:val="0"/>
                <w:sz w:val="24"/>
                <w:szCs w:val="24"/>
                <w:highlight w:val="none"/>
                <w:u w:val="none"/>
                <w:lang w:val="en-US" w:eastAsia="zh-CN"/>
                <w14:textFill>
                  <w14:solidFill>
                    <w14:schemeClr w14:val="tx1"/>
                  </w14:solidFill>
                </w14:textFill>
              </w:rPr>
              <w:t>生活</w:t>
            </w:r>
            <w:r>
              <w:rPr>
                <w:rFonts w:hint="eastAsia" w:ascii="Times New Roman" w:hAnsi="Times New Roman" w:cs="Times New Roman"/>
                <w:snapToGrid w:val="0"/>
                <w:color w:val="000000" w:themeColor="text1"/>
                <w:kern w:val="0"/>
                <w:sz w:val="24"/>
                <w:szCs w:val="24"/>
                <w:highlight w:val="none"/>
                <w:u w:val="none"/>
                <w:lang w:val="en-US" w:eastAsia="zh-CN"/>
                <w14:textFill>
                  <w14:solidFill>
                    <w14:schemeClr w14:val="tx1"/>
                  </w14:solidFill>
                </w14:textFill>
              </w:rPr>
              <w:t>污水经处理达到《污水综合排放标准》（GB8978-1996）三级标准</w:t>
            </w:r>
            <w:r>
              <w:rPr>
                <w:rFonts w:hint="eastAsia" w:cs="Times New Roman"/>
                <w:snapToGrid w:val="0"/>
                <w:color w:val="000000" w:themeColor="text1"/>
                <w:kern w:val="0"/>
                <w:sz w:val="24"/>
                <w:szCs w:val="24"/>
                <w:highlight w:val="none"/>
                <w:u w:val="none"/>
                <w:lang w:val="en-US" w:eastAsia="zh-CN"/>
                <w14:textFill>
                  <w14:solidFill>
                    <w14:schemeClr w14:val="tx1"/>
                  </w14:solidFill>
                </w14:textFill>
              </w:rPr>
              <w:t>和湘阴县第二污水处理厂进水水质标准（标准来源参考《湘阴县第二污水处理厂提标改造工程环境影响报告表》）</w:t>
            </w:r>
            <w:r>
              <w:rPr>
                <w:rFonts w:hint="eastAsia" w:ascii="Times New Roman" w:hAnsi="Times New Roman" w:cs="Times New Roman"/>
                <w:snapToGrid w:val="0"/>
                <w:color w:val="000000" w:themeColor="text1"/>
                <w:kern w:val="0"/>
                <w:sz w:val="24"/>
                <w:szCs w:val="24"/>
                <w:highlight w:val="none"/>
                <w:u w:val="none"/>
                <w:lang w:val="en-US" w:eastAsia="zh-CN"/>
                <w14:textFill>
                  <w14:solidFill>
                    <w14:schemeClr w14:val="tx1"/>
                  </w14:solidFill>
                </w14:textFill>
              </w:rPr>
              <w:t>后，排入</w:t>
            </w:r>
            <w:r>
              <w:rPr>
                <w:rFonts w:hint="eastAsia" w:cs="Times New Roman"/>
                <w:snapToGrid w:val="0"/>
                <w:color w:val="000000" w:themeColor="text1"/>
                <w:kern w:val="0"/>
                <w:sz w:val="24"/>
                <w:szCs w:val="24"/>
                <w:highlight w:val="none"/>
                <w:u w:val="none"/>
                <w:lang w:val="en-US" w:eastAsia="zh-CN"/>
                <w14:textFill>
                  <w14:solidFill>
                    <w14:schemeClr w14:val="tx1"/>
                  </w14:solidFill>
                </w14:textFill>
              </w:rPr>
              <w:t>湘阴县第二污水处理厂</w:t>
            </w:r>
            <w:r>
              <w:rPr>
                <w:rFonts w:hint="eastAsia" w:ascii="Times New Roman" w:hAnsi="Times New Roman" w:cs="Times New Roman"/>
                <w:snapToGrid w:val="0"/>
                <w:color w:val="000000" w:themeColor="text1"/>
                <w:kern w:val="0"/>
                <w:sz w:val="24"/>
                <w:szCs w:val="24"/>
                <w:highlight w:val="none"/>
                <w:u w:val="none"/>
                <w:lang w:val="en-US" w:eastAsia="zh-CN"/>
                <w14:textFill>
                  <w14:solidFill>
                    <w14:schemeClr w14:val="tx1"/>
                  </w14:solidFill>
                </w14:textFill>
              </w:rPr>
              <w:t>处理，处理标准后排入洋沙河至洋沙湖，最终受纳水体为湘江。</w:t>
            </w:r>
          </w:p>
          <w:p w14:paraId="7B662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color w:val="000000" w:themeColor="text1"/>
                <w:kern w:val="0"/>
                <w:sz w:val="21"/>
                <w:szCs w:val="21"/>
                <w:u w:val="none"/>
                <w14:textFill>
                  <w14:solidFill>
                    <w14:schemeClr w14:val="tx1"/>
                  </w14:solidFill>
                </w14:textFill>
              </w:rPr>
            </w:pPr>
            <w:r>
              <w:rPr>
                <w:rFonts w:hint="default" w:ascii="Times New Roman" w:hAnsi="Times New Roman" w:eastAsia="宋体" w:cs="Times New Roman"/>
                <w:b/>
                <w:color w:val="000000" w:themeColor="text1"/>
                <w:kern w:val="0"/>
                <w:sz w:val="21"/>
                <w:szCs w:val="21"/>
                <w:u w:val="none"/>
                <w14:textFill>
                  <w14:solidFill>
                    <w14:schemeClr w14:val="tx1"/>
                  </w14:solidFill>
                </w14:textFill>
              </w:rPr>
              <w:t>表</w:t>
            </w:r>
            <w:r>
              <w:rPr>
                <w:rFonts w:hint="eastAsia" w:ascii="Times New Roman" w:hAnsi="Times New Roman" w:eastAsia="宋体" w:cs="Times New Roman"/>
                <w:b/>
                <w:color w:val="000000" w:themeColor="text1"/>
                <w:kern w:val="0"/>
                <w:sz w:val="21"/>
                <w:szCs w:val="21"/>
                <w:u w:val="none"/>
                <w:lang w:val="en-US" w:eastAsia="zh-CN"/>
                <w14:textFill>
                  <w14:solidFill>
                    <w14:schemeClr w14:val="tx1"/>
                  </w14:solidFill>
                </w14:textFill>
              </w:rPr>
              <w:t>3-</w:t>
            </w:r>
            <w:r>
              <w:rPr>
                <w:rFonts w:hint="eastAsia" w:cs="Times New Roman"/>
                <w:b/>
                <w:color w:val="000000" w:themeColor="text1"/>
                <w:kern w:val="0"/>
                <w:sz w:val="21"/>
                <w:szCs w:val="21"/>
                <w:u w:val="none"/>
                <w:lang w:val="en-US" w:eastAsia="zh-CN"/>
                <w14:textFill>
                  <w14:solidFill>
                    <w14:schemeClr w14:val="tx1"/>
                  </w14:solidFill>
                </w14:textFill>
              </w:rPr>
              <w:t xml:space="preserve">7 </w:t>
            </w:r>
            <w:r>
              <w:rPr>
                <w:rFonts w:hint="default" w:ascii="Times New Roman" w:hAnsi="Times New Roman" w:eastAsia="宋体" w:cs="Times New Roman"/>
                <w:b/>
                <w:color w:val="000000" w:themeColor="text1"/>
                <w:kern w:val="0"/>
                <w:sz w:val="21"/>
                <w:szCs w:val="21"/>
                <w:u w:val="none"/>
                <w14:textFill>
                  <w14:solidFill>
                    <w14:schemeClr w14:val="tx1"/>
                  </w14:solidFill>
                </w14:textFill>
              </w:rPr>
              <w:t xml:space="preserve">  污水综合排放标准    单位：mg/L（pH除外）</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755"/>
              <w:gridCol w:w="745"/>
              <w:gridCol w:w="932"/>
              <w:gridCol w:w="937"/>
              <w:gridCol w:w="937"/>
              <w:gridCol w:w="937"/>
              <w:gridCol w:w="937"/>
            </w:tblGrid>
            <w:tr w14:paraId="694A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0" w:type="pct"/>
                  <w:tcBorders>
                    <w:tl2br w:val="nil"/>
                    <w:tr2bl w:val="nil"/>
                  </w:tcBorders>
                  <w:noWrap w:val="0"/>
                  <w:vAlign w:val="center"/>
                </w:tcPr>
                <w:p w14:paraId="5F2FBE0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水质因子</w:t>
                  </w:r>
                </w:p>
              </w:tc>
              <w:tc>
                <w:tcPr>
                  <w:tcW w:w="465" w:type="pct"/>
                  <w:tcBorders>
                    <w:tl2br w:val="nil"/>
                    <w:tr2bl w:val="nil"/>
                  </w:tcBorders>
                  <w:noWrap w:val="0"/>
                  <w:vAlign w:val="center"/>
                </w:tcPr>
                <w:p w14:paraId="2D5110F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pH</w:t>
                  </w:r>
                </w:p>
              </w:tc>
              <w:tc>
                <w:tcPr>
                  <w:tcW w:w="459" w:type="pct"/>
                  <w:tcBorders>
                    <w:tl2br w:val="nil"/>
                    <w:tr2bl w:val="nil"/>
                  </w:tcBorders>
                  <w:noWrap w:val="0"/>
                  <w:vAlign w:val="center"/>
                </w:tcPr>
                <w:p w14:paraId="33BE901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COD</w:t>
                  </w:r>
                </w:p>
              </w:tc>
              <w:tc>
                <w:tcPr>
                  <w:tcW w:w="574" w:type="pct"/>
                  <w:tcBorders>
                    <w:tl2br w:val="nil"/>
                    <w:tr2bl w:val="nil"/>
                  </w:tcBorders>
                  <w:noWrap w:val="0"/>
                  <w:vAlign w:val="center"/>
                </w:tcPr>
                <w:p w14:paraId="7B847E6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SS</w:t>
                  </w:r>
                </w:p>
              </w:tc>
              <w:tc>
                <w:tcPr>
                  <w:tcW w:w="577" w:type="pct"/>
                  <w:tcBorders>
                    <w:tl2br w:val="nil"/>
                    <w:tr2bl w:val="nil"/>
                  </w:tcBorders>
                  <w:noWrap w:val="0"/>
                  <w:vAlign w:val="center"/>
                </w:tcPr>
                <w:p w14:paraId="3EA35FE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BOD</w:t>
                  </w:r>
                  <w:r>
                    <w:rPr>
                      <w:rFonts w:hint="default" w:ascii="Times New Roman" w:hAnsi="Times New Roman" w:cs="Times New Roman"/>
                      <w:color w:val="000000" w:themeColor="text1"/>
                      <w:szCs w:val="21"/>
                      <w:u w:val="none"/>
                      <w:vertAlign w:val="subscript"/>
                      <w14:textFill>
                        <w14:solidFill>
                          <w14:schemeClr w14:val="tx1"/>
                        </w14:solidFill>
                      </w14:textFill>
                    </w:rPr>
                    <w:t>5</w:t>
                  </w:r>
                </w:p>
              </w:tc>
              <w:tc>
                <w:tcPr>
                  <w:tcW w:w="577" w:type="pct"/>
                  <w:tcBorders>
                    <w:tl2br w:val="nil"/>
                    <w:tr2bl w:val="nil"/>
                  </w:tcBorders>
                  <w:noWrap w:val="0"/>
                  <w:vAlign w:val="center"/>
                </w:tcPr>
                <w:p w14:paraId="357D0DC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NH</w:t>
                  </w:r>
                  <w:r>
                    <w:rPr>
                      <w:rFonts w:hint="eastAsia" w:ascii="Times New Roman" w:hAnsi="Times New Roman" w:eastAsia="宋体" w:cs="Times New Roman"/>
                      <w:color w:val="000000" w:themeColor="text1"/>
                      <w:sz w:val="21"/>
                      <w:szCs w:val="21"/>
                      <w:vertAlign w:val="sub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-N</w:t>
                  </w:r>
                </w:p>
              </w:tc>
              <w:tc>
                <w:tcPr>
                  <w:tcW w:w="577" w:type="pct"/>
                  <w:tcBorders>
                    <w:tl2br w:val="nil"/>
                    <w:tr2bl w:val="nil"/>
                  </w:tcBorders>
                  <w:noWrap w:val="0"/>
                  <w:vAlign w:val="center"/>
                </w:tcPr>
                <w:p w14:paraId="7D455A7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TN</w:t>
                  </w:r>
                </w:p>
              </w:tc>
              <w:tc>
                <w:tcPr>
                  <w:tcW w:w="577" w:type="pct"/>
                  <w:tcBorders>
                    <w:tl2br w:val="nil"/>
                    <w:tr2bl w:val="nil"/>
                  </w:tcBorders>
                  <w:noWrap w:val="0"/>
                  <w:vAlign w:val="center"/>
                </w:tcPr>
                <w:p w14:paraId="2661170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TP</w:t>
                  </w:r>
                </w:p>
              </w:tc>
            </w:tr>
            <w:tr w14:paraId="3CBC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0" w:type="pct"/>
                  <w:tcBorders>
                    <w:tl2br w:val="nil"/>
                    <w:tr2bl w:val="nil"/>
                  </w:tcBorders>
                  <w:noWrap w:val="0"/>
                  <w:vAlign w:val="center"/>
                </w:tcPr>
                <w:p w14:paraId="0E25F517">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Cs w:val="21"/>
                      <w:u w:val="none"/>
                      <w14:textFill>
                        <w14:solidFill>
                          <w14:schemeClr w14:val="tx1"/>
                        </w14:solidFill>
                      </w14:textFill>
                    </w:rPr>
                  </w:pPr>
                  <w:r>
                    <w:rPr>
                      <w:rFonts w:hint="eastAsia" w:ascii="Times New Roman" w:hAnsi="Times New Roman" w:cs="Times New Roman"/>
                      <w:color w:val="000000" w:themeColor="text1"/>
                      <w:szCs w:val="21"/>
                      <w:u w:val="none"/>
                      <w14:textFill>
                        <w14:solidFill>
                          <w14:schemeClr w14:val="tx1"/>
                        </w14:solidFill>
                      </w14:textFill>
                    </w:rPr>
                    <w:t>GB8978-1996</w:t>
                  </w:r>
                </w:p>
                <w:p w14:paraId="304159C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（三级）</w:t>
                  </w:r>
                </w:p>
              </w:tc>
              <w:tc>
                <w:tcPr>
                  <w:tcW w:w="465" w:type="pct"/>
                  <w:tcBorders>
                    <w:tl2br w:val="nil"/>
                    <w:tr2bl w:val="nil"/>
                  </w:tcBorders>
                  <w:noWrap w:val="0"/>
                  <w:vAlign w:val="center"/>
                </w:tcPr>
                <w:p w14:paraId="321A250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6-9</w:t>
                  </w:r>
                </w:p>
              </w:tc>
              <w:tc>
                <w:tcPr>
                  <w:tcW w:w="459" w:type="pct"/>
                  <w:tcBorders>
                    <w:tl2br w:val="nil"/>
                    <w:tr2bl w:val="nil"/>
                  </w:tcBorders>
                  <w:noWrap w:val="0"/>
                  <w:vAlign w:val="center"/>
                </w:tcPr>
                <w:p w14:paraId="5510AF6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≤500</w:t>
                  </w:r>
                </w:p>
              </w:tc>
              <w:tc>
                <w:tcPr>
                  <w:tcW w:w="574" w:type="pct"/>
                  <w:tcBorders>
                    <w:tl2br w:val="nil"/>
                    <w:tr2bl w:val="nil"/>
                  </w:tcBorders>
                  <w:noWrap w:val="0"/>
                  <w:vAlign w:val="center"/>
                </w:tcPr>
                <w:p w14:paraId="39DD2A5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≤400</w:t>
                  </w:r>
                </w:p>
              </w:tc>
              <w:tc>
                <w:tcPr>
                  <w:tcW w:w="577" w:type="pct"/>
                  <w:tcBorders>
                    <w:tl2br w:val="nil"/>
                    <w:tr2bl w:val="nil"/>
                  </w:tcBorders>
                  <w:noWrap w:val="0"/>
                  <w:vAlign w:val="center"/>
                </w:tcPr>
                <w:p w14:paraId="757B1FC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≤3</w:t>
                  </w:r>
                  <w:r>
                    <w:rPr>
                      <w:rFonts w:hint="eastAsia" w:cs="Times New Roman"/>
                      <w:color w:val="000000" w:themeColor="text1"/>
                      <w:szCs w:val="21"/>
                      <w:u w:val="none"/>
                      <w:lang w:val="en-US" w:eastAsia="zh-CN"/>
                      <w14:textFill>
                        <w14:solidFill>
                          <w14:schemeClr w14:val="tx1"/>
                        </w14:solidFill>
                      </w14:textFill>
                    </w:rPr>
                    <w:t>0</w:t>
                  </w:r>
                  <w:r>
                    <w:rPr>
                      <w:rFonts w:hint="default" w:ascii="Times New Roman" w:hAnsi="Times New Roman" w:cs="Times New Roman"/>
                      <w:color w:val="000000" w:themeColor="text1"/>
                      <w:szCs w:val="21"/>
                      <w:u w:val="none"/>
                      <w14:textFill>
                        <w14:solidFill>
                          <w14:schemeClr w14:val="tx1"/>
                        </w14:solidFill>
                      </w14:textFill>
                    </w:rPr>
                    <w:t>0</w:t>
                  </w:r>
                </w:p>
              </w:tc>
              <w:tc>
                <w:tcPr>
                  <w:tcW w:w="577" w:type="pct"/>
                  <w:tcBorders>
                    <w:tl2br w:val="nil"/>
                    <w:tr2bl w:val="nil"/>
                  </w:tcBorders>
                  <w:noWrap w:val="0"/>
                  <w:vAlign w:val="center"/>
                </w:tcPr>
                <w:p w14:paraId="1AFC9A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eastAsia" w:cs="Times New Roman"/>
                      <w:color w:val="000000" w:themeColor="text1"/>
                      <w:szCs w:val="21"/>
                      <w:u w:val="none"/>
                      <w:lang w:val="en-US" w:eastAsia="zh-CN"/>
                      <w14:textFill>
                        <w14:solidFill>
                          <w14:schemeClr w14:val="tx1"/>
                        </w14:solidFill>
                      </w14:textFill>
                    </w:rPr>
                    <w:t>/</w:t>
                  </w:r>
                </w:p>
              </w:tc>
              <w:tc>
                <w:tcPr>
                  <w:tcW w:w="577" w:type="pct"/>
                  <w:tcBorders>
                    <w:tl2br w:val="nil"/>
                    <w:tr2bl w:val="nil"/>
                  </w:tcBorders>
                  <w:noWrap w:val="0"/>
                  <w:vAlign w:val="center"/>
                </w:tcPr>
                <w:p w14:paraId="739A9E5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lang w:val="en-US" w:eastAsia="zh-CN"/>
                      <w14:textFill>
                        <w14:solidFill>
                          <w14:schemeClr w14:val="tx1"/>
                        </w14:solidFill>
                      </w14:textFill>
                    </w:rPr>
                  </w:pPr>
                  <w:r>
                    <w:rPr>
                      <w:rFonts w:hint="eastAsia" w:cs="Times New Roman"/>
                      <w:color w:val="000000" w:themeColor="text1"/>
                      <w:szCs w:val="21"/>
                      <w:u w:val="none"/>
                      <w:lang w:val="en-US" w:eastAsia="zh-CN"/>
                      <w14:textFill>
                        <w14:solidFill>
                          <w14:schemeClr w14:val="tx1"/>
                        </w14:solidFill>
                      </w14:textFill>
                    </w:rPr>
                    <w:t>/</w:t>
                  </w:r>
                </w:p>
              </w:tc>
              <w:tc>
                <w:tcPr>
                  <w:tcW w:w="577" w:type="pct"/>
                  <w:tcBorders>
                    <w:tl2br w:val="nil"/>
                    <w:tr2bl w:val="nil"/>
                  </w:tcBorders>
                  <w:noWrap w:val="0"/>
                  <w:vAlign w:val="center"/>
                </w:tcPr>
                <w:p w14:paraId="2B19E4B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lang w:val="en-US" w:eastAsia="zh-CN"/>
                      <w14:textFill>
                        <w14:solidFill>
                          <w14:schemeClr w14:val="tx1"/>
                        </w14:solidFill>
                      </w14:textFill>
                    </w:rPr>
                  </w:pPr>
                  <w:r>
                    <w:rPr>
                      <w:rFonts w:hint="eastAsia" w:cs="Times New Roman"/>
                      <w:color w:val="000000" w:themeColor="text1"/>
                      <w:szCs w:val="21"/>
                      <w:u w:val="none"/>
                      <w:lang w:val="en-US" w:eastAsia="zh-CN"/>
                      <w14:textFill>
                        <w14:solidFill>
                          <w14:schemeClr w14:val="tx1"/>
                        </w14:solidFill>
                      </w14:textFill>
                    </w:rPr>
                    <w:t>/</w:t>
                  </w:r>
                </w:p>
              </w:tc>
            </w:tr>
            <w:tr w14:paraId="4151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0" w:type="pct"/>
                  <w:tcBorders>
                    <w:tl2br w:val="nil"/>
                    <w:tr2bl w:val="nil"/>
                  </w:tcBorders>
                  <w:noWrap w:val="0"/>
                  <w:vAlign w:val="center"/>
                </w:tcPr>
                <w:p w14:paraId="66E8AB2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eastAsia" w:hAnsi="宋体" w:cs="Times New Roman"/>
                      <w:color w:val="000000" w:themeColor="text1"/>
                      <w:sz w:val="21"/>
                      <w:szCs w:val="21"/>
                      <w:lang w:val="en-US" w:eastAsia="zh-CN"/>
                      <w14:textFill>
                        <w14:solidFill>
                          <w14:schemeClr w14:val="tx1"/>
                        </w14:solidFill>
                      </w14:textFill>
                    </w:rPr>
                    <w:t>污水处理厂</w:t>
                  </w:r>
                  <w:r>
                    <w:rPr>
                      <w:rFonts w:hint="default" w:ascii="Times New Roman" w:hAnsi="宋体" w:eastAsia="宋体" w:cs="Times New Roman"/>
                      <w:color w:val="000000" w:themeColor="text1"/>
                      <w:sz w:val="21"/>
                      <w:szCs w:val="21"/>
                      <w14:textFill>
                        <w14:solidFill>
                          <w14:schemeClr w14:val="tx1"/>
                        </w14:solidFill>
                      </w14:textFill>
                    </w:rPr>
                    <w:t>设计进水水质</w:t>
                  </w:r>
                </w:p>
              </w:tc>
              <w:tc>
                <w:tcPr>
                  <w:tcW w:w="465" w:type="pct"/>
                  <w:tcBorders>
                    <w:tl2br w:val="nil"/>
                    <w:tr2bl w:val="nil"/>
                  </w:tcBorders>
                  <w:noWrap w:val="0"/>
                  <w:vAlign w:val="center"/>
                </w:tcPr>
                <w:p w14:paraId="1133A2E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6-9</w:t>
                  </w:r>
                </w:p>
              </w:tc>
              <w:tc>
                <w:tcPr>
                  <w:tcW w:w="459" w:type="pct"/>
                  <w:tcBorders>
                    <w:tl2br w:val="nil"/>
                    <w:tr2bl w:val="nil"/>
                  </w:tcBorders>
                  <w:noWrap w:val="0"/>
                  <w:vAlign w:val="center"/>
                </w:tcPr>
                <w:p w14:paraId="206298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ascii="Times New Roman" w:hAnsi="Times New Roman" w:cs="Times New Roman"/>
                      <w:color w:val="000000" w:themeColor="text1"/>
                      <w:szCs w:val="21"/>
                      <w:u w:val="none"/>
                      <w:lang w:val="en-US" w:eastAsia="zh-CN"/>
                      <w14:textFill>
                        <w14:solidFill>
                          <w14:schemeClr w14:val="tx1"/>
                        </w14:solidFill>
                      </w14:textFill>
                    </w:rPr>
                    <w:t>500</w:t>
                  </w:r>
                </w:p>
              </w:tc>
              <w:tc>
                <w:tcPr>
                  <w:tcW w:w="574" w:type="pct"/>
                  <w:tcBorders>
                    <w:tl2br w:val="nil"/>
                    <w:tr2bl w:val="nil"/>
                  </w:tcBorders>
                  <w:noWrap w:val="0"/>
                  <w:vAlign w:val="center"/>
                </w:tcPr>
                <w:p w14:paraId="34B94D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400</w:t>
                  </w:r>
                </w:p>
              </w:tc>
              <w:tc>
                <w:tcPr>
                  <w:tcW w:w="577" w:type="pct"/>
                  <w:tcBorders>
                    <w:tl2br w:val="nil"/>
                    <w:tr2bl w:val="nil"/>
                  </w:tcBorders>
                  <w:noWrap w:val="0"/>
                  <w:vAlign w:val="center"/>
                </w:tcPr>
                <w:p w14:paraId="467DFF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350</w:t>
                  </w:r>
                </w:p>
              </w:tc>
              <w:tc>
                <w:tcPr>
                  <w:tcW w:w="577" w:type="pct"/>
                  <w:tcBorders>
                    <w:tl2br w:val="nil"/>
                    <w:tr2bl w:val="nil"/>
                  </w:tcBorders>
                  <w:noWrap w:val="0"/>
                  <w:vAlign w:val="center"/>
                </w:tcPr>
                <w:p w14:paraId="7670921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lang w:val="en-US" w:eastAsia="zh-CN"/>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45</w:t>
                  </w:r>
                </w:p>
              </w:tc>
              <w:tc>
                <w:tcPr>
                  <w:tcW w:w="577" w:type="pct"/>
                  <w:tcBorders>
                    <w:tl2br w:val="nil"/>
                    <w:tr2bl w:val="nil"/>
                  </w:tcBorders>
                  <w:noWrap w:val="0"/>
                  <w:vAlign w:val="center"/>
                </w:tcPr>
                <w:p w14:paraId="3DC4CB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70</w:t>
                  </w:r>
                </w:p>
              </w:tc>
              <w:tc>
                <w:tcPr>
                  <w:tcW w:w="577" w:type="pct"/>
                  <w:tcBorders>
                    <w:tl2br w:val="nil"/>
                    <w:tr2bl w:val="nil"/>
                  </w:tcBorders>
                  <w:noWrap w:val="0"/>
                  <w:vAlign w:val="center"/>
                </w:tcPr>
                <w:p w14:paraId="25CEE14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8</w:t>
                  </w:r>
                </w:p>
              </w:tc>
            </w:tr>
            <w:tr w14:paraId="4B56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0" w:type="pct"/>
                  <w:tcBorders>
                    <w:tl2br w:val="nil"/>
                    <w:tr2bl w:val="nil"/>
                  </w:tcBorders>
                  <w:noWrap w:val="0"/>
                  <w:vAlign w:val="center"/>
                </w:tcPr>
                <w:p w14:paraId="209072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eastAsia" w:ascii="Times New Roman" w:hAnsi="Times New Roman" w:cs="Times New Roman"/>
                      <w:color w:val="000000" w:themeColor="text1"/>
                      <w:szCs w:val="21"/>
                      <w:u w:val="none"/>
                      <w:lang w:val="en-US" w:eastAsia="zh-CN"/>
                      <w14:textFill>
                        <w14:solidFill>
                          <w14:schemeClr w14:val="tx1"/>
                        </w14:solidFill>
                      </w14:textFill>
                    </w:rPr>
                    <w:t>本项目执行标准</w:t>
                  </w:r>
                </w:p>
              </w:tc>
              <w:tc>
                <w:tcPr>
                  <w:tcW w:w="465" w:type="pct"/>
                  <w:tcBorders>
                    <w:tl2br w:val="nil"/>
                    <w:tr2bl w:val="nil"/>
                  </w:tcBorders>
                  <w:noWrap w:val="0"/>
                  <w:vAlign w:val="center"/>
                </w:tcPr>
                <w:p w14:paraId="25944A9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6-9</w:t>
                  </w:r>
                </w:p>
              </w:tc>
              <w:tc>
                <w:tcPr>
                  <w:tcW w:w="459" w:type="pct"/>
                  <w:tcBorders>
                    <w:tl2br w:val="nil"/>
                    <w:tr2bl w:val="nil"/>
                  </w:tcBorders>
                  <w:noWrap w:val="0"/>
                  <w:vAlign w:val="center"/>
                </w:tcPr>
                <w:p w14:paraId="44132B0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ascii="Times New Roman" w:hAnsi="Times New Roman" w:cs="Times New Roman"/>
                      <w:color w:val="000000" w:themeColor="text1"/>
                      <w:szCs w:val="21"/>
                      <w:u w:val="none"/>
                      <w:lang w:val="en-US" w:eastAsia="zh-CN"/>
                      <w14:textFill>
                        <w14:solidFill>
                          <w14:schemeClr w14:val="tx1"/>
                        </w14:solidFill>
                      </w14:textFill>
                    </w:rPr>
                    <w:t>500</w:t>
                  </w:r>
                </w:p>
              </w:tc>
              <w:tc>
                <w:tcPr>
                  <w:tcW w:w="574" w:type="pct"/>
                  <w:tcBorders>
                    <w:tl2br w:val="nil"/>
                    <w:tr2bl w:val="nil"/>
                  </w:tcBorders>
                  <w:noWrap w:val="0"/>
                  <w:vAlign w:val="center"/>
                </w:tcPr>
                <w:p w14:paraId="0FFE776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40</w:t>
                  </w:r>
                  <w:r>
                    <w:rPr>
                      <w:rFonts w:hint="eastAsia" w:ascii="Times New Roman" w:hAnsi="Times New Roman" w:cs="Times New Roman"/>
                      <w:color w:val="000000" w:themeColor="text1"/>
                      <w:szCs w:val="21"/>
                      <w:u w:val="none"/>
                      <w:lang w:val="en-US" w:eastAsia="zh-CN"/>
                      <w14:textFill>
                        <w14:solidFill>
                          <w14:schemeClr w14:val="tx1"/>
                        </w14:solidFill>
                      </w14:textFill>
                    </w:rPr>
                    <w:t>0</w:t>
                  </w:r>
                </w:p>
              </w:tc>
              <w:tc>
                <w:tcPr>
                  <w:tcW w:w="577" w:type="pct"/>
                  <w:tcBorders>
                    <w:tl2br w:val="nil"/>
                    <w:tr2bl w:val="nil"/>
                  </w:tcBorders>
                  <w:noWrap w:val="0"/>
                  <w:vAlign w:val="center"/>
                </w:tcPr>
                <w:p w14:paraId="3A26CCC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30</w:t>
                  </w:r>
                  <w:r>
                    <w:rPr>
                      <w:rFonts w:hint="eastAsia" w:ascii="Times New Roman" w:hAnsi="Times New Roman" w:cs="Times New Roman"/>
                      <w:color w:val="000000" w:themeColor="text1"/>
                      <w:szCs w:val="21"/>
                      <w:u w:val="none"/>
                      <w:lang w:val="en-US" w:eastAsia="zh-CN"/>
                      <w14:textFill>
                        <w14:solidFill>
                          <w14:schemeClr w14:val="tx1"/>
                        </w14:solidFill>
                      </w14:textFill>
                    </w:rPr>
                    <w:t>0</w:t>
                  </w:r>
                </w:p>
              </w:tc>
              <w:tc>
                <w:tcPr>
                  <w:tcW w:w="577" w:type="pct"/>
                  <w:tcBorders>
                    <w:tl2br w:val="nil"/>
                    <w:tr2bl w:val="nil"/>
                  </w:tcBorders>
                  <w:noWrap w:val="0"/>
                  <w:vAlign w:val="center"/>
                </w:tcPr>
                <w:p w14:paraId="3E32FE1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u w:val="none"/>
                      <w:lang w:val="en-US"/>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45</w:t>
                  </w:r>
                </w:p>
              </w:tc>
              <w:tc>
                <w:tcPr>
                  <w:tcW w:w="577" w:type="pct"/>
                  <w:tcBorders>
                    <w:tl2br w:val="nil"/>
                    <w:tr2bl w:val="nil"/>
                  </w:tcBorders>
                  <w:noWrap w:val="0"/>
                  <w:vAlign w:val="center"/>
                </w:tcPr>
                <w:p w14:paraId="50016B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70</w:t>
                  </w:r>
                </w:p>
              </w:tc>
              <w:tc>
                <w:tcPr>
                  <w:tcW w:w="577" w:type="pct"/>
                  <w:tcBorders>
                    <w:tl2br w:val="nil"/>
                    <w:tr2bl w:val="nil"/>
                  </w:tcBorders>
                  <w:noWrap w:val="0"/>
                  <w:vAlign w:val="center"/>
                </w:tcPr>
                <w:p w14:paraId="34EF922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8</w:t>
                  </w:r>
                </w:p>
              </w:tc>
            </w:tr>
          </w:tbl>
          <w:p w14:paraId="1FDB7C83">
            <w:pPr>
              <w:keepNext w:val="0"/>
              <w:keepLines w:val="0"/>
              <w:suppressLineNumbers w:val="0"/>
              <w:adjustRightInd w:val="0"/>
              <w:spacing w:before="120" w:beforeLines="50" w:beforeAutospacing="0" w:after="0" w:afterAutospacing="0" w:line="360" w:lineRule="auto"/>
              <w:ind w:left="0" w:right="0"/>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3、噪声排放标准</w:t>
            </w:r>
          </w:p>
          <w:p w14:paraId="48CC20E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eastAsia="宋体"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施工期：执</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行</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《建筑施工噪声排放标准》（GB12523-20</w:t>
            </w:r>
            <w:r>
              <w:rPr>
                <w:rFonts w:hint="eastAsia" w:cs="Times New Roman"/>
                <w:color w:val="000000" w:themeColor="text1"/>
                <w:kern w:val="0"/>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135E4CA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运行期：</w:t>
            </w:r>
            <w:r>
              <w:rPr>
                <w:rFonts w:hint="default" w:ascii="Times New Roman" w:hAnsi="Times New Roman" w:cs="Times New Roman"/>
                <w:color w:val="000000" w:themeColor="text1"/>
                <w:kern w:val="0"/>
                <w:sz w:val="24"/>
                <w:szCs w:val="24"/>
                <w:highlight w:val="none"/>
                <w14:textFill>
                  <w14:solidFill>
                    <w14:schemeClr w14:val="tx1"/>
                  </w14:solidFill>
                </w14:textFill>
              </w:rPr>
              <w:t>项目运营期厂界噪声执行《工业企业厂界环境噪声排放标准》（GB12348-2008）表1中</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kern w:val="0"/>
                <w:sz w:val="24"/>
                <w:szCs w:val="24"/>
                <w:highlight w:val="none"/>
                <w14:textFill>
                  <w14:solidFill>
                    <w14:schemeClr w14:val="tx1"/>
                  </w14:solidFill>
                </w14:textFill>
              </w:rPr>
              <w:t>类标准，具体标准值见下表</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p>
          <w:p w14:paraId="279060F6">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表3-</w:t>
            </w:r>
            <w:r>
              <w:rPr>
                <w:rFonts w:hint="eastAsia" w:cs="Times New Roman"/>
                <w:b/>
                <w:bCs/>
                <w:color w:val="000000" w:themeColor="text1"/>
                <w:kern w:val="0"/>
                <w:szCs w:val="21"/>
                <w:highlight w:val="none"/>
                <w:lang w:val="en-US" w:eastAsia="zh-CN"/>
                <w14:textFill>
                  <w14:solidFill>
                    <w14:schemeClr w14:val="tx1"/>
                  </w14:solidFill>
                </w14:textFill>
              </w:rPr>
              <w:t>8</w:t>
            </w:r>
            <w:r>
              <w:rPr>
                <w:rFonts w:hint="default" w:ascii="Times New Roman" w:hAnsi="Times New Roman" w:cs="Times New Roman"/>
                <w:b/>
                <w:bCs/>
                <w:color w:val="000000" w:themeColor="text1"/>
                <w:kern w:val="0"/>
                <w:szCs w:val="21"/>
                <w:highlight w:val="none"/>
                <w14:textFill>
                  <w14:solidFill>
                    <w14:schemeClr w14:val="tx1"/>
                  </w14:solidFill>
                </w14:textFill>
              </w:rPr>
              <w:t xml:space="preserve">  工业企业厂界噪声标准    单位：dB (A)</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562"/>
              <w:gridCol w:w="5150"/>
            </w:tblGrid>
            <w:tr w14:paraId="044A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77" w:type="dxa"/>
                  <w:noWrap w:val="0"/>
                  <w:vAlign w:val="center"/>
                </w:tcPr>
                <w:p w14:paraId="31336A02">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昼间</w:t>
                  </w:r>
                </w:p>
              </w:tc>
              <w:tc>
                <w:tcPr>
                  <w:tcW w:w="1535" w:type="dxa"/>
                  <w:noWrap w:val="0"/>
                  <w:vAlign w:val="center"/>
                </w:tcPr>
                <w:p w14:paraId="1982896C">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夜间</w:t>
                  </w:r>
                </w:p>
              </w:tc>
              <w:tc>
                <w:tcPr>
                  <w:tcW w:w="5062" w:type="dxa"/>
                  <w:noWrap w:val="0"/>
                  <w:vAlign w:val="center"/>
                </w:tcPr>
                <w:p w14:paraId="683DFC6F">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标准来源</w:t>
                  </w:r>
                </w:p>
              </w:tc>
            </w:tr>
            <w:tr w14:paraId="373C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77" w:type="dxa"/>
                  <w:noWrap w:val="0"/>
                  <w:vAlign w:val="center"/>
                </w:tcPr>
                <w:p w14:paraId="1B0B451E">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6</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5</w:t>
                  </w:r>
                </w:p>
              </w:tc>
              <w:tc>
                <w:tcPr>
                  <w:tcW w:w="1535" w:type="dxa"/>
                  <w:noWrap w:val="0"/>
                  <w:vAlign w:val="center"/>
                </w:tcPr>
                <w:p w14:paraId="06C90178">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5</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5</w:t>
                  </w:r>
                </w:p>
              </w:tc>
              <w:tc>
                <w:tcPr>
                  <w:tcW w:w="5062" w:type="dxa"/>
                  <w:noWrap w:val="0"/>
                  <w:vAlign w:val="center"/>
                </w:tcPr>
                <w:p w14:paraId="48E06847">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（GB12348-2008）</w:t>
                  </w:r>
                  <w:r>
                    <w:rPr>
                      <w:rFonts w:hint="default" w:ascii="Times New Roman" w:hAnsi="Times New Roman" w:cs="Times New Roman"/>
                      <w:color w:val="000000" w:themeColor="text1"/>
                      <w:szCs w:val="21"/>
                      <w:highlight w:val="none"/>
                      <w14:textFill>
                        <w14:solidFill>
                          <w14:schemeClr w14:val="tx1"/>
                        </w14:solidFill>
                      </w14:textFill>
                    </w:rPr>
                    <w:t>表1中3类标准</w:t>
                  </w:r>
                </w:p>
              </w:tc>
            </w:tr>
          </w:tbl>
          <w:p w14:paraId="52A20B1D">
            <w:pPr>
              <w:keepNext w:val="0"/>
              <w:keepLines w:val="0"/>
              <w:suppressLineNumbers w:val="0"/>
              <w:adjustRightInd w:val="0"/>
              <w:spacing w:before="120" w:beforeLines="50" w:beforeAutospacing="0" w:after="0" w:afterAutospacing="0" w:line="360" w:lineRule="auto"/>
              <w:ind w:left="0" w:right="0"/>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4、固废贮存、处置标准</w:t>
            </w:r>
          </w:p>
          <w:p w14:paraId="70730B2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FF"/>
                <w:kern w:val="0"/>
                <w:szCs w:val="21"/>
                <w:highlight w:val="none"/>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一般工业固废在厂内暂存执行《一般工业</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固体</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废物贮存和填埋污染控制标准》（GB18599-2020）</w:t>
            </w:r>
            <w:r>
              <w:rPr>
                <w:rFonts w:hint="eastAsia"/>
                <w:lang w:eastAsia="zh-CN"/>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危险固体废物执行《危险废物贮存污染控制标准》（GB18597-2023）。</w:t>
            </w:r>
          </w:p>
        </w:tc>
      </w:tr>
      <w:tr w14:paraId="33574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23" w:type="dxa"/>
            <w:noWrap w:val="0"/>
            <w:vAlign w:val="center"/>
          </w:tcPr>
          <w:p w14:paraId="2149E1F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w:t>
            </w:r>
          </w:p>
          <w:p w14:paraId="7613B64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控制</w:t>
            </w:r>
          </w:p>
          <w:p w14:paraId="49E56B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指标</w:t>
            </w:r>
          </w:p>
        </w:tc>
        <w:tc>
          <w:tcPr>
            <w:tcW w:w="8338" w:type="dxa"/>
            <w:noWrap w:val="0"/>
            <w:vAlign w:val="center"/>
          </w:tcPr>
          <w:p w14:paraId="34A3799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依据湖南省人民政府办公厅关于印发《湖南省主要污染物排污权有偿使用和交易管理办法》的通知湘政办发〔2022〕23号，湖南省对化学需氧量、氨氮、二氧化硫、氮氧化物、铅、镉、砷、汞、铬、挥发性有机物、总磷等十一类污染物实施总量控制。</w:t>
            </w:r>
          </w:p>
          <w:p w14:paraId="54DB9C0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（1</w:t>
            </w:r>
            <w:r>
              <w:rPr>
                <w:rFonts w:hint="default" w:ascii="Times New Roman" w:hAnsi="Times New Roman" w:cs="Times New Roman"/>
                <w:color w:val="auto"/>
                <w:kern w:val="2"/>
                <w:sz w:val="24"/>
                <w:szCs w:val="24"/>
                <w:u w:val="none" w:color="auto"/>
                <w:lang w:val="en-US" w:eastAsia="zh-CN" w:bidi="ar-SA"/>
              </w:rPr>
              <w:t>）水污染物控制指标：</w:t>
            </w:r>
            <w:r>
              <w:rPr>
                <w:rFonts w:hint="eastAsia" w:cs="Times New Roman"/>
                <w:color w:val="auto"/>
                <w:kern w:val="2"/>
                <w:sz w:val="24"/>
                <w:szCs w:val="24"/>
                <w:u w:val="none" w:color="auto"/>
                <w:lang w:val="en-US" w:eastAsia="zh-CN" w:bidi="ar-SA"/>
              </w:rPr>
              <w:t>本项目主要为生活污水，不涉及生产废水排放</w:t>
            </w:r>
            <w:r>
              <w:rPr>
                <w:rFonts w:hint="default" w:ascii="Times New Roman" w:hAnsi="Times New Roman" w:cs="Times New Roman"/>
                <w:color w:val="auto"/>
                <w:kern w:val="2"/>
                <w:sz w:val="24"/>
                <w:szCs w:val="24"/>
                <w:u w:val="none" w:color="auto"/>
                <w:lang w:val="en-US" w:eastAsia="zh-CN" w:bidi="ar-SA"/>
              </w:rPr>
              <w:t>。</w:t>
            </w:r>
          </w:p>
          <w:p w14:paraId="3928C54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（2）大气总</w:t>
            </w:r>
            <w:r>
              <w:rPr>
                <w:rFonts w:hint="default" w:ascii="Times New Roman" w:hAnsi="Times New Roman" w:cs="Times New Roman"/>
                <w:color w:val="000000" w:themeColor="text1"/>
                <w:kern w:val="2"/>
                <w:sz w:val="24"/>
                <w:szCs w:val="24"/>
                <w:u w:val="none" w:color="auto"/>
                <w:lang w:val="en-US" w:eastAsia="zh-CN" w:bidi="ar-SA"/>
                <w14:textFill>
                  <w14:solidFill>
                    <w14:schemeClr w14:val="tx1"/>
                  </w14:solidFill>
                </w14:textFill>
              </w:rPr>
              <w:t>量控制指标：</w:t>
            </w:r>
            <w:r>
              <w:rPr>
                <w:rFonts w:hint="eastAsia" w:cs="Times New Roman"/>
                <w:color w:val="000000" w:themeColor="text1"/>
                <w:kern w:val="2"/>
                <w:sz w:val="24"/>
                <w:szCs w:val="24"/>
                <w:u w:val="none" w:color="auto"/>
                <w:lang w:val="en-US" w:eastAsia="zh-CN" w:bidi="ar-SA"/>
                <w14:textFill>
                  <w14:solidFill>
                    <w14:schemeClr w14:val="tx1"/>
                  </w14:solidFill>
                </w14:textFill>
              </w:rPr>
              <w:t>项目有组织排放不涉及挥发性有机物，无组织排放挥发性有机物0.0281t/a</w:t>
            </w:r>
            <w:r>
              <w:rPr>
                <w:rFonts w:hint="default" w:cs="Times New Roman"/>
                <w:color w:val="000000" w:themeColor="text1"/>
                <w:kern w:val="2"/>
                <w:sz w:val="24"/>
                <w:szCs w:val="24"/>
                <w:u w:val="none" w:color="auto"/>
                <w:lang w:val="en-US" w:eastAsia="zh-CN" w:bidi="ar-SA"/>
                <w14:textFill>
                  <w14:solidFill>
                    <w14:schemeClr w14:val="tx1"/>
                  </w14:solidFill>
                </w14:textFill>
              </w:rPr>
              <w:t>。</w:t>
            </w:r>
          </w:p>
        </w:tc>
      </w:tr>
    </w:tbl>
    <w:p w14:paraId="45E19B18">
      <w:pPr>
        <w:pStyle w:val="29"/>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bookmarkStart w:id="8" w:name="_Toc148"/>
      <w:r>
        <w:rPr>
          <w:rFonts w:hint="default" w:ascii="Times New Roman" w:hAnsi="Times New Roman" w:eastAsia="黑体" w:cs="Times New Roman"/>
          <w:snapToGrid w:val="0"/>
          <w:color w:val="auto"/>
          <w:sz w:val="30"/>
          <w:szCs w:val="30"/>
          <w:highlight w:val="none"/>
        </w:rPr>
        <w:t>四、主要环境影响和保护措施</w:t>
      </w:r>
      <w:bookmarkEnd w:id="8"/>
    </w:p>
    <w:tbl>
      <w:tblPr>
        <w:tblStyle w:val="3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398"/>
      </w:tblGrid>
      <w:tr w14:paraId="6E2DF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510" w:type="dxa"/>
            <w:noWrap w:val="0"/>
            <w:tcMar>
              <w:left w:w="28" w:type="dxa"/>
              <w:right w:w="28" w:type="dxa"/>
            </w:tcMar>
            <w:vAlign w:val="center"/>
          </w:tcPr>
          <w:p w14:paraId="1A82B88B">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FF"/>
                <w:kern w:val="2"/>
                <w:sz w:val="24"/>
                <w:szCs w:val="24"/>
                <w:highlight w:val="none"/>
              </w:rPr>
            </w:pPr>
            <w:r>
              <w:rPr>
                <w:rFonts w:hint="default" w:ascii="Times New Roman" w:hAnsi="Times New Roman" w:cs="Times New Roman"/>
                <w:color w:val="auto"/>
                <w:kern w:val="2"/>
                <w:sz w:val="24"/>
                <w:szCs w:val="24"/>
                <w:highlight w:val="none"/>
              </w:rPr>
              <w:t>施工期环境保护措施</w:t>
            </w:r>
          </w:p>
        </w:tc>
        <w:tc>
          <w:tcPr>
            <w:tcW w:w="8398" w:type="dxa"/>
            <w:noWrap w:val="0"/>
            <w:vAlign w:val="center"/>
          </w:tcPr>
          <w:p w14:paraId="05E66DFF">
            <w:pPr>
              <w:keepNext/>
              <w:keepLines w:val="0"/>
              <w:pageBreakBefore w:val="0"/>
              <w:suppressLineNumbers w:val="0"/>
              <w:tabs>
                <w:tab w:val="left" w:pos="720"/>
              </w:tabs>
              <w:kinsoku/>
              <w:wordWrap/>
              <w:overflowPunct w:val="0"/>
              <w:topLinePunct w:val="0"/>
              <w:bidi w:val="0"/>
              <w:adjustRightInd/>
              <w:snapToGrid/>
              <w:spacing w:before="0" w:beforeAutospacing="0" w:after="0" w:afterAutospacing="0" w:line="360" w:lineRule="auto"/>
              <w:ind w:left="0" w:right="0"/>
              <w:textAlignment w:val="auto"/>
              <w:rPr>
                <w:rFonts w:hint="eastAsia"/>
                <w:b/>
                <w:bCs/>
                <w:color w:val="auto"/>
                <w:sz w:val="24"/>
              </w:rPr>
            </w:pPr>
            <w:r>
              <w:rPr>
                <w:rFonts w:hint="eastAsia"/>
                <w:b/>
                <w:bCs/>
                <w:color w:val="auto"/>
                <w:sz w:val="24"/>
                <w:lang w:eastAsia="zh-CN"/>
              </w:rPr>
              <w:t>一、</w:t>
            </w:r>
            <w:r>
              <w:rPr>
                <w:rFonts w:hint="default"/>
                <w:b/>
                <w:bCs/>
                <w:color w:val="auto"/>
                <w:sz w:val="24"/>
              </w:rPr>
              <w:t>施工期环境空气的防治污染措施</w:t>
            </w:r>
          </w:p>
          <w:p w14:paraId="1597A035">
            <w:pPr>
              <w:keepNext w:val="0"/>
              <w:keepLines w:val="0"/>
              <w:widowControl/>
              <w:suppressLineNumbers w:val="0"/>
              <w:spacing w:before="0" w:beforeAutospacing="0" w:after="0" w:afterAutospacing="0" w:line="360" w:lineRule="auto"/>
              <w:ind w:left="0" w:right="0" w:firstLine="480" w:firstLineChars="200"/>
              <w:jc w:val="left"/>
              <w:rPr>
                <w:rFonts w:hint="default"/>
                <w:spacing w:val="6"/>
                <w:sz w:val="24"/>
              </w:rPr>
            </w:pPr>
            <w:r>
              <w:rPr>
                <w:rFonts w:hint="default"/>
                <w:kern w:val="0"/>
                <w:sz w:val="24"/>
                <w:lang w:bidi="ar"/>
              </w:rPr>
              <w:t>本项目</w:t>
            </w:r>
            <w:r>
              <w:rPr>
                <w:rFonts w:hint="default"/>
                <w:spacing w:val="6"/>
                <w:sz w:val="24"/>
              </w:rPr>
              <w:t>施工期噪声主要是设备安装时产生的噪声，噪声源强约为75-85dB（A）。本项目施工期仅对生产设备进行安装，这些施工活动均在厂房内进行，并通过采取选择低噪声施工设备、合理安排施工作业时间等措施后，施工期场界噪声可达到《建筑施工噪声排放标准》（GB12523-20</w:t>
            </w:r>
            <w:r>
              <w:rPr>
                <w:rFonts w:hint="eastAsia"/>
                <w:spacing w:val="6"/>
                <w:sz w:val="24"/>
                <w:lang w:val="en-US" w:eastAsia="zh-CN"/>
              </w:rPr>
              <w:t>25</w:t>
            </w:r>
            <w:r>
              <w:rPr>
                <w:rFonts w:hint="default"/>
                <w:spacing w:val="6"/>
                <w:sz w:val="24"/>
              </w:rPr>
              <w:t>）要求；同时设备安装噪声将随工程施工的结束而消失。</w:t>
            </w:r>
          </w:p>
          <w:p w14:paraId="45569227">
            <w:pPr>
              <w:keepNext w:val="0"/>
              <w:keepLines w:val="0"/>
              <w:pageBreakBefore w:val="0"/>
              <w:widowControl/>
              <w:suppressLineNumbers w:val="0"/>
              <w:kinsoku/>
              <w:wordWrap/>
              <w:topLinePunct w:val="0"/>
              <w:bidi w:val="0"/>
              <w:adjustRightInd/>
              <w:snapToGrid/>
              <w:spacing w:before="0" w:beforeAutospacing="0" w:after="0" w:afterAutospacing="0" w:line="360" w:lineRule="auto"/>
              <w:ind w:left="0" w:right="0" w:firstLine="504" w:firstLineChars="200"/>
              <w:jc w:val="left"/>
              <w:textAlignment w:val="auto"/>
              <w:rPr>
                <w:rFonts w:hint="default" w:ascii="Times New Roman" w:hAnsi="Times New Roman" w:cs="Times New Roman"/>
                <w:color w:val="0000FF"/>
                <w:sz w:val="24"/>
                <w:szCs w:val="24"/>
                <w:highlight w:val="none"/>
              </w:rPr>
            </w:pPr>
            <w:r>
              <w:rPr>
                <w:rFonts w:hint="default"/>
                <w:spacing w:val="6"/>
                <w:sz w:val="24"/>
              </w:rPr>
              <w:t>因此，本项目施工期对周围环境影响较小。</w:t>
            </w:r>
          </w:p>
        </w:tc>
      </w:tr>
      <w:tr w14:paraId="3CEB6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dxa"/>
            <w:noWrap w:val="0"/>
            <w:tcMar>
              <w:left w:w="28" w:type="dxa"/>
              <w:right w:w="28" w:type="dxa"/>
            </w:tcMar>
            <w:vAlign w:val="center"/>
          </w:tcPr>
          <w:p w14:paraId="6EDAE1C1">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lang w:val="en-US" w:eastAsia="zh-CN"/>
              </w:rPr>
            </w:pPr>
            <w:r>
              <w:rPr>
                <w:rFonts w:hint="default" w:ascii="Times New Roman" w:hAnsi="Times New Roman" w:eastAsia="宋体" w:cs="Times New Roman"/>
                <w:color w:val="auto"/>
                <w:sz w:val="24"/>
                <w:szCs w:val="24"/>
                <w:highlight w:val="none"/>
                <w:u w:val="none" w:color="auto"/>
                <w:lang w:val="en-US" w:eastAsia="zh-CN"/>
              </w:rPr>
              <w:t>运</w:t>
            </w:r>
            <w:r>
              <w:rPr>
                <w:rFonts w:hint="default" w:ascii="Times New Roman" w:hAnsi="Times New Roman" w:cs="Times New Roman"/>
                <w:color w:val="auto"/>
                <w:kern w:val="2"/>
                <w:sz w:val="24"/>
                <w:szCs w:val="24"/>
                <w:highlight w:val="none"/>
                <w:lang w:val="en-US" w:eastAsia="zh-CN"/>
              </w:rPr>
              <w:t>营</w:t>
            </w:r>
          </w:p>
          <w:p w14:paraId="0D5140D1">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期环</w:t>
            </w:r>
          </w:p>
          <w:p w14:paraId="502F5FC2">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境影</w:t>
            </w:r>
          </w:p>
          <w:p w14:paraId="5A4F42DB">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响和</w:t>
            </w:r>
          </w:p>
          <w:p w14:paraId="74DF3EE4">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保护</w:t>
            </w:r>
          </w:p>
          <w:p w14:paraId="680C26D8">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FF"/>
                <w:sz w:val="24"/>
                <w:szCs w:val="24"/>
                <w:highlight w:val="none"/>
                <w:u w:val="none" w:color="auto"/>
                <w:lang w:val="en-US" w:eastAsia="zh-CN"/>
              </w:rPr>
            </w:pPr>
            <w:r>
              <w:rPr>
                <w:rFonts w:hint="default" w:ascii="Times New Roman" w:hAnsi="Times New Roman" w:cs="Times New Roman"/>
                <w:color w:val="auto"/>
                <w:kern w:val="2"/>
                <w:sz w:val="24"/>
                <w:szCs w:val="24"/>
                <w:highlight w:val="none"/>
                <w:lang w:val="en-US" w:eastAsia="zh-CN"/>
              </w:rPr>
              <w:t>措施</w:t>
            </w:r>
          </w:p>
        </w:tc>
        <w:tc>
          <w:tcPr>
            <w:tcW w:w="8398" w:type="dxa"/>
            <w:noWrap w:val="0"/>
            <w:vAlign w:val="center"/>
          </w:tcPr>
          <w:p w14:paraId="2B27795B">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1、废气</w:t>
            </w:r>
          </w:p>
          <w:p w14:paraId="690866E2">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、废气污染源源强核算过程说明</w:t>
            </w:r>
          </w:p>
          <w:p w14:paraId="4E8F9D83">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（1）淬火油烟</w:t>
            </w:r>
          </w:p>
          <w:p w14:paraId="7F40C5B5">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本项目淬火剂采用水性淬火剂，为混合溶液，主要成分为纯净水（占比55%）、催冷剂（占比42.5%）、缓蚀剂（占比2.5%），水性淬火剂年用量为</w:t>
            </w:r>
            <w:r>
              <w:rPr>
                <w:rFonts w:hint="eastAsia" w:cs="Times New Roman"/>
                <w:color w:val="000000" w:themeColor="text1"/>
                <w:sz w:val="24"/>
                <w:szCs w:val="24"/>
                <w:highlight w:val="none"/>
                <w:u w:val="none" w:color="auto"/>
                <w:lang w:val="en-US" w:eastAsia="zh-CN"/>
                <w14:textFill>
                  <w14:solidFill>
                    <w14:schemeClr w14:val="tx1"/>
                  </w14:solidFill>
                </w14:textFill>
              </w:rPr>
              <w:t>3.8</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t/a，催冷剂和缓蚀剂用量为</w:t>
            </w:r>
            <w:r>
              <w:rPr>
                <w:rFonts w:hint="eastAsia" w:cs="Times New Roman"/>
                <w:color w:val="000000" w:themeColor="text1"/>
                <w:sz w:val="24"/>
                <w:szCs w:val="24"/>
                <w:highlight w:val="none"/>
                <w:u w:val="none" w:color="auto"/>
                <w:lang w:val="en-US" w:eastAsia="zh-CN"/>
                <w14:textFill>
                  <w14:solidFill>
                    <w14:schemeClr w14:val="tx1"/>
                  </w14:solidFill>
                </w14:textFill>
              </w:rPr>
              <w:t>1.71</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t/a，参考《33-</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37</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431</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434</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机械行业系数手册》中表12热处理产排污系数，挥发性有机物产生量为0.01kg/t原料，计算可得挥发性有机物产生量为0.0</w:t>
            </w:r>
            <w:r>
              <w:rPr>
                <w:rFonts w:hint="eastAsia" w:cs="Times New Roman"/>
                <w:color w:val="000000" w:themeColor="text1"/>
                <w:sz w:val="24"/>
                <w:szCs w:val="24"/>
                <w:highlight w:val="none"/>
                <w:u w:val="none" w:color="auto"/>
                <w:lang w:val="en-US" w:eastAsia="zh-CN"/>
                <w14:textFill>
                  <w14:solidFill>
                    <w14:schemeClr w14:val="tx1"/>
                  </w14:solidFill>
                </w14:textFill>
              </w:rPr>
              <w:t>171</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t/a，因本项目为水性淬火剂，生产工艺过程中产生大量的水蒸气，挥发性有机物</w:t>
            </w:r>
            <w:r>
              <w:rPr>
                <w:rFonts w:hint="eastAsia" w:cs="Times New Roman"/>
                <w:color w:val="000000" w:themeColor="text1"/>
                <w:sz w:val="24"/>
                <w:szCs w:val="24"/>
                <w:highlight w:val="none"/>
                <w:u w:val="none" w:color="auto"/>
                <w:lang w:val="en-US" w:eastAsia="zh-CN"/>
                <w14:textFill>
                  <w14:solidFill>
                    <w14:schemeClr w14:val="tx1"/>
                  </w14:solidFill>
                </w14:textFill>
              </w:rPr>
              <w:t>（用非甲烷总烃表征）</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掺杂在大量的水蒸气中无法有效收集，且经核算挥发性有机物产生量较小，因此此工序的挥发性有机物全部无组织排放，</w:t>
            </w:r>
            <w:r>
              <w:rPr>
                <w:rFonts w:hint="eastAsia" w:cs="Times New Roman"/>
                <w:color w:val="000000" w:themeColor="text1"/>
                <w:sz w:val="24"/>
                <w:szCs w:val="24"/>
                <w:highlight w:val="none"/>
                <w:u w:val="none" w:color="auto"/>
                <w:lang w:val="en-US" w:eastAsia="zh-CN"/>
                <w14:textFill>
                  <w14:solidFill>
                    <w14:schemeClr w14:val="tx1"/>
                  </w14:solidFill>
                </w14:textFill>
              </w:rPr>
              <w:t>工作时间按7200h计，</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排放速率为0.00</w:t>
            </w:r>
            <w:r>
              <w:rPr>
                <w:rFonts w:hint="eastAsia" w:cs="Times New Roman"/>
                <w:color w:val="000000" w:themeColor="text1"/>
                <w:sz w:val="24"/>
                <w:szCs w:val="24"/>
                <w:highlight w:val="none"/>
                <w:u w:val="none" w:color="auto"/>
                <w:lang w:val="en-US" w:eastAsia="zh-CN"/>
                <w14:textFill>
                  <w14:solidFill>
                    <w14:schemeClr w14:val="tx1"/>
                  </w14:solidFill>
                </w14:textFill>
              </w:rPr>
              <w:t>2375</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kg/h，年排放量为</w:t>
            </w:r>
            <w:r>
              <w:rPr>
                <w:rFonts w:hint="eastAsia" w:cs="Times New Roman"/>
                <w:color w:val="000000" w:themeColor="text1"/>
                <w:sz w:val="24"/>
                <w:szCs w:val="24"/>
                <w:highlight w:val="none"/>
                <w:u w:val="none" w:color="auto"/>
                <w:lang w:val="en-US" w:eastAsia="zh-CN"/>
                <w14:textFill>
                  <w14:solidFill>
                    <w14:schemeClr w14:val="tx1"/>
                  </w14:solidFill>
                </w14:textFill>
              </w:rPr>
              <w:t>0.0171</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t/a。</w:t>
            </w:r>
          </w:p>
          <w:p w14:paraId="0F7986FF">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）表面喷砂废气</w:t>
            </w:r>
          </w:p>
          <w:p w14:paraId="02C4BD03">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本项目表面喷砂处理工序产生的颗粒物，通过设备自带的布袋除尘设施，参考，《33-</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37</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431</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434</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机械行业系数手册》中06表预处理产排污系数，</w:t>
            </w:r>
            <w:r>
              <w:rPr>
                <w:rFonts w:hint="eastAsia" w:cs="Times New Roman"/>
                <w:color w:val="000000" w:themeColor="text1"/>
                <w:sz w:val="24"/>
                <w:szCs w:val="24"/>
                <w:highlight w:val="none"/>
                <w:u w:val="none" w:color="auto"/>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颗粒物产生量为2.19kg/t原料，</w:t>
            </w:r>
            <w:r>
              <w:rPr>
                <w:rFonts w:hint="eastAsia" w:cs="Times New Roman"/>
                <w:color w:val="000000" w:themeColor="text1"/>
                <w:sz w:val="24"/>
                <w:szCs w:val="24"/>
                <w:highlight w:val="none"/>
                <w:u w:val="none" w:color="auto"/>
                <w:lang w:val="en-US" w:eastAsia="zh-CN"/>
                <w14:textFill>
                  <w14:solidFill>
                    <w14:schemeClr w14:val="tx1"/>
                  </w14:solidFill>
                </w14:textFill>
              </w:rPr>
              <w:t>变更后线轨原料用量为5620t/a、</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滑块原料为</w:t>
            </w:r>
            <w:r>
              <w:rPr>
                <w:rFonts w:hint="eastAsia" w:cs="Times New Roman"/>
                <w:color w:val="000000" w:themeColor="text1"/>
                <w:sz w:val="24"/>
                <w:szCs w:val="24"/>
                <w:highlight w:val="none"/>
                <w:u w:val="none" w:color="auto"/>
                <w:lang w:val="en-US" w:eastAsia="zh-CN"/>
                <w14:textFill>
                  <w14:solidFill>
                    <w14:schemeClr w14:val="tx1"/>
                  </w14:solidFill>
                </w14:textFill>
              </w:rPr>
              <w:t>1042</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t/a，</w:t>
            </w:r>
            <w:r>
              <w:rPr>
                <w:rFonts w:hint="eastAsia" w:cs="Times New Roman"/>
                <w:color w:val="000000" w:themeColor="text1"/>
                <w:sz w:val="24"/>
                <w:szCs w:val="24"/>
                <w:highlight w:val="none"/>
                <w:u w:val="none" w:color="auto"/>
                <w:lang w:val="en-US" w:eastAsia="zh-CN"/>
                <w14:textFill>
                  <w14:solidFill>
                    <w14:schemeClr w14:val="tx1"/>
                  </w14:solidFill>
                </w14:textFill>
              </w:rPr>
              <w:t>计算可得线轨表面喷砂处理机（1#）产生颗粒物12.31t/a，滑块表面喷砂处理机（2#）颗粒物2.28t/a。</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设备自带除尘设施</w:t>
            </w:r>
            <w:r>
              <w:rPr>
                <w:rFonts w:hint="eastAsia" w:cs="Times New Roman"/>
                <w:color w:val="000000" w:themeColor="text1"/>
                <w:sz w:val="24"/>
                <w:szCs w:val="24"/>
                <w:highlight w:val="none"/>
                <w:u w:val="none" w:color="auto"/>
                <w:lang w:val="en-US" w:eastAsia="zh-CN"/>
                <w14:textFill>
                  <w14:solidFill>
                    <w14:schemeClr w14:val="tx1"/>
                  </w14:solidFill>
                </w14:textFill>
              </w:rPr>
              <w:t>，采用密闭管道收集，收集效率取98%</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采用脉冲布袋除尘器，根据《33-</w:t>
            </w:r>
            <w:r>
              <w:rPr>
                <w:rFonts w:hint="default" w:cs="Times New Roman"/>
                <w:color w:val="000000" w:themeColor="text1"/>
                <w:sz w:val="24"/>
                <w:szCs w:val="24"/>
                <w:highlight w:val="none"/>
                <w:u w:val="none" w:color="auto"/>
                <w:lang w:val="en-US" w:eastAsia="zh-CN"/>
                <w14:textFill>
                  <w14:solidFill>
                    <w14:schemeClr w14:val="tx1"/>
                  </w14:solidFill>
                </w14:textFill>
              </w:rPr>
              <w:t>37</w:t>
            </w:r>
            <w:r>
              <w:rPr>
                <w:rFonts w:hint="eastAsia" w:cs="Times New Roman"/>
                <w:color w:val="000000" w:themeColor="text1"/>
                <w:sz w:val="24"/>
                <w:szCs w:val="24"/>
                <w:highlight w:val="none"/>
                <w:u w:val="none" w:color="auto"/>
                <w:lang w:val="en-US" w:eastAsia="zh-CN"/>
                <w14:textFill>
                  <w14:solidFill>
                    <w14:schemeClr w14:val="tx1"/>
                  </w14:solidFill>
                </w14:textFill>
              </w:rPr>
              <w:t>、</w:t>
            </w:r>
            <w:r>
              <w:rPr>
                <w:rFonts w:hint="default" w:cs="Times New Roman"/>
                <w:color w:val="000000" w:themeColor="text1"/>
                <w:sz w:val="24"/>
                <w:szCs w:val="24"/>
                <w:highlight w:val="none"/>
                <w:u w:val="none" w:color="auto"/>
                <w:lang w:val="en-US" w:eastAsia="zh-CN"/>
                <w14:textFill>
                  <w14:solidFill>
                    <w14:schemeClr w14:val="tx1"/>
                  </w14:solidFill>
                </w14:textFill>
              </w:rPr>
              <w:t>431</w:t>
            </w:r>
            <w:r>
              <w:rPr>
                <w:rFonts w:hint="eastAsia" w:cs="Times New Roman"/>
                <w:color w:val="000000" w:themeColor="text1"/>
                <w:sz w:val="24"/>
                <w:szCs w:val="24"/>
                <w:highlight w:val="none"/>
                <w:u w:val="none" w:color="auto"/>
                <w:lang w:val="en-US" w:eastAsia="zh-CN"/>
                <w14:textFill>
                  <w14:solidFill>
                    <w14:schemeClr w14:val="tx1"/>
                  </w14:solidFill>
                </w14:textFill>
              </w:rPr>
              <w:t>-</w:t>
            </w:r>
            <w:r>
              <w:rPr>
                <w:rFonts w:hint="default" w:cs="Times New Roman"/>
                <w:color w:val="000000" w:themeColor="text1"/>
                <w:sz w:val="24"/>
                <w:szCs w:val="24"/>
                <w:highlight w:val="none"/>
                <w:u w:val="none" w:color="auto"/>
                <w:lang w:val="en-US" w:eastAsia="zh-CN"/>
                <w14:textFill>
                  <w14:solidFill>
                    <w14:schemeClr w14:val="tx1"/>
                  </w14:solidFill>
                </w14:textFill>
              </w:rPr>
              <w:t>434</w:t>
            </w:r>
            <w:r>
              <w:rPr>
                <w:rFonts w:hint="eastAsia" w:cs="Times New Roman"/>
                <w:color w:val="000000" w:themeColor="text1"/>
                <w:sz w:val="24"/>
                <w:szCs w:val="24"/>
                <w:highlight w:val="none"/>
                <w:u w:val="none" w:color="auto"/>
                <w:lang w:val="en-US" w:eastAsia="zh-CN"/>
                <w14:textFill>
                  <w14:solidFill>
                    <w14:schemeClr w14:val="tx1"/>
                  </w14:solidFill>
                </w14:textFill>
              </w:rPr>
              <w:t>机械行业系数手册》推荐布袋除尘器</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除尘效率</w:t>
            </w:r>
            <w:r>
              <w:rPr>
                <w:rFonts w:hint="eastAsia" w:cs="Times New Roman"/>
                <w:color w:val="000000" w:themeColor="text1"/>
                <w:sz w:val="24"/>
                <w:szCs w:val="24"/>
                <w:highlight w:val="none"/>
                <w:u w:val="none" w:color="auto"/>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9</w:t>
            </w:r>
            <w:r>
              <w:rPr>
                <w:rFonts w:hint="eastAsia" w:cs="Times New Roman"/>
                <w:color w:val="000000" w:themeColor="text1"/>
                <w:sz w:val="24"/>
                <w:szCs w:val="24"/>
                <w:highlight w:val="none"/>
                <w:u w:val="none" w:color="auto"/>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w:t>
            </w:r>
          </w:p>
          <w:p w14:paraId="2114126F">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风量核算</w:t>
            </w:r>
          </w:p>
          <w:p w14:paraId="665EBA5B">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项目设置两台表面喷砂处理机，分别处理线轨和滑块，1#表面处理机（线轨用）内腔长宽高尺寸为1</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.5*1.4*1m，</w:t>
            </w:r>
            <w:r>
              <w:rPr>
                <w:rFonts w:hint="eastAsia" w:cs="Times New Roman"/>
                <w:color w:val="000000" w:themeColor="text1"/>
                <w:sz w:val="24"/>
                <w:szCs w:val="24"/>
                <w:highlight w:val="none"/>
                <w:u w:val="none" w:color="auto"/>
                <w:lang w:val="en-US" w:eastAsia="zh-CN"/>
                <w14:textFill>
                  <w14:solidFill>
                    <w14:schemeClr w14:val="tx1"/>
                  </w14:solidFill>
                </w14:textFill>
              </w:rPr>
              <w:t>内腔可视为一个密闭罩集气罩，根据</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《局部排风设施控制风速检测与评估技术规范》（AQ/T 4274—2016 ）中控制风速要求</w:t>
            </w:r>
            <w:r>
              <w:rPr>
                <w:rFonts w:hint="eastAsia" w:cs="Times New Roman"/>
                <w:color w:val="000000" w:themeColor="text1"/>
                <w:sz w:val="24"/>
                <w:szCs w:val="24"/>
                <w:highlight w:val="none"/>
                <w:u w:val="none" w:color="auto"/>
                <w:lang w:val="en-US" w:eastAsia="zh-CN"/>
                <w14:textFill>
                  <w14:solidFill>
                    <w14:schemeClr w14:val="tx1"/>
                  </w14:solidFill>
                </w14:textFill>
              </w:rPr>
              <w:t>，控制风速在0.4m/s，风量等于面积*风速*时间，计算可得风量为2376m</w:t>
            </w:r>
            <w:r>
              <w:rPr>
                <w:rFonts w:hint="eastAsia" w:cs="Times New Roman"/>
                <w:color w:val="000000" w:themeColor="text1"/>
                <w:sz w:val="24"/>
                <w:szCs w:val="24"/>
                <w:highlight w:val="none"/>
                <w:u w:val="none" w:color="auto"/>
                <w:vertAlign w:val="superscript"/>
                <w:lang w:val="en-US" w:eastAsia="zh-CN"/>
                <w14:textFill>
                  <w14:solidFill>
                    <w14:schemeClr w14:val="tx1"/>
                  </w14:solidFill>
                </w14:textFill>
              </w:rPr>
              <w:t>3</w:t>
            </w:r>
            <w:r>
              <w:rPr>
                <w:rFonts w:hint="eastAsia" w:cs="Times New Roman"/>
                <w:color w:val="000000" w:themeColor="text1"/>
                <w:sz w:val="24"/>
                <w:szCs w:val="24"/>
                <w:highlight w:val="none"/>
                <w:u w:val="none" w:color="auto"/>
                <w:lang w:val="en-US" w:eastAsia="zh-CN"/>
                <w14:textFill>
                  <w14:solidFill>
                    <w14:schemeClr w14:val="tx1"/>
                  </w14:solidFill>
                </w14:textFill>
              </w:rPr>
              <w:t>/h。2#表面处理机（滑块用）内腔长宽高尺寸为1.3*1.1*1m，内腔可视为一个密闭罩集气罩，根据</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《局部排风设施控制风速检测与评估技术规范》（AQ/T 4274—2016 ）中控制风速要求</w:t>
            </w:r>
            <w:r>
              <w:rPr>
                <w:rFonts w:hint="eastAsia" w:cs="Times New Roman"/>
                <w:color w:val="000000" w:themeColor="text1"/>
                <w:sz w:val="24"/>
                <w:szCs w:val="24"/>
                <w:highlight w:val="none"/>
                <w:u w:val="none" w:color="auto"/>
                <w:lang w:val="en-US" w:eastAsia="zh-CN"/>
                <w14:textFill>
                  <w14:solidFill>
                    <w14:schemeClr w14:val="tx1"/>
                  </w14:solidFill>
                </w14:textFill>
              </w:rPr>
              <w:t>，控制风速在0.4m/s，风量等于面积*风速*时间，计算可得风量为2059.2m</w:t>
            </w:r>
            <w:r>
              <w:rPr>
                <w:rFonts w:hint="eastAsia" w:cs="Times New Roman"/>
                <w:color w:val="000000" w:themeColor="text1"/>
                <w:sz w:val="24"/>
                <w:szCs w:val="24"/>
                <w:highlight w:val="none"/>
                <w:u w:val="none" w:color="auto"/>
                <w:vertAlign w:val="superscript"/>
                <w:lang w:val="en-US" w:eastAsia="zh-CN"/>
                <w14:textFill>
                  <w14:solidFill>
                    <w14:schemeClr w14:val="tx1"/>
                  </w14:solidFill>
                </w14:textFill>
              </w:rPr>
              <w:t>3</w:t>
            </w:r>
            <w:r>
              <w:rPr>
                <w:rFonts w:hint="eastAsia" w:cs="Times New Roman"/>
                <w:color w:val="000000" w:themeColor="text1"/>
                <w:sz w:val="24"/>
                <w:szCs w:val="24"/>
                <w:highlight w:val="none"/>
                <w:u w:val="none" w:color="auto"/>
                <w:lang w:val="en-US" w:eastAsia="zh-CN"/>
                <w14:textFill>
                  <w14:solidFill>
                    <w14:schemeClr w14:val="tx1"/>
                  </w14:solidFill>
                </w14:textFill>
              </w:rPr>
              <w:t>/h，因两台设备共用一个排气筒，并考虑到一些不可预见情景，设置一台5000m</w:t>
            </w:r>
            <w:r>
              <w:rPr>
                <w:rFonts w:hint="eastAsia" w:cs="Times New Roman"/>
                <w:color w:val="000000" w:themeColor="text1"/>
                <w:sz w:val="24"/>
                <w:szCs w:val="24"/>
                <w:highlight w:val="none"/>
                <w:u w:val="none" w:color="auto"/>
                <w:vertAlign w:val="superscript"/>
                <w:lang w:val="en-US" w:eastAsia="zh-CN"/>
                <w14:textFill>
                  <w14:solidFill>
                    <w14:schemeClr w14:val="tx1"/>
                  </w14:solidFill>
                </w14:textFill>
              </w:rPr>
              <w:t>3</w:t>
            </w:r>
            <w:r>
              <w:rPr>
                <w:rFonts w:hint="eastAsia" w:cs="Times New Roman"/>
                <w:color w:val="000000" w:themeColor="text1"/>
                <w:sz w:val="24"/>
                <w:szCs w:val="24"/>
                <w:highlight w:val="none"/>
                <w:u w:val="none" w:color="auto"/>
                <w:lang w:val="en-US" w:eastAsia="zh-CN"/>
                <w14:textFill>
                  <w14:solidFill>
                    <w14:schemeClr w14:val="tx1"/>
                  </w14:solidFill>
                </w14:textFill>
              </w:rPr>
              <w:t>/h的风机，共用</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1#排气筒排放</w:t>
            </w:r>
            <w:r>
              <w:rPr>
                <w:rFonts w:hint="eastAsia" w:cs="Times New Roman"/>
                <w:color w:val="000000" w:themeColor="text1"/>
                <w:sz w:val="24"/>
                <w:szCs w:val="24"/>
                <w:highlight w:val="none"/>
                <w:u w:val="none" w:color="auto"/>
                <w:lang w:val="en-US" w:eastAsia="zh-CN"/>
                <w14:textFill>
                  <w14:solidFill>
                    <w14:schemeClr w14:val="tx1"/>
                  </w14:solidFill>
                </w14:textFill>
              </w:rPr>
              <w:t>，工作时间按7200h计</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p>
          <w:p w14:paraId="43549432">
            <w:pPr>
              <w:keepNext w:val="0"/>
              <w:keepLines w:val="0"/>
              <w:suppressLineNumbers w:val="0"/>
              <w:bidi w:val="0"/>
              <w:spacing w:before="0" w:beforeAutospacing="0" w:after="0" w:afterAutospacing="0"/>
              <w:ind w:left="0" w:right="0"/>
              <w:jc w:val="center"/>
              <w:rPr>
                <w:rFonts w:hint="default" w:ascii="Times New Roman" w:hAnsi="Times New Roman" w:cs="Times New Roman"/>
                <w:b/>
                <w:bCs/>
                <w:u w:val="none" w:color="auto"/>
                <w:lang w:val="en-US" w:eastAsia="zh-CN"/>
              </w:rPr>
            </w:pPr>
            <w:r>
              <w:rPr>
                <w:rFonts w:hint="default" w:ascii="Times New Roman" w:hAnsi="Times New Roman" w:cs="Times New Roman"/>
                <w:b/>
                <w:bCs/>
                <w:u w:val="none" w:color="auto"/>
                <w:lang w:val="en-US" w:eastAsia="zh-CN"/>
              </w:rPr>
              <w:t>表4-1   表面喷砂处理工序产排污一览表</w:t>
            </w:r>
          </w:p>
          <w:tbl>
            <w:tblPr>
              <w:tblStyle w:val="33"/>
              <w:tblW w:w="81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1"/>
              <w:gridCol w:w="878"/>
              <w:gridCol w:w="700"/>
              <w:gridCol w:w="740"/>
              <w:gridCol w:w="765"/>
              <w:gridCol w:w="885"/>
              <w:gridCol w:w="690"/>
              <w:gridCol w:w="690"/>
              <w:gridCol w:w="810"/>
              <w:gridCol w:w="660"/>
              <w:gridCol w:w="693"/>
            </w:tblGrid>
            <w:tr w14:paraId="3354F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6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A77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设备名称</w:t>
                  </w:r>
                </w:p>
              </w:tc>
              <w:tc>
                <w:tcPr>
                  <w:tcW w:w="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B04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因子</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0C5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lang w:val="en-US"/>
                    </w:rPr>
                  </w:pPr>
                  <w:r>
                    <w:rPr>
                      <w:rFonts w:hint="default" w:ascii="Times New Roman" w:hAnsi="Times New Roman" w:eastAsia="宋体" w:cs="Times New Roman"/>
                      <w:i w:val="0"/>
                      <w:iCs w:val="0"/>
                      <w:color w:val="000000"/>
                      <w:kern w:val="0"/>
                      <w:sz w:val="21"/>
                      <w:szCs w:val="21"/>
                      <w:u w:val="none" w:color="auto"/>
                      <w:lang w:val="en-US" w:eastAsia="zh-CN" w:bidi="ar"/>
                    </w:rPr>
                    <w:t>产生量t/a</w:t>
                  </w:r>
                </w:p>
              </w:tc>
              <w:tc>
                <w:tcPr>
                  <w:tcW w:w="45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2B7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有组织</w:t>
                  </w:r>
                </w:p>
              </w:tc>
              <w:tc>
                <w:tcPr>
                  <w:tcW w:w="13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B04F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无组织</w:t>
                  </w:r>
                </w:p>
              </w:tc>
            </w:tr>
            <w:tr w14:paraId="5BE46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6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810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color="auto"/>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A1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color="auto"/>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290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color="auto"/>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82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产生量</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6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产生速率</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7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产生浓度</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BB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排放量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60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排放速率</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B66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排放浓度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8C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排放量</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2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排放速率</w:t>
                  </w:r>
                </w:p>
              </w:tc>
            </w:tr>
            <w:tr w14:paraId="27CEB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6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CC8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color="auto"/>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26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color="auto"/>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D6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color="auto"/>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6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t/a</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F8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kg/h</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4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mg/m</w:t>
                  </w:r>
                  <w:r>
                    <w:rPr>
                      <w:rFonts w:hint="default" w:ascii="Times New Roman" w:hAnsi="Times New Roman" w:eastAsia="宋体" w:cs="Times New Roman"/>
                      <w:i w:val="0"/>
                      <w:iCs w:val="0"/>
                      <w:color w:val="000000"/>
                      <w:kern w:val="0"/>
                      <w:sz w:val="21"/>
                      <w:szCs w:val="21"/>
                      <w:u w:val="none" w:color="auto"/>
                      <w:vertAlign w:val="superscript"/>
                      <w:lang w:val="en-US" w:eastAsia="zh-CN" w:bidi="ar"/>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3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t/a</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87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kg/h</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3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mg/m</w:t>
                  </w:r>
                  <w:r>
                    <w:rPr>
                      <w:rFonts w:hint="default" w:ascii="Times New Roman" w:hAnsi="Times New Roman" w:eastAsia="宋体" w:cs="Times New Roman"/>
                      <w:i w:val="0"/>
                      <w:iCs w:val="0"/>
                      <w:color w:val="000000"/>
                      <w:kern w:val="0"/>
                      <w:sz w:val="21"/>
                      <w:szCs w:val="21"/>
                      <w:u w:val="none" w:color="auto"/>
                      <w:vertAlign w:val="superscript"/>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4F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t/a</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9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kg/h</w:t>
                  </w:r>
                </w:p>
              </w:tc>
            </w:tr>
            <w:tr w14:paraId="1AB57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7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1#喷砂机</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3A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颗粒物</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39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12.31 </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5A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12.06 </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29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1.68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81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705.06 </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82B6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1.43 </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3A9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0.20 </w:t>
                  </w: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015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39.72 </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96E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0.29 </w:t>
                  </w:r>
                </w:p>
              </w:tc>
              <w:tc>
                <w:tcPr>
                  <w:tcW w:w="6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C4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0.04 </w:t>
                  </w:r>
                </w:p>
              </w:tc>
            </w:tr>
            <w:tr w14:paraId="49673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09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2#喷砂机</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7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center"/>
                    <w:rPr>
                      <w:rFonts w:hint="default" w:ascii="Times New Roman" w:hAnsi="Times New Roman" w:eastAsia="宋体" w:cs="Times New Roman"/>
                      <w:i w:val="0"/>
                      <w:iCs w:val="0"/>
                      <w:color w:val="000000"/>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颗粒物</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F31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2.28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92C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2.24 </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230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0.31 </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FBA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150.84 </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063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119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CF8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BD7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EA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bl>
          <w:p w14:paraId="7F5667AE">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）机加工废气</w:t>
            </w:r>
          </w:p>
          <w:p w14:paraId="3C3C73ED">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由于本项目采用湿法加工工艺，采用切削液</w:t>
            </w:r>
            <w:r>
              <w:rPr>
                <w:rFonts w:hint="eastAsia" w:cs="Times New Roman"/>
                <w:color w:val="000000" w:themeColor="text1"/>
                <w:sz w:val="24"/>
                <w:szCs w:val="24"/>
                <w:highlight w:val="none"/>
                <w:u w:val="none" w:color="auto"/>
                <w:lang w:val="en-US" w:eastAsia="zh-CN"/>
                <w14:textFill>
                  <w14:solidFill>
                    <w14:schemeClr w14:val="tx1"/>
                  </w14:solidFill>
                </w14:textFill>
              </w:rPr>
              <w:t>对刀头进行降温</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冷却</w:t>
            </w:r>
            <w:r>
              <w:rPr>
                <w:rFonts w:hint="eastAsia" w:cs="Times New Roman"/>
                <w:color w:val="000000" w:themeColor="text1"/>
                <w:sz w:val="24"/>
                <w:szCs w:val="24"/>
                <w:highlight w:val="none"/>
                <w:u w:val="none" w:color="auto"/>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项目CNC钻铣、平面磨、球道磨等机加工在刀头高速旋转和切削的时候，</w:t>
            </w:r>
            <w:r>
              <w:rPr>
                <w:rFonts w:hint="eastAsia" w:cs="Times New Roman"/>
                <w:color w:val="000000" w:themeColor="text1"/>
                <w:sz w:val="24"/>
                <w:szCs w:val="24"/>
                <w:highlight w:val="none"/>
                <w:u w:val="none" w:color="auto"/>
                <w:lang w:val="en-US" w:eastAsia="zh-CN"/>
                <w14:textFill>
                  <w14:solidFill>
                    <w14:schemeClr w14:val="tx1"/>
                  </w14:solidFill>
                </w14:textFill>
              </w:rPr>
              <w:t>工件</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与刀头接触高温会产生</w:t>
            </w:r>
            <w:r>
              <w:rPr>
                <w:rFonts w:hint="eastAsia" w:cs="Times New Roman"/>
                <w:color w:val="000000" w:themeColor="text1"/>
                <w:sz w:val="24"/>
                <w:szCs w:val="24"/>
                <w:highlight w:val="none"/>
                <w:u w:val="none" w:color="auto"/>
                <w:lang w:val="en-US" w:eastAsia="zh-CN"/>
                <w14:textFill>
                  <w14:solidFill>
                    <w14:schemeClr w14:val="tx1"/>
                  </w14:solidFill>
                </w14:textFill>
              </w:rPr>
              <w:t>油雾颗粒，这些油雾颗粒中包含挥发性有机物。</w:t>
            </w:r>
          </w:p>
          <w:p w14:paraId="4EFC388F">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①挥发性有机物</w:t>
            </w:r>
            <w:r>
              <w:rPr>
                <w:rFonts w:hint="eastAsia" w:cs="Times New Roman"/>
                <w:color w:val="000000" w:themeColor="text1"/>
                <w:sz w:val="24"/>
                <w:szCs w:val="24"/>
                <w:highlight w:val="none"/>
                <w:u w:val="none" w:color="auto"/>
                <w:lang w:val="en-US" w:eastAsia="zh-CN"/>
                <w14:textFill>
                  <w14:solidFill>
                    <w14:schemeClr w14:val="tx1"/>
                  </w14:solidFill>
                </w14:textFill>
              </w:rPr>
              <w:t>（用非甲烷总烃表征）</w:t>
            </w:r>
          </w:p>
          <w:p w14:paraId="63EAB3FF">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根据《33-</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37</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431</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434</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机械行业系数手册》07机械加工系数，挥发性有机物产生系数为5.64kg/t原料，</w:t>
            </w:r>
            <w:r>
              <w:rPr>
                <w:rFonts w:hint="eastAsia" w:cs="Times New Roman"/>
                <w:color w:val="000000" w:themeColor="text1"/>
                <w:sz w:val="24"/>
                <w:szCs w:val="24"/>
                <w:highlight w:val="none"/>
                <w:u w:val="none" w:color="auto"/>
                <w:lang w:val="en-US" w:eastAsia="zh-CN"/>
                <w14:textFill>
                  <w14:solidFill>
                    <w14:schemeClr w14:val="tx1"/>
                  </w14:solidFill>
                </w14:textFill>
              </w:rPr>
              <w:t>根据原辅材料用量表切削液用量为16t/a，计算可得将产生90.24kg/a的挥发性有机物。</w:t>
            </w:r>
          </w:p>
          <w:p w14:paraId="1D0B3DDC">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②</w:t>
            </w:r>
            <w:r>
              <w:rPr>
                <w:rFonts w:hint="eastAsia" w:cs="Times New Roman"/>
                <w:color w:val="000000" w:themeColor="text1"/>
                <w:sz w:val="24"/>
                <w:szCs w:val="24"/>
                <w:highlight w:val="none"/>
                <w:u w:val="none" w:color="auto"/>
                <w:lang w:val="en-US" w:eastAsia="zh-CN"/>
                <w14:textFill>
                  <w14:solidFill>
                    <w14:schemeClr w14:val="tx1"/>
                  </w14:solidFill>
                </w14:textFill>
              </w:rPr>
              <w:t>颗粒物</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油雾</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p>
          <w:p w14:paraId="0CC3595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根据同济大学学报第48卷第一期（自然科学版）发布的《机加工油雾颗粒散发模型与粒径分布规律》（作者：王非、李振海、王鹏、黄晨），</w:t>
            </w:r>
            <w:r>
              <w:rPr>
                <w:rFonts w:hint="eastAsia" w:cs="Times New Roman"/>
                <w:color w:val="000000" w:themeColor="text1"/>
                <w:sz w:val="24"/>
                <w:szCs w:val="24"/>
                <w:highlight w:val="none"/>
                <w:u w:val="none" w:color="auto"/>
                <w:lang w:val="en-US" w:eastAsia="zh-CN"/>
                <w14:textFill>
                  <w14:solidFill>
                    <w14:schemeClr w14:val="tx1"/>
                  </w14:solidFill>
                </w14:textFill>
              </w:rPr>
              <w:t>该报告中</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引入气溶胶雾化率，结合理论模型得到最大雾化流</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量，由此计算出油雾颗粒散发率。利用</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Rosin‒Rammler</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函数拟合粒径分布规律。采用一种环境舱的实验方法得到了气溶胶雾化系数和Rosin‒Rammler函数的关键参数。建立了甩出机制下各个粒径油雾颗粒的散发率模型。油雾颗粒散发率和气溶胶雾化系数随着刀具转速的增加而增加，其中气溶胶雾化系数与刀具转速呈线性关系。实验数据表明，总的油雾颗粒散发率为14.58~620.95 mg·h-1</w:t>
            </w:r>
            <w:r>
              <w:rPr>
                <w:rFonts w:hint="eastAsia" w:cs="Times New Roman"/>
                <w:color w:val="000000" w:themeColor="text1"/>
                <w:sz w:val="24"/>
                <w:szCs w:val="24"/>
                <w:highlight w:val="none"/>
                <w:u w:val="none" w:color="auto"/>
                <w:lang w:val="en-US" w:eastAsia="zh-CN"/>
                <w14:textFill>
                  <w14:solidFill>
                    <w14:schemeClr w14:val="tx1"/>
                  </w14:solidFill>
                </w14:textFill>
              </w:rPr>
              <w:t>，按照最不利原则，本次评价取油雾产生率为620.95</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 xml:space="preserve"> mg·h-1</w:t>
            </w:r>
            <w:r>
              <w:rPr>
                <w:rFonts w:hint="eastAsia" w:cs="Times New Roman"/>
                <w:color w:val="000000" w:themeColor="text1"/>
                <w:sz w:val="24"/>
                <w:szCs w:val="24"/>
                <w:highlight w:val="none"/>
                <w:u w:val="none" w:color="auto"/>
                <w:lang w:val="en-US" w:eastAsia="zh-CN"/>
                <w14:textFill>
                  <w14:solidFill>
                    <w14:schemeClr w14:val="tx1"/>
                  </w14:solidFill>
                </w14:textFill>
              </w:rPr>
              <w:t>，根据设备清单本项目共有CNC和磨床等加工设备212台，年工作时间为7200h，油雾产生量947.82kg/a。</w:t>
            </w:r>
          </w:p>
          <w:p w14:paraId="0A927C5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本项目设备在加工过程中采用密闭加工，每台设备均设置有油雾收集处理系统，采用负压吸入，迫使油雾被定向吸入吸雾器内，油雾微粒在油雾净化器内风轮的作用下发生碰撞，微小的颗粒集合成较大的颗粒。这些颗粒在高效吸雾材料的阻挡下被拦截下来，通过回流口收集并回收，油雾气体在一级过滤中，通过旋转式螺旋过滤器或旋风预处理器排出固体颗粒；在二级过滤中，滤芯阻挡</w:t>
            </w:r>
            <w:r>
              <w:rPr>
                <w:rFonts w:hint="eastAsia" w:cs="Times New Roman"/>
                <w:color w:val="000000" w:themeColor="text1"/>
                <w:sz w:val="24"/>
                <w:szCs w:val="24"/>
                <w:highlight w:val="none"/>
                <w:u w:val="none" w:color="auto"/>
                <w:lang w:val="en-US" w:eastAsia="zh-CN"/>
                <w14:textFill>
                  <w14:solidFill>
                    <w14:schemeClr w14:val="tx1"/>
                  </w14:solidFill>
                </w14:textFill>
              </w:rPr>
              <w:t>（采用金属滤网）阻挡细小</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杂质颗粒；三级过滤</w:t>
            </w:r>
            <w:r>
              <w:rPr>
                <w:rFonts w:hint="eastAsia" w:cs="Times New Roman"/>
                <w:color w:val="000000" w:themeColor="text1"/>
                <w:sz w:val="24"/>
                <w:szCs w:val="24"/>
                <w:highlight w:val="none"/>
                <w:u w:val="none" w:color="auto"/>
                <w:lang w:val="en-US" w:eastAsia="zh-CN"/>
                <w14:textFill>
                  <w14:solidFill>
                    <w14:schemeClr w14:val="tx1"/>
                  </w14:solidFill>
                </w14:textFill>
              </w:rPr>
              <w:t>（采用纤维滤芯）</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进一步处理残留的小油污颗粒</w:t>
            </w:r>
            <w:r>
              <w:rPr>
                <w:rFonts w:hint="eastAsia" w:cs="Times New Roman"/>
                <w:color w:val="000000" w:themeColor="text1"/>
                <w:sz w:val="24"/>
                <w:szCs w:val="24"/>
                <w:highlight w:val="none"/>
                <w:u w:val="none" w:color="auto"/>
                <w:lang w:val="en-US" w:eastAsia="zh-CN"/>
                <w14:textFill>
                  <w14:solidFill>
                    <w14:schemeClr w14:val="tx1"/>
                  </w14:solidFill>
                </w14:textFill>
              </w:rPr>
              <w:t>。尾气无组织车</w:t>
            </w:r>
            <w:r>
              <w:rPr>
                <w:rFonts w:hint="eastAsia" w:cs="Times New Roman"/>
                <w:color w:val="auto"/>
                <w:sz w:val="24"/>
                <w:szCs w:val="24"/>
                <w:highlight w:val="none"/>
                <w:u w:val="none" w:color="auto"/>
                <w:lang w:val="en-US" w:eastAsia="zh-CN"/>
              </w:rPr>
              <w:t>间内排放。</w:t>
            </w:r>
          </w:p>
          <w:p w14:paraId="18A4337D">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本项目采用负压收集+三级过滤，密闭负压收集效率为90%，三级过滤效率可达98%。</w:t>
            </w:r>
          </w:p>
          <w:p w14:paraId="4D7BF73A">
            <w:pPr>
              <w:keepNext w:val="0"/>
              <w:keepLines w:val="0"/>
              <w:suppressLineNumbers w:val="0"/>
              <w:bidi w:val="0"/>
              <w:spacing w:before="0" w:beforeAutospacing="0" w:after="0" w:afterAutospacing="0"/>
              <w:ind w:left="0" w:right="0"/>
              <w:jc w:val="center"/>
              <w:rPr>
                <w:rFonts w:hint="default"/>
                <w:b/>
                <w:bCs/>
                <w:lang w:val="en-US" w:eastAsia="zh-CN"/>
              </w:rPr>
            </w:pPr>
            <w:r>
              <w:rPr>
                <w:rFonts w:hint="eastAsia"/>
                <w:b/>
                <w:bCs/>
                <w:lang w:val="en-US" w:eastAsia="zh-CN"/>
              </w:rPr>
              <w:t>表4-2    机加工产排污一览表</w:t>
            </w:r>
          </w:p>
          <w:tbl>
            <w:tblPr>
              <w:tblStyle w:val="34"/>
              <w:tblW w:w="82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290"/>
              <w:gridCol w:w="1425"/>
              <w:gridCol w:w="2070"/>
              <w:gridCol w:w="1905"/>
            </w:tblGrid>
            <w:tr w14:paraId="6B1E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vAlign w:val="center"/>
                </w:tcPr>
                <w:p w14:paraId="4714C6E9">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因子</w:t>
                  </w:r>
                </w:p>
              </w:tc>
              <w:tc>
                <w:tcPr>
                  <w:tcW w:w="1290" w:type="dxa"/>
                  <w:vAlign w:val="center"/>
                </w:tcPr>
                <w:p w14:paraId="22B1D016">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产生量kg/a</w:t>
                  </w:r>
                </w:p>
              </w:tc>
              <w:tc>
                <w:tcPr>
                  <w:tcW w:w="1425" w:type="dxa"/>
                  <w:vAlign w:val="center"/>
                </w:tcPr>
                <w:p w14:paraId="58DED302">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处理措施</w:t>
                  </w:r>
                </w:p>
              </w:tc>
              <w:tc>
                <w:tcPr>
                  <w:tcW w:w="2070" w:type="dxa"/>
                  <w:vAlign w:val="center"/>
                </w:tcPr>
                <w:p w14:paraId="592569B9">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被收集处理量kg/a</w:t>
                  </w:r>
                </w:p>
              </w:tc>
              <w:tc>
                <w:tcPr>
                  <w:tcW w:w="1905" w:type="dxa"/>
                  <w:vAlign w:val="center"/>
                </w:tcPr>
                <w:p w14:paraId="13EFEE3D">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无组织排放量kg/a</w:t>
                  </w:r>
                </w:p>
              </w:tc>
            </w:tr>
            <w:tr w14:paraId="6149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vAlign w:val="center"/>
                </w:tcPr>
                <w:p w14:paraId="6BBFC6EE">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非甲烷总烃</w:t>
                  </w:r>
                </w:p>
              </w:tc>
              <w:tc>
                <w:tcPr>
                  <w:tcW w:w="1290" w:type="dxa"/>
                  <w:vAlign w:val="center"/>
                </w:tcPr>
                <w:p w14:paraId="484A7A99">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90.24</w:t>
                  </w:r>
                </w:p>
              </w:tc>
              <w:tc>
                <w:tcPr>
                  <w:tcW w:w="1425" w:type="dxa"/>
                  <w:vMerge w:val="restart"/>
                  <w:vAlign w:val="center"/>
                </w:tcPr>
                <w:p w14:paraId="627FF1E3">
                  <w:pPr>
                    <w:keepNext w:val="0"/>
                    <w:keepLines w:val="0"/>
                    <w:suppressLineNumbers w:val="0"/>
                    <w:bidi w:val="0"/>
                    <w:spacing w:before="0" w:beforeAutospacing="0" w:after="0" w:afterAutospacing="0"/>
                    <w:ind w:left="0" w:right="0"/>
                    <w:jc w:val="center"/>
                    <w:rPr>
                      <w:rFonts w:hint="default"/>
                      <w:lang w:val="en-US" w:eastAsia="zh-CN"/>
                    </w:rPr>
                  </w:pPr>
                  <w:r>
                    <w:rPr>
                      <w:rFonts w:hint="eastAsia"/>
                      <w:vertAlign w:val="baseline"/>
                      <w:lang w:val="en-US" w:eastAsia="zh-CN"/>
                    </w:rPr>
                    <w:t>负压+三级过滤</w:t>
                  </w:r>
                </w:p>
              </w:tc>
              <w:tc>
                <w:tcPr>
                  <w:tcW w:w="2070" w:type="dxa"/>
                  <w:vAlign w:val="center"/>
                </w:tcPr>
                <w:p w14:paraId="71F62962">
                  <w:pPr>
                    <w:keepNext w:val="0"/>
                    <w:keepLines w:val="0"/>
                    <w:widowControl/>
                    <w:suppressLineNumbers w:val="0"/>
                    <w:spacing w:before="0" w:beforeAutospacing="0" w:after="0" w:afterAutospacing="0"/>
                    <w:ind w:left="0" w:right="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79.59 </w:t>
                  </w:r>
                </w:p>
              </w:tc>
              <w:tc>
                <w:tcPr>
                  <w:tcW w:w="1905" w:type="dxa"/>
                  <w:vAlign w:val="center"/>
                </w:tcPr>
                <w:p w14:paraId="053AF2F3">
                  <w:pPr>
                    <w:keepNext w:val="0"/>
                    <w:keepLines w:val="0"/>
                    <w:widowControl/>
                    <w:suppressLineNumbers w:val="0"/>
                    <w:spacing w:before="0" w:beforeAutospacing="0" w:after="0" w:afterAutospacing="0"/>
                    <w:ind w:left="0" w:right="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10.65 </w:t>
                  </w:r>
                </w:p>
              </w:tc>
            </w:tr>
            <w:tr w14:paraId="0917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vAlign w:val="center"/>
                </w:tcPr>
                <w:p w14:paraId="342908FB">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油雾（颗粒物）</w:t>
                  </w:r>
                </w:p>
              </w:tc>
              <w:tc>
                <w:tcPr>
                  <w:tcW w:w="1290" w:type="dxa"/>
                  <w:vAlign w:val="center"/>
                </w:tcPr>
                <w:p w14:paraId="6F58C1C8">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947.82</w:t>
                  </w:r>
                </w:p>
              </w:tc>
              <w:tc>
                <w:tcPr>
                  <w:tcW w:w="1425" w:type="dxa"/>
                  <w:vMerge w:val="continue"/>
                  <w:vAlign w:val="center"/>
                </w:tcPr>
                <w:p w14:paraId="2C04885F">
                  <w:pPr>
                    <w:keepNext w:val="0"/>
                    <w:keepLines w:val="0"/>
                    <w:suppressLineNumbers w:val="0"/>
                    <w:bidi w:val="0"/>
                    <w:spacing w:before="0" w:beforeAutospacing="0" w:after="0" w:afterAutospacing="0"/>
                    <w:ind w:left="0" w:right="0"/>
                    <w:jc w:val="center"/>
                    <w:rPr>
                      <w:rFonts w:hint="default"/>
                      <w:vertAlign w:val="baseline"/>
                      <w:lang w:val="en-US" w:eastAsia="zh-CN"/>
                    </w:rPr>
                  </w:pPr>
                </w:p>
              </w:tc>
              <w:tc>
                <w:tcPr>
                  <w:tcW w:w="2070" w:type="dxa"/>
                  <w:vAlign w:val="center"/>
                </w:tcPr>
                <w:p w14:paraId="798FA0AE">
                  <w:pPr>
                    <w:keepNext w:val="0"/>
                    <w:keepLines w:val="0"/>
                    <w:widowControl/>
                    <w:suppressLineNumbers w:val="0"/>
                    <w:spacing w:before="0" w:beforeAutospacing="0" w:after="0" w:afterAutospacing="0"/>
                    <w:ind w:left="0" w:right="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835.98 </w:t>
                  </w:r>
                </w:p>
              </w:tc>
              <w:tc>
                <w:tcPr>
                  <w:tcW w:w="1905" w:type="dxa"/>
                  <w:vAlign w:val="center"/>
                </w:tcPr>
                <w:p w14:paraId="7BE0C102">
                  <w:pPr>
                    <w:keepNext w:val="0"/>
                    <w:keepLines w:val="0"/>
                    <w:widowControl/>
                    <w:suppressLineNumbers w:val="0"/>
                    <w:spacing w:before="0" w:beforeAutospacing="0" w:after="0" w:afterAutospacing="0"/>
                    <w:ind w:left="0" w:right="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111.84 </w:t>
                  </w:r>
                </w:p>
              </w:tc>
            </w:tr>
          </w:tbl>
          <w:p w14:paraId="724F391F">
            <w:pPr>
              <w:pStyle w:val="1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420" w:leftChars="200" w:right="0" w:rightChars="0"/>
              <w:textAlignment w:val="auto"/>
              <w:rPr>
                <w:rFonts w:hint="default" w:ascii="Times New Roman" w:hAnsi="Times New Roman"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u w:val="none" w:color="auto"/>
                <w:lang w:val="en-US" w:eastAsia="zh-CN"/>
                <w14:textFill>
                  <w14:solidFill>
                    <w14:schemeClr w14:val="tx1"/>
                  </w14:solidFill>
                </w14:textFill>
              </w:rPr>
              <w:t>（4）食堂油烟</w:t>
            </w:r>
          </w:p>
          <w:p w14:paraId="1E35DEF7">
            <w:pPr>
              <w:pStyle w:val="144"/>
              <w:keepNext w:val="0"/>
              <w:keepLines w:val="0"/>
              <w:suppressLineNumbers w:val="0"/>
              <w:spacing w:before="0" w:beforeAutospacing="0" w:after="0" w:afterAutospacing="0"/>
              <w:ind w:left="0" w:right="0" w:firstLine="420"/>
              <w:rPr>
                <w:rFonts w:hint="eastAsia"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kern w:val="0"/>
                <w:sz w:val="24"/>
                <w:szCs w:val="24"/>
                <w:highlight w:val="none"/>
                <w:lang w:val="en-US" w:eastAsia="zh-CN" w:bidi="ar"/>
              </w:rPr>
              <w:t>项目厂区内设置员工食堂，食堂就餐人数按400人计，根据中国国家卫生健康委员会和《中国居民膳食指南》的建议，每人每天食用油控制量在25-30g，油烟挥发量根据炒菜的习惯和油温不同，挥发量在1-5%之间，本次评价取中间值，每人每天食用油按27.5g计算、挥发量按3%计算，本项目食堂设灶头数5个，每天工作时间按5h计，根据《饮食业油烟排放标准（试行）》（GB18483-2001），属中型规模，要求每个灶头配套油烟净化器，排风量按每个灶头2000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ascii="Times New Roman" w:hAnsi="Times New Roman" w:eastAsia="宋体" w:cs="Times New Roman"/>
                <w:color w:val="000000"/>
                <w:kern w:val="0"/>
                <w:sz w:val="24"/>
                <w:szCs w:val="24"/>
                <w:highlight w:val="none"/>
                <w:lang w:val="en-US" w:eastAsia="zh-CN" w:bidi="ar"/>
              </w:rPr>
              <w:t>/h计，计算可知，每个灶头油烟产生量为19.8kg/a，产生浓度为6.6mg/m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ascii="Times New Roman" w:hAnsi="Times New Roman" w:eastAsia="宋体" w:cs="Times New Roman"/>
                <w:color w:val="000000"/>
                <w:kern w:val="0"/>
                <w:sz w:val="24"/>
                <w:szCs w:val="24"/>
                <w:highlight w:val="none"/>
                <w:lang w:val="en-US" w:eastAsia="zh-CN" w:bidi="ar"/>
              </w:rPr>
              <w:t>，油烟净化器净化效率不低于75%，</w:t>
            </w:r>
            <w:r>
              <w:rPr>
                <w:rFonts w:hint="eastAsia" w:ascii="Times New Roman" w:hAnsi="Times New Roman" w:eastAsia="宋体" w:cs="Times New Roman"/>
                <w:color w:val="000000"/>
                <w:kern w:val="0"/>
                <w:sz w:val="24"/>
                <w:szCs w:val="24"/>
                <w:highlight w:val="none"/>
                <w:vertAlign w:val="baseline"/>
                <w:lang w:val="en-US" w:eastAsia="zh-CN" w:bidi="ar"/>
              </w:rPr>
              <w:t>项目设置一个排气筒，</w:t>
            </w:r>
            <w:r>
              <w:rPr>
                <w:rFonts w:hint="eastAsia" w:ascii="Times New Roman" w:hAnsi="Times New Roman" w:eastAsia="宋体" w:cs="Times New Roman"/>
                <w:color w:val="000000"/>
                <w:kern w:val="0"/>
                <w:sz w:val="24"/>
                <w:szCs w:val="24"/>
                <w:highlight w:val="none"/>
                <w:lang w:val="en-US" w:eastAsia="zh-CN" w:bidi="ar"/>
              </w:rPr>
              <w:t>排放量为24.75kg/a，排放浓度为1.65mg/m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ascii="Times New Roman" w:hAnsi="Times New Roman" w:eastAsia="宋体" w:cs="Times New Roman"/>
                <w:color w:val="000000"/>
                <w:kern w:val="0"/>
                <w:sz w:val="24"/>
                <w:szCs w:val="24"/>
                <w:highlight w:val="none"/>
                <w:vertAlign w:val="baseline"/>
                <w:lang w:val="en-US" w:eastAsia="zh-CN" w:bidi="ar"/>
              </w:rPr>
              <w:t>，符合</w:t>
            </w:r>
            <w:r>
              <w:rPr>
                <w:rFonts w:hint="eastAsia" w:ascii="Times New Roman" w:hAnsi="Times New Roman" w:eastAsia="宋体" w:cs="Times New Roman"/>
                <w:color w:val="000000"/>
                <w:kern w:val="0"/>
                <w:sz w:val="24"/>
                <w:szCs w:val="24"/>
                <w:highlight w:val="none"/>
                <w:lang w:val="en-US" w:eastAsia="zh-CN" w:bidi="ar"/>
              </w:rPr>
              <w:t>《饮食业油烟排放标准（试行）》（GB18483-2001）中低于2mg/m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ascii="Times New Roman" w:hAnsi="Times New Roman" w:eastAsia="宋体" w:cs="Times New Roman"/>
                <w:color w:val="000000"/>
                <w:kern w:val="0"/>
                <w:sz w:val="24"/>
                <w:szCs w:val="24"/>
                <w:highlight w:val="none"/>
                <w:lang w:val="en-US" w:eastAsia="zh-CN" w:bidi="ar"/>
              </w:rPr>
              <w:t>的标准要求。</w:t>
            </w:r>
          </w:p>
          <w:p w14:paraId="5AF80EEC">
            <w:pPr>
              <w:pStyle w:val="1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420" w:leftChars="200" w:right="0" w:rightChars="0"/>
              <w:textAlignment w:val="auto"/>
              <w:rPr>
                <w:rFonts w:hint="eastAsia" w:cs="Times New Roman"/>
                <w:b/>
                <w:bCs/>
                <w:color w:val="000000" w:themeColor="text1"/>
                <w:sz w:val="24"/>
                <w:szCs w:val="24"/>
                <w:highlight w:val="none"/>
                <w:u w:val="none" w:color="auto"/>
                <w:lang w:val="en-US" w:eastAsia="zh-CN"/>
                <w14:textFill>
                  <w14:solidFill>
                    <w14:schemeClr w14:val="tx1"/>
                  </w14:solidFill>
                </w14:textFill>
              </w:rPr>
            </w:pPr>
            <w:r>
              <w:rPr>
                <w:rFonts w:hint="eastAsia" w:cs="Times New Roman"/>
                <w:b/>
                <w:bCs/>
                <w:color w:val="000000" w:themeColor="text1"/>
                <w:sz w:val="24"/>
                <w:szCs w:val="24"/>
                <w:highlight w:val="none"/>
                <w:u w:val="none" w:color="auto"/>
                <w:lang w:val="en-US" w:eastAsia="zh-CN"/>
                <w14:textFill>
                  <w14:solidFill>
                    <w14:schemeClr w14:val="tx1"/>
                  </w14:solidFill>
                </w14:textFill>
              </w:rPr>
              <w:t>（5）激光打标废气</w:t>
            </w:r>
          </w:p>
          <w:p w14:paraId="42B27201">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u w:val="none"/>
                <w:lang w:val="en-US" w:eastAsia="zh-CN"/>
              </w:rPr>
            </w:pPr>
            <w:r>
              <w:rPr>
                <w:rFonts w:hint="eastAsia" w:ascii="Times New Roman" w:hAnsi="Times New Roman" w:eastAsia="宋体" w:cs="Times New Roman"/>
                <w:color w:val="000000"/>
                <w:sz w:val="24"/>
                <w:szCs w:val="24"/>
                <w:u w:val="none"/>
                <w:lang w:val="en-US" w:eastAsia="zh-CN"/>
              </w:rPr>
              <w:t>本项目激光打标机在打标的时候，会</w:t>
            </w:r>
            <w:r>
              <w:rPr>
                <w:rFonts w:hint="eastAsia" w:cs="Times New Roman"/>
                <w:color w:val="000000"/>
                <w:sz w:val="24"/>
                <w:szCs w:val="24"/>
                <w:u w:val="none"/>
                <w:lang w:val="en-US" w:eastAsia="zh-CN"/>
              </w:rPr>
              <w:t>将</w:t>
            </w:r>
            <w:r>
              <w:rPr>
                <w:rFonts w:hint="eastAsia" w:ascii="Times New Roman" w:hAnsi="Times New Roman" w:eastAsia="宋体" w:cs="Times New Roman"/>
                <w:color w:val="000000"/>
                <w:sz w:val="24"/>
                <w:szCs w:val="24"/>
                <w:u w:val="none"/>
                <w:lang w:val="en-US" w:eastAsia="zh-CN"/>
              </w:rPr>
              <w:t>工件表面气化，产生少量的颗粒物，由于激光束很窄，且刻痕不深，所刻标志很少，产生极少量的颗粒物，在车间内无组织排放，本次评价定性分析。</w:t>
            </w:r>
          </w:p>
          <w:p w14:paraId="03A17ECE">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、废气污染治理措施及其可行性分析</w:t>
            </w:r>
          </w:p>
          <w:p w14:paraId="46B0F92D">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本项目产生废气主要有高频</w:t>
            </w:r>
            <w:r>
              <w:rPr>
                <w:rFonts w:hint="eastAsia" w:cs="Times New Roman"/>
                <w:color w:val="000000" w:themeColor="text1"/>
                <w:sz w:val="24"/>
                <w:szCs w:val="24"/>
                <w:highlight w:val="none"/>
                <w:u w:val="none" w:color="auto"/>
                <w:lang w:val="en-US" w:eastAsia="zh-CN"/>
                <w14:textFill>
                  <w14:solidFill>
                    <w14:schemeClr w14:val="tx1"/>
                  </w14:solidFill>
                </w14:textFill>
              </w:rPr>
              <w:t>热</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处理产生的淬火油烟、表面喷砂产生的颗粒物、机加工废气（挥发性有机物、油雾（颗粒物））。</w:t>
            </w:r>
          </w:p>
          <w:p w14:paraId="6ACCED22">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高频热处理工序参考</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《排污许可证申请与核发技术规范 铁路、船舶、航空航天和其他运输设备制造业》（</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HJ 1124</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2020</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和《</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排污许可证申请与核发技术规范</w:t>
            </w:r>
            <w:r>
              <w:rPr>
                <w:rFonts w:hint="eastAsia" w:cs="Times New Roman"/>
                <w:color w:val="000000" w:themeColor="text1"/>
                <w:sz w:val="24"/>
                <w:szCs w:val="24"/>
                <w:highlight w:val="none"/>
                <w:u w:val="none" w:color="auto"/>
                <w:lang w:val="en-US" w:eastAsia="zh-CN"/>
                <w14:textFill>
                  <w14:solidFill>
                    <w14:schemeClr w14:val="tx1"/>
                  </w14:solidFill>
                </w14:textFill>
              </w:rPr>
              <w:t xml:space="preserve"> 汽车制造》（HJ971-2018）中热处理工序，排放形式可以通过无组织排放，本项目高频处理产生的油烟产生量较少，且产生的油烟夹杂在大量水蒸气中无法有效收集处理，因此高频处理产生的油烟无组织排放措施可行。</w:t>
            </w:r>
          </w:p>
          <w:p w14:paraId="499B9782">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表面喷砂处理工序产生的颗粒物，设备自带收集处理装置，处理装置采用布袋除尘，参考《排污许可证申请与核发技术规范 铁路、船舶、航空航天和其他运输设备制造业》（</w:t>
            </w:r>
            <w:r>
              <w:rPr>
                <w:rFonts w:hint="default" w:cs="Times New Roman"/>
                <w:color w:val="000000" w:themeColor="text1"/>
                <w:sz w:val="24"/>
                <w:szCs w:val="24"/>
                <w:highlight w:val="none"/>
                <w:u w:val="none" w:color="auto"/>
                <w:lang w:val="en-US" w:eastAsia="zh-CN"/>
                <w14:textFill>
                  <w14:solidFill>
                    <w14:schemeClr w14:val="tx1"/>
                  </w14:solidFill>
                </w14:textFill>
              </w:rPr>
              <w:t>HJ 1124</w:t>
            </w:r>
            <w:r>
              <w:rPr>
                <w:rFonts w:hint="eastAsia" w:cs="Times New Roman"/>
                <w:color w:val="000000" w:themeColor="text1"/>
                <w:sz w:val="24"/>
                <w:szCs w:val="24"/>
                <w:highlight w:val="none"/>
                <w:u w:val="none" w:color="auto"/>
                <w:lang w:val="en-US" w:eastAsia="zh-CN"/>
                <w14:textFill>
                  <w14:solidFill>
                    <w14:schemeClr w14:val="tx1"/>
                  </w14:solidFill>
                </w14:textFill>
              </w:rPr>
              <w:t>—</w:t>
            </w:r>
            <w:r>
              <w:rPr>
                <w:rFonts w:hint="default" w:cs="Times New Roman"/>
                <w:color w:val="000000" w:themeColor="text1"/>
                <w:sz w:val="24"/>
                <w:szCs w:val="24"/>
                <w:highlight w:val="none"/>
                <w:u w:val="none" w:color="auto"/>
                <w:lang w:val="en-US" w:eastAsia="zh-CN"/>
                <w14:textFill>
                  <w14:solidFill>
                    <w14:schemeClr w14:val="tx1"/>
                  </w14:solidFill>
                </w14:textFill>
              </w:rPr>
              <w:t>2020</w:t>
            </w:r>
            <w:r>
              <w:rPr>
                <w:rFonts w:hint="eastAsia" w:cs="Times New Roman"/>
                <w:color w:val="000000" w:themeColor="text1"/>
                <w:sz w:val="24"/>
                <w:szCs w:val="24"/>
                <w:highlight w:val="none"/>
                <w:u w:val="none" w:color="auto"/>
                <w:lang w:val="en-US" w:eastAsia="zh-CN"/>
                <w14:textFill>
                  <w14:solidFill>
                    <w14:schemeClr w14:val="tx1"/>
                  </w14:solidFill>
                </w14:textFill>
              </w:rPr>
              <w:t>）附录</w:t>
            </w:r>
            <w:r>
              <w:rPr>
                <w:rFonts w:hint="default" w:cs="Times New Roman"/>
                <w:color w:val="000000" w:themeColor="text1"/>
                <w:sz w:val="24"/>
                <w:szCs w:val="24"/>
                <w:highlight w:val="none"/>
                <w:u w:val="none" w:color="auto"/>
                <w:lang w:val="en-US" w:eastAsia="zh-CN"/>
                <w14:textFill>
                  <w14:solidFill>
                    <w14:schemeClr w14:val="tx1"/>
                  </w14:solidFill>
                </w14:textFill>
              </w:rPr>
              <w:t>C</w:t>
            </w:r>
            <w:r>
              <w:rPr>
                <w:rFonts w:hint="eastAsia" w:cs="Times New Roman"/>
                <w:color w:val="000000" w:themeColor="text1"/>
                <w:sz w:val="24"/>
                <w:szCs w:val="24"/>
                <w:highlight w:val="none"/>
                <w:u w:val="none" w:color="auto"/>
                <w:lang w:val="en-US" w:eastAsia="zh-CN"/>
                <w14:textFill>
                  <w14:solidFill>
                    <w14:schemeClr w14:val="tx1"/>
                  </w14:solidFill>
                </w14:textFill>
              </w:rPr>
              <w:t>污染防治推荐可行技术参考表，采用布袋除尘为可行技术。</w:t>
            </w:r>
          </w:p>
          <w:p w14:paraId="316E13E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机加工工序，本项目机加工工序采用湿法加工，加工时关闭仓门形成密闭加工空间，负压收集产生的油雾和挥发性有机物，经过三级机械过滤后车间内无组织排放，参考</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《排污许可证申请与核发技术规范 铁路、船舶、航空航天和其他运输设备制造业》（</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HJ 1124</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2020</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附录</w:t>
            </w:r>
            <w:r>
              <w:rPr>
                <w:rFonts w:hint="default" w:cs="Times New Roman"/>
                <w:color w:val="000000" w:themeColor="text1"/>
                <w:sz w:val="24"/>
                <w:szCs w:val="24"/>
                <w:highlight w:val="none"/>
                <w:u w:val="none" w:color="auto"/>
                <w:lang w:val="en-US" w:eastAsia="zh-CN"/>
                <w14:textFill>
                  <w14:solidFill>
                    <w14:schemeClr w14:val="tx1"/>
                  </w14:solidFill>
                </w14:textFill>
              </w:rPr>
              <w:t>C</w:t>
            </w:r>
            <w:r>
              <w:rPr>
                <w:rFonts w:hint="eastAsia" w:cs="Times New Roman"/>
                <w:color w:val="000000" w:themeColor="text1"/>
                <w:sz w:val="24"/>
                <w:szCs w:val="24"/>
                <w:highlight w:val="none"/>
                <w:u w:val="none" w:color="auto"/>
                <w:lang w:val="en-US" w:eastAsia="zh-CN"/>
                <w14:textFill>
                  <w14:solidFill>
                    <w14:schemeClr w14:val="tx1"/>
                  </w14:solidFill>
                </w14:textFill>
              </w:rPr>
              <w:t>污染防治推荐可行技术参考表，机加工工序可行技术为机械过滤，本项目采用三级机械过滤措施，因此采取的措施可行。</w:t>
            </w:r>
          </w:p>
          <w:p w14:paraId="0D259620">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综上所述，本项目</w:t>
            </w:r>
            <w:r>
              <w:rPr>
                <w:rFonts w:hint="eastAsia" w:cs="Times New Roman"/>
                <w:color w:val="000000" w:themeColor="text1"/>
                <w:sz w:val="24"/>
                <w:szCs w:val="24"/>
                <w:highlight w:val="none"/>
                <w:u w:val="none" w:color="auto"/>
                <w:lang w:val="en-US" w:eastAsia="zh-CN"/>
                <w14:textFill>
                  <w14:solidFill>
                    <w14:schemeClr w14:val="tx1"/>
                  </w14:solidFill>
                </w14:textFill>
              </w:rPr>
              <w:t>废气</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治理技术为可行技术。</w:t>
            </w:r>
          </w:p>
          <w:p w14:paraId="561237E4">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1.3、废气监测要求</w:t>
            </w:r>
          </w:p>
          <w:p w14:paraId="10D7ECCB">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自行监测参照《排污许可证申请与核发技术规范 铁路、船舶、航空航天和其他运输设备制造业》（</w:t>
            </w:r>
            <w:r>
              <w:rPr>
                <w:rFonts w:hint="default" w:ascii="Times New Roman" w:hAnsi="Times New Roman" w:eastAsia="宋体" w:cs="Times New Roman"/>
                <w:color w:val="auto"/>
                <w:sz w:val="24"/>
                <w:szCs w:val="24"/>
                <w:highlight w:val="none"/>
                <w:u w:val="none" w:color="auto"/>
                <w:lang w:val="en-US" w:eastAsia="zh-CN"/>
              </w:rPr>
              <w:t>HJ 1124</w:t>
            </w:r>
            <w:r>
              <w:rPr>
                <w:rFonts w:hint="eastAsia"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2020</w:t>
            </w:r>
            <w:r>
              <w:rPr>
                <w:rFonts w:hint="eastAsia" w:ascii="Times New Roman" w:hAnsi="Times New Roman" w:eastAsia="宋体" w:cs="Times New Roman"/>
                <w:color w:val="auto"/>
                <w:sz w:val="24"/>
                <w:szCs w:val="24"/>
                <w:highlight w:val="none"/>
                <w:u w:val="none" w:color="auto"/>
                <w:lang w:val="en-US" w:eastAsia="zh-CN"/>
              </w:rPr>
              <w:t>），本次评价给出以下监测建议：</w:t>
            </w:r>
          </w:p>
          <w:p w14:paraId="59BF69B9">
            <w:pPr>
              <w:keepNext w:val="0"/>
              <w:keepLines w:val="0"/>
              <w:suppressLineNumbers w:val="0"/>
              <w:bidi w:val="0"/>
              <w:spacing w:before="0" w:beforeAutospacing="0" w:after="0" w:afterAutospacing="0"/>
              <w:ind w:left="0" w:right="0"/>
              <w:jc w:val="center"/>
              <w:rPr>
                <w:rFonts w:hint="eastAsia"/>
                <w:b/>
                <w:bCs/>
                <w:color w:val="auto"/>
                <w:lang w:val="en-US" w:eastAsia="zh-CN"/>
              </w:rPr>
            </w:pPr>
            <w:r>
              <w:rPr>
                <w:rFonts w:hint="eastAsia"/>
                <w:b/>
                <w:bCs/>
                <w:color w:val="auto"/>
                <w:lang w:val="en-US" w:eastAsia="zh-CN"/>
              </w:rPr>
              <w:t>表4-4  排气筒基本情况</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295"/>
              <w:gridCol w:w="918"/>
              <w:gridCol w:w="963"/>
              <w:gridCol w:w="1053"/>
              <w:gridCol w:w="2172"/>
            </w:tblGrid>
            <w:tr w14:paraId="7312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dxa"/>
                  <w:vAlign w:val="center"/>
                </w:tcPr>
                <w:p w14:paraId="3E20F856">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排气筒名称</w:t>
                  </w:r>
                </w:p>
              </w:tc>
              <w:tc>
                <w:tcPr>
                  <w:tcW w:w="1290" w:type="dxa"/>
                  <w:vAlign w:val="center"/>
                </w:tcPr>
                <w:p w14:paraId="24C86E7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编号</w:t>
                  </w:r>
                </w:p>
              </w:tc>
              <w:tc>
                <w:tcPr>
                  <w:tcW w:w="915" w:type="dxa"/>
                  <w:vAlign w:val="center"/>
                </w:tcPr>
                <w:p w14:paraId="0CF1C5CD">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内径m</w:t>
                  </w:r>
                </w:p>
              </w:tc>
              <w:tc>
                <w:tcPr>
                  <w:tcW w:w="960" w:type="dxa"/>
                  <w:vAlign w:val="center"/>
                </w:tcPr>
                <w:p w14:paraId="49356D9F">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海拔m</w:t>
                  </w:r>
                </w:p>
              </w:tc>
              <w:tc>
                <w:tcPr>
                  <w:tcW w:w="1050" w:type="dxa"/>
                  <w:shd w:val="clear" w:color="auto" w:fill="auto"/>
                  <w:vAlign w:val="center"/>
                </w:tcPr>
                <w:p w14:paraId="4919C07A">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高度m</w:t>
                  </w:r>
                </w:p>
              </w:tc>
              <w:tc>
                <w:tcPr>
                  <w:tcW w:w="2165" w:type="dxa"/>
                  <w:shd w:val="clear" w:color="auto" w:fill="auto"/>
                  <w:vAlign w:val="center"/>
                </w:tcPr>
                <w:p w14:paraId="65ED9CD4">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坐标</w:t>
                  </w:r>
                </w:p>
              </w:tc>
            </w:tr>
            <w:tr w14:paraId="4B65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dxa"/>
                  <w:vAlign w:val="center"/>
                </w:tcPr>
                <w:p w14:paraId="638623FF">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1#排气筒</w:t>
                  </w:r>
                </w:p>
              </w:tc>
              <w:tc>
                <w:tcPr>
                  <w:tcW w:w="1290" w:type="dxa"/>
                  <w:vAlign w:val="center"/>
                </w:tcPr>
                <w:p w14:paraId="054F613C">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DA00</w:t>
                  </w:r>
                  <w:r>
                    <w:rPr>
                      <w:rFonts w:hint="eastAsia" w:cs="Times New Roman"/>
                      <w:color w:val="auto"/>
                      <w:sz w:val="21"/>
                      <w:szCs w:val="21"/>
                      <w:highlight w:val="none"/>
                      <w:u w:val="none" w:color="auto"/>
                      <w:lang w:val="en-US" w:eastAsia="zh-CN"/>
                    </w:rPr>
                    <w:t>1</w:t>
                  </w:r>
                </w:p>
              </w:tc>
              <w:tc>
                <w:tcPr>
                  <w:tcW w:w="915" w:type="dxa"/>
                  <w:vAlign w:val="center"/>
                </w:tcPr>
                <w:p w14:paraId="67A22EA2">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r>
                    <w:rPr>
                      <w:rFonts w:hint="eastAsia" w:cs="Times New Roman"/>
                      <w:color w:val="auto"/>
                      <w:sz w:val="21"/>
                      <w:szCs w:val="21"/>
                      <w:highlight w:val="none"/>
                      <w:u w:val="none" w:color="auto"/>
                      <w:lang w:val="en-US" w:eastAsia="zh-CN"/>
                    </w:rPr>
                    <w:t>4</w:t>
                  </w:r>
                </w:p>
              </w:tc>
              <w:tc>
                <w:tcPr>
                  <w:tcW w:w="960" w:type="dxa"/>
                  <w:vAlign w:val="center"/>
                </w:tcPr>
                <w:p w14:paraId="1286A257">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72</w:t>
                  </w:r>
                </w:p>
              </w:tc>
              <w:tc>
                <w:tcPr>
                  <w:tcW w:w="1050" w:type="dxa"/>
                  <w:shd w:val="clear" w:color="auto" w:fill="auto"/>
                  <w:vAlign w:val="center"/>
                </w:tcPr>
                <w:p w14:paraId="243BEB9D">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15</w:t>
                  </w:r>
                </w:p>
              </w:tc>
              <w:tc>
                <w:tcPr>
                  <w:tcW w:w="2165" w:type="dxa"/>
                  <w:shd w:val="clear" w:color="auto" w:fill="auto"/>
                  <w:vAlign w:val="center"/>
                </w:tcPr>
                <w:p w14:paraId="7A7069F8">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E112°</w:t>
                  </w:r>
                  <w:r>
                    <w:rPr>
                      <w:rFonts w:hint="eastAsia" w:cs="Times New Roman"/>
                      <w:color w:val="auto"/>
                      <w:sz w:val="21"/>
                      <w:szCs w:val="21"/>
                      <w:highlight w:val="none"/>
                      <w:u w:val="none" w:color="auto"/>
                      <w:lang w:val="en-US" w:eastAsia="zh-CN"/>
                    </w:rPr>
                    <w:t>54</w:t>
                  </w:r>
                  <w:r>
                    <w:rPr>
                      <w:rFonts w:hint="eastAsia" w:ascii="Times New Roman" w:hAnsi="Times New Roman" w:eastAsia="宋体"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29.511</w:t>
                  </w:r>
                  <w:r>
                    <w:rPr>
                      <w:rFonts w:hint="eastAsia" w:ascii="Times New Roman" w:hAnsi="Times New Roman" w:eastAsia="宋体" w:cs="Times New Roman"/>
                      <w:color w:val="auto"/>
                      <w:sz w:val="21"/>
                      <w:szCs w:val="21"/>
                      <w:highlight w:val="none"/>
                      <w:u w:val="none" w:color="auto"/>
                      <w:lang w:val="en-US" w:eastAsia="zh-CN"/>
                    </w:rPr>
                    <w:t>″</w:t>
                  </w:r>
                </w:p>
                <w:p w14:paraId="02469BF1">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N28°3</w:t>
                  </w:r>
                  <w:r>
                    <w:rPr>
                      <w:rFonts w:hint="eastAsia" w:cs="Times New Roman"/>
                      <w:color w:val="auto"/>
                      <w:sz w:val="21"/>
                      <w:szCs w:val="21"/>
                      <w:highlight w:val="none"/>
                      <w:u w:val="none" w:color="auto"/>
                      <w:lang w:val="en-US" w:eastAsia="zh-CN"/>
                    </w:rPr>
                    <w:t>8</w:t>
                  </w:r>
                  <w:r>
                    <w:rPr>
                      <w:rFonts w:hint="eastAsia" w:ascii="Times New Roman" w:hAnsi="Times New Roman" w:eastAsia="宋体"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39.414</w:t>
                  </w:r>
                  <w:r>
                    <w:rPr>
                      <w:rFonts w:hint="eastAsia" w:ascii="Times New Roman" w:hAnsi="Times New Roman" w:eastAsia="宋体" w:cs="Times New Roman"/>
                      <w:color w:val="auto"/>
                      <w:sz w:val="21"/>
                      <w:szCs w:val="21"/>
                      <w:highlight w:val="none"/>
                      <w:u w:val="none" w:color="auto"/>
                      <w:lang w:val="en-US" w:eastAsia="zh-CN"/>
                    </w:rPr>
                    <w:t>″</w:t>
                  </w:r>
                </w:p>
              </w:tc>
            </w:tr>
          </w:tbl>
          <w:p w14:paraId="402FBE86">
            <w:pPr>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default"/>
                <w:b/>
                <w:bCs/>
                <w:color w:val="auto"/>
                <w:lang w:val="en-US" w:eastAsia="zh-CN"/>
              </w:rPr>
              <w:t>表4-</w:t>
            </w:r>
            <w:r>
              <w:rPr>
                <w:rFonts w:hint="eastAsia"/>
                <w:b/>
                <w:bCs/>
                <w:color w:val="auto"/>
                <w:lang w:val="en-US" w:eastAsia="zh-CN"/>
              </w:rPr>
              <w:t xml:space="preserve">5  </w:t>
            </w:r>
            <w:r>
              <w:rPr>
                <w:rFonts w:hint="default"/>
                <w:b/>
                <w:bCs/>
                <w:color w:val="auto"/>
                <w:lang w:val="en-US" w:eastAsia="zh-CN"/>
              </w:rPr>
              <w:t xml:space="preserve"> 废气监测要求一览表</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934"/>
              <w:gridCol w:w="1296"/>
              <w:gridCol w:w="1567"/>
              <w:gridCol w:w="1296"/>
              <w:gridCol w:w="2556"/>
            </w:tblGrid>
            <w:tr w14:paraId="4FCA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gridSpan w:val="2"/>
                  <w:noWrap w:val="0"/>
                  <w:vAlign w:val="center"/>
                </w:tcPr>
                <w:p w14:paraId="2099E96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类别</w:t>
                  </w:r>
                </w:p>
              </w:tc>
              <w:tc>
                <w:tcPr>
                  <w:tcW w:w="793" w:type="pct"/>
                  <w:noWrap w:val="0"/>
                  <w:vAlign w:val="center"/>
                </w:tcPr>
                <w:p w14:paraId="2A328062">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监测点位</w:t>
                  </w:r>
                </w:p>
              </w:tc>
              <w:tc>
                <w:tcPr>
                  <w:tcW w:w="959" w:type="pct"/>
                  <w:noWrap w:val="0"/>
                  <w:vAlign w:val="center"/>
                </w:tcPr>
                <w:p w14:paraId="185134B0">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监测指标</w:t>
                  </w:r>
                </w:p>
              </w:tc>
              <w:tc>
                <w:tcPr>
                  <w:tcW w:w="793" w:type="pct"/>
                  <w:noWrap w:val="0"/>
                  <w:vAlign w:val="center"/>
                </w:tcPr>
                <w:p w14:paraId="3C6C240C">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监测时间及频次</w:t>
                  </w:r>
                </w:p>
              </w:tc>
              <w:tc>
                <w:tcPr>
                  <w:tcW w:w="1565" w:type="pct"/>
                  <w:noWrap w:val="0"/>
                  <w:vAlign w:val="center"/>
                </w:tcPr>
                <w:p w14:paraId="14F7FE8B">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执行排放标准</w:t>
                  </w:r>
                </w:p>
              </w:tc>
            </w:tr>
            <w:tr w14:paraId="10B3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16" w:type="pct"/>
                  <w:vMerge w:val="restart"/>
                  <w:noWrap w:val="0"/>
                  <w:vAlign w:val="center"/>
                </w:tcPr>
                <w:p w14:paraId="14933A7E">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废气</w:t>
                  </w:r>
                </w:p>
              </w:tc>
              <w:tc>
                <w:tcPr>
                  <w:tcW w:w="571" w:type="pct"/>
                  <w:noWrap w:val="0"/>
                  <w:vAlign w:val="center"/>
                </w:tcPr>
                <w:p w14:paraId="78F3FFFF">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有组织</w:t>
                  </w:r>
                </w:p>
              </w:tc>
              <w:tc>
                <w:tcPr>
                  <w:tcW w:w="793" w:type="pct"/>
                  <w:noWrap w:val="0"/>
                  <w:vAlign w:val="center"/>
                </w:tcPr>
                <w:p w14:paraId="2D5D6E0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w:t>
                  </w:r>
                  <w:r>
                    <w:rPr>
                      <w:rFonts w:hint="default" w:ascii="Times New Roman" w:hAnsi="Times New Roman" w:eastAsia="宋体" w:cs="Times New Roman"/>
                      <w:color w:val="auto"/>
                      <w:sz w:val="21"/>
                      <w:szCs w:val="21"/>
                      <w:highlight w:val="none"/>
                      <w:u w:val="none" w:color="auto"/>
                      <w:lang w:val="en-US" w:eastAsia="zh-CN"/>
                    </w:rPr>
                    <w:t>排气筒（</w:t>
                  </w:r>
                  <w:r>
                    <w:rPr>
                      <w:rFonts w:hint="eastAsia" w:ascii="Times New Roman" w:hAnsi="Times New Roman" w:eastAsia="宋体" w:cs="Times New Roman"/>
                      <w:color w:val="auto"/>
                      <w:sz w:val="21"/>
                      <w:szCs w:val="21"/>
                      <w:highlight w:val="none"/>
                      <w:u w:val="none" w:color="auto"/>
                      <w:lang w:val="en-US" w:eastAsia="zh-CN"/>
                    </w:rPr>
                    <w:t>DA</w:t>
                  </w:r>
                  <w:r>
                    <w:rPr>
                      <w:rFonts w:hint="default" w:ascii="Times New Roman" w:hAnsi="Times New Roman" w:eastAsia="宋体" w:cs="Times New Roman"/>
                      <w:color w:val="auto"/>
                      <w:sz w:val="21"/>
                      <w:szCs w:val="21"/>
                      <w:highlight w:val="none"/>
                      <w:u w:val="none" w:color="auto"/>
                      <w:lang w:val="en-US" w:eastAsia="zh-CN"/>
                    </w:rPr>
                    <w:t>00</w:t>
                  </w:r>
                  <w:r>
                    <w:rPr>
                      <w:rFonts w:hint="eastAsia" w:cs="Times New Roman"/>
                      <w:color w:val="auto"/>
                      <w:sz w:val="21"/>
                      <w:szCs w:val="21"/>
                      <w:highlight w:val="none"/>
                      <w:u w:val="none" w:color="auto"/>
                      <w:lang w:val="en-US" w:eastAsia="zh-CN"/>
                    </w:rPr>
                    <w:t>1</w:t>
                  </w:r>
                  <w:r>
                    <w:rPr>
                      <w:rFonts w:hint="default" w:ascii="Times New Roman" w:hAnsi="Times New Roman" w:eastAsia="宋体" w:cs="Times New Roman"/>
                      <w:color w:val="auto"/>
                      <w:sz w:val="21"/>
                      <w:szCs w:val="21"/>
                      <w:highlight w:val="none"/>
                      <w:u w:val="none" w:color="auto"/>
                      <w:lang w:val="en-US" w:eastAsia="zh-CN"/>
                    </w:rPr>
                    <w:t>）</w:t>
                  </w:r>
                </w:p>
              </w:tc>
              <w:tc>
                <w:tcPr>
                  <w:tcW w:w="959" w:type="pct"/>
                  <w:noWrap w:val="0"/>
                  <w:vAlign w:val="center"/>
                </w:tcPr>
                <w:p w14:paraId="6FE1EC24">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颗粒物</w:t>
                  </w:r>
                </w:p>
              </w:tc>
              <w:tc>
                <w:tcPr>
                  <w:tcW w:w="793" w:type="pct"/>
                  <w:noWrap w:val="0"/>
                  <w:vAlign w:val="center"/>
                </w:tcPr>
                <w:p w14:paraId="1438FEDB">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1次/</w:t>
                  </w:r>
                  <w:r>
                    <w:rPr>
                      <w:rFonts w:hint="eastAsia" w:cs="Times New Roman"/>
                      <w:color w:val="auto"/>
                      <w:sz w:val="21"/>
                      <w:szCs w:val="21"/>
                      <w:highlight w:val="none"/>
                      <w:u w:val="none" w:color="auto"/>
                      <w:lang w:val="en-US" w:eastAsia="zh-CN"/>
                    </w:rPr>
                    <w:t>年</w:t>
                  </w:r>
                </w:p>
              </w:tc>
              <w:tc>
                <w:tcPr>
                  <w:tcW w:w="1565" w:type="pct"/>
                  <w:vMerge w:val="restart"/>
                  <w:noWrap w:val="0"/>
                  <w:vAlign w:val="center"/>
                </w:tcPr>
                <w:p w14:paraId="07062E5F">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《大气污染物综合排放标准》（GB16297-1996）</w:t>
                  </w:r>
                </w:p>
              </w:tc>
            </w:tr>
            <w:tr w14:paraId="54BE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16" w:type="pct"/>
                  <w:vMerge w:val="continue"/>
                  <w:noWrap w:val="0"/>
                  <w:vAlign w:val="center"/>
                </w:tcPr>
                <w:p w14:paraId="3E567C5F">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571" w:type="pct"/>
                  <w:noWrap w:val="0"/>
                  <w:vAlign w:val="center"/>
                </w:tcPr>
                <w:p w14:paraId="1E533FF8">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无组织</w:t>
                  </w:r>
                </w:p>
              </w:tc>
              <w:tc>
                <w:tcPr>
                  <w:tcW w:w="793" w:type="pct"/>
                  <w:noWrap w:val="0"/>
                  <w:vAlign w:val="center"/>
                </w:tcPr>
                <w:p w14:paraId="7BBFE1BF">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厂界</w:t>
                  </w:r>
                </w:p>
              </w:tc>
              <w:tc>
                <w:tcPr>
                  <w:tcW w:w="959" w:type="pct"/>
                  <w:noWrap w:val="0"/>
                  <w:vAlign w:val="center"/>
                </w:tcPr>
                <w:p w14:paraId="3089F3DC">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非甲烷总烃、颗粒物</w:t>
                  </w:r>
                </w:p>
              </w:tc>
              <w:tc>
                <w:tcPr>
                  <w:tcW w:w="793" w:type="pct"/>
                  <w:noWrap w:val="0"/>
                  <w:vAlign w:val="center"/>
                </w:tcPr>
                <w:p w14:paraId="062B7B82">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1次/</w:t>
                  </w:r>
                  <w:r>
                    <w:rPr>
                      <w:rFonts w:hint="eastAsia" w:cs="Times New Roman"/>
                      <w:color w:val="auto"/>
                      <w:sz w:val="21"/>
                      <w:szCs w:val="21"/>
                      <w:highlight w:val="none"/>
                      <w:u w:val="none" w:color="auto"/>
                      <w:lang w:val="en-US" w:eastAsia="zh-CN"/>
                    </w:rPr>
                    <w:t>年</w:t>
                  </w:r>
                </w:p>
              </w:tc>
              <w:tc>
                <w:tcPr>
                  <w:tcW w:w="1565" w:type="pct"/>
                  <w:vMerge w:val="continue"/>
                  <w:noWrap w:val="0"/>
                  <w:vAlign w:val="center"/>
                </w:tcPr>
                <w:p w14:paraId="1F0FB946">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r>
          </w:tbl>
          <w:p w14:paraId="74DB2CE7">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1.4、非正常工况</w:t>
            </w:r>
          </w:p>
          <w:p w14:paraId="1FD9C16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本项目非正常工况下的废气污染物排放主要是生产废气处理装置出现故障，处理效率降低。本次评价考虑废气处理设施发生故障，按最不利原则，处理效率为0%的状态进行估算。</w:t>
            </w:r>
          </w:p>
          <w:p w14:paraId="00043E2C">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废气非正常工况源强情况见表4-6。</w:t>
            </w:r>
          </w:p>
          <w:p w14:paraId="77420FEE">
            <w:pPr>
              <w:keepNext w:val="0"/>
              <w:keepLines w:val="0"/>
              <w:suppressLineNumbers w:val="0"/>
              <w:bidi w:val="0"/>
              <w:spacing w:before="0" w:beforeAutospacing="0" w:after="0" w:afterAutospacing="0"/>
              <w:ind w:left="0" w:right="0"/>
              <w:jc w:val="center"/>
              <w:rPr>
                <w:rFonts w:hint="eastAsia"/>
                <w:b/>
                <w:bCs/>
                <w:color w:val="auto"/>
                <w:lang w:val="en-US" w:eastAsia="zh-CN"/>
              </w:rPr>
            </w:pPr>
            <w:r>
              <w:rPr>
                <w:rFonts w:hint="eastAsia"/>
                <w:b/>
                <w:bCs/>
                <w:color w:val="auto"/>
                <w:lang w:val="en-US" w:eastAsia="zh-CN"/>
              </w:rPr>
              <w:t>表4-6   非正常工况下废气产生排放情况汇总表</w:t>
            </w:r>
          </w:p>
          <w:tbl>
            <w:tblPr>
              <w:tblStyle w:val="34"/>
              <w:tblpPr w:leftFromText="181" w:rightFromText="181" w:vertAnchor="text" w:horzAnchor="page"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320"/>
              <w:gridCol w:w="727"/>
              <w:gridCol w:w="1052"/>
              <w:gridCol w:w="925"/>
              <w:gridCol w:w="861"/>
              <w:gridCol w:w="849"/>
              <w:gridCol w:w="696"/>
              <w:gridCol w:w="945"/>
            </w:tblGrid>
            <w:tr w14:paraId="04FF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06" w:type="dxa"/>
                  <w:vMerge w:val="restart"/>
                  <w:noWrap w:val="0"/>
                  <w:vAlign w:val="center"/>
                </w:tcPr>
                <w:p w14:paraId="4940376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污染源</w:t>
                  </w:r>
                </w:p>
              </w:tc>
              <w:tc>
                <w:tcPr>
                  <w:tcW w:w="1335" w:type="dxa"/>
                  <w:vMerge w:val="restart"/>
                  <w:noWrap w:val="0"/>
                  <w:vAlign w:val="center"/>
                </w:tcPr>
                <w:p w14:paraId="37A5FB5E">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非正常排放原因</w:t>
                  </w:r>
                </w:p>
              </w:tc>
              <w:tc>
                <w:tcPr>
                  <w:tcW w:w="735" w:type="dxa"/>
                  <w:vMerge w:val="restart"/>
                  <w:noWrap w:val="0"/>
                  <w:vAlign w:val="center"/>
                </w:tcPr>
                <w:p w14:paraId="5996B042">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污染物</w:t>
                  </w:r>
                </w:p>
              </w:tc>
              <w:tc>
                <w:tcPr>
                  <w:tcW w:w="2869" w:type="dxa"/>
                  <w:gridSpan w:val="3"/>
                  <w:noWrap w:val="0"/>
                  <w:vAlign w:val="center"/>
                </w:tcPr>
                <w:p w14:paraId="647932C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非正常</w:t>
                  </w:r>
                </w:p>
              </w:tc>
              <w:tc>
                <w:tcPr>
                  <w:tcW w:w="858" w:type="dxa"/>
                  <w:vMerge w:val="restart"/>
                  <w:noWrap w:val="0"/>
                  <w:vAlign w:val="center"/>
                </w:tcPr>
                <w:p w14:paraId="383DE521">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单次持续时间/h</w:t>
                  </w:r>
                </w:p>
              </w:tc>
              <w:tc>
                <w:tcPr>
                  <w:tcW w:w="704" w:type="dxa"/>
                  <w:vMerge w:val="restart"/>
                  <w:noWrap w:val="0"/>
                  <w:vAlign w:val="center"/>
                </w:tcPr>
                <w:p w14:paraId="3053D2FD">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年发生频次</w:t>
                  </w:r>
                </w:p>
              </w:tc>
              <w:tc>
                <w:tcPr>
                  <w:tcW w:w="955" w:type="dxa"/>
                  <w:vMerge w:val="restart"/>
                  <w:noWrap w:val="0"/>
                  <w:vAlign w:val="center"/>
                </w:tcPr>
                <w:p w14:paraId="005AA0F2">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应对措施</w:t>
                  </w:r>
                </w:p>
              </w:tc>
            </w:tr>
            <w:tr w14:paraId="1A2A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06" w:type="dxa"/>
                  <w:vMerge w:val="continue"/>
                  <w:noWrap w:val="0"/>
                  <w:vAlign w:val="center"/>
                </w:tcPr>
                <w:p w14:paraId="333F0384">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p>
              </w:tc>
              <w:tc>
                <w:tcPr>
                  <w:tcW w:w="1335" w:type="dxa"/>
                  <w:vMerge w:val="continue"/>
                  <w:noWrap w:val="0"/>
                  <w:vAlign w:val="center"/>
                </w:tcPr>
                <w:p w14:paraId="79A4A92F">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p>
              </w:tc>
              <w:tc>
                <w:tcPr>
                  <w:tcW w:w="735" w:type="dxa"/>
                  <w:vMerge w:val="continue"/>
                  <w:noWrap w:val="0"/>
                  <w:vAlign w:val="center"/>
                </w:tcPr>
                <w:p w14:paraId="51AB00B6">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p>
              </w:tc>
              <w:tc>
                <w:tcPr>
                  <w:tcW w:w="1064" w:type="dxa"/>
                  <w:shd w:val="clear" w:color="auto" w:fill="auto"/>
                  <w:noWrap w:val="0"/>
                  <w:vAlign w:val="center"/>
                </w:tcPr>
                <w:p w14:paraId="0110DD3C">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排放浓度mg/m</w:t>
                  </w:r>
                  <w:r>
                    <w:rPr>
                      <w:rFonts w:hint="default" w:ascii="Times New Roman" w:hAnsi="Times New Roman" w:eastAsia="宋体" w:cs="Times New Roman"/>
                      <w:color w:val="auto"/>
                      <w:sz w:val="21"/>
                      <w:szCs w:val="21"/>
                      <w:highlight w:val="none"/>
                      <w:u w:val="none" w:color="auto"/>
                      <w:vertAlign w:val="superscript"/>
                      <w:lang w:val="en-US" w:eastAsia="zh-CN"/>
                    </w:rPr>
                    <w:t>3</w:t>
                  </w:r>
                </w:p>
              </w:tc>
              <w:tc>
                <w:tcPr>
                  <w:tcW w:w="935" w:type="dxa"/>
                  <w:shd w:val="clear" w:color="auto" w:fill="auto"/>
                  <w:noWrap w:val="0"/>
                  <w:vAlign w:val="center"/>
                </w:tcPr>
                <w:p w14:paraId="6C2DC408">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排放速率kg/h</w:t>
                  </w:r>
                </w:p>
              </w:tc>
              <w:tc>
                <w:tcPr>
                  <w:tcW w:w="870" w:type="dxa"/>
                  <w:shd w:val="clear" w:color="auto" w:fill="auto"/>
                  <w:noWrap w:val="0"/>
                  <w:vAlign w:val="center"/>
                </w:tcPr>
                <w:p w14:paraId="0D1CB872">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排放量kg/a</w:t>
                  </w:r>
                </w:p>
              </w:tc>
              <w:tc>
                <w:tcPr>
                  <w:tcW w:w="858" w:type="dxa"/>
                  <w:vMerge w:val="continue"/>
                  <w:noWrap w:val="0"/>
                  <w:vAlign w:val="center"/>
                </w:tcPr>
                <w:p w14:paraId="25B69607">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704" w:type="dxa"/>
                  <w:vMerge w:val="continue"/>
                  <w:noWrap w:val="0"/>
                  <w:vAlign w:val="center"/>
                </w:tcPr>
                <w:p w14:paraId="301F9BB1">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955" w:type="dxa"/>
                  <w:vMerge w:val="continue"/>
                  <w:noWrap w:val="0"/>
                  <w:vAlign w:val="center"/>
                </w:tcPr>
                <w:p w14:paraId="77EAA18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r>
            <w:tr w14:paraId="4CBF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806" w:type="dxa"/>
                  <w:noWrap w:val="0"/>
                  <w:vAlign w:val="center"/>
                </w:tcPr>
                <w:p w14:paraId="174E7980">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表面喷砂机</w:t>
                  </w:r>
                </w:p>
              </w:tc>
              <w:tc>
                <w:tcPr>
                  <w:tcW w:w="1335" w:type="dxa"/>
                  <w:noWrap w:val="0"/>
                  <w:vAlign w:val="center"/>
                </w:tcPr>
                <w:p w14:paraId="7CA3A9FA">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废气处理装置故障，处理效率为0</w:t>
                  </w:r>
                </w:p>
              </w:tc>
              <w:tc>
                <w:tcPr>
                  <w:tcW w:w="735" w:type="dxa"/>
                  <w:noWrap w:val="0"/>
                  <w:vAlign w:val="center"/>
                </w:tcPr>
                <w:p w14:paraId="48116C6E">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颗粒物</w:t>
                  </w:r>
                </w:p>
              </w:tc>
              <w:tc>
                <w:tcPr>
                  <w:tcW w:w="1064" w:type="dxa"/>
                  <w:noWrap w:val="0"/>
                  <w:vAlign w:val="center"/>
                </w:tcPr>
                <w:p w14:paraId="3679E08D">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i w:val="0"/>
                      <w:iCs w:val="0"/>
                      <w:color w:val="auto"/>
                      <w:kern w:val="0"/>
                      <w:sz w:val="21"/>
                      <w:szCs w:val="21"/>
                      <w:u w:val="none"/>
                      <w:lang w:val="en-US" w:eastAsia="zh-CN" w:bidi="ar"/>
                    </w:rPr>
                    <w:t>855.89</w:t>
                  </w:r>
                </w:p>
              </w:tc>
              <w:tc>
                <w:tcPr>
                  <w:tcW w:w="935" w:type="dxa"/>
                  <w:noWrap w:val="0"/>
                  <w:vAlign w:val="center"/>
                </w:tcPr>
                <w:p w14:paraId="374ED480">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i w:val="0"/>
                      <w:iCs w:val="0"/>
                      <w:color w:val="auto"/>
                      <w:kern w:val="0"/>
                      <w:sz w:val="21"/>
                      <w:szCs w:val="21"/>
                      <w:u w:val="none"/>
                      <w:lang w:val="en-US" w:eastAsia="zh-CN" w:bidi="ar"/>
                    </w:rPr>
                    <w:t>1.99</w:t>
                  </w:r>
                </w:p>
              </w:tc>
              <w:tc>
                <w:tcPr>
                  <w:tcW w:w="870" w:type="dxa"/>
                  <w:noWrap w:val="0"/>
                  <w:vAlign w:val="center"/>
                </w:tcPr>
                <w:p w14:paraId="5131456F">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i w:val="0"/>
                      <w:iCs w:val="0"/>
                      <w:color w:val="auto"/>
                      <w:kern w:val="0"/>
                      <w:sz w:val="21"/>
                      <w:szCs w:val="21"/>
                      <w:u w:val="none"/>
                      <w:lang w:val="en-US" w:eastAsia="zh-CN" w:bidi="ar"/>
                    </w:rPr>
                    <w:t>1.99</w:t>
                  </w:r>
                </w:p>
              </w:tc>
              <w:tc>
                <w:tcPr>
                  <w:tcW w:w="858" w:type="dxa"/>
                  <w:noWrap w:val="0"/>
                  <w:vAlign w:val="center"/>
                </w:tcPr>
                <w:p w14:paraId="2C210D77">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w:t>
                  </w:r>
                </w:p>
              </w:tc>
              <w:tc>
                <w:tcPr>
                  <w:tcW w:w="704" w:type="dxa"/>
                  <w:noWrap w:val="0"/>
                  <w:vAlign w:val="center"/>
                </w:tcPr>
                <w:p w14:paraId="6F252A3A">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955" w:type="dxa"/>
                  <w:noWrap w:val="0"/>
                  <w:vAlign w:val="center"/>
                </w:tcPr>
                <w:p w14:paraId="65F1E59A">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立即停止生产</w:t>
                  </w:r>
                </w:p>
              </w:tc>
            </w:tr>
          </w:tbl>
          <w:p w14:paraId="5D87F58E">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从</w:t>
            </w:r>
            <w:r>
              <w:rPr>
                <w:rFonts w:hint="eastAsia" w:cs="Times New Roman"/>
                <w:color w:val="auto"/>
                <w:sz w:val="24"/>
                <w:szCs w:val="24"/>
                <w:highlight w:val="none"/>
                <w:u w:val="none" w:color="auto"/>
                <w:lang w:val="en-US" w:eastAsia="zh-CN"/>
              </w:rPr>
              <w:t>上表</w:t>
            </w:r>
            <w:r>
              <w:rPr>
                <w:rFonts w:hint="eastAsia" w:ascii="Times New Roman" w:hAnsi="Times New Roman" w:eastAsia="宋体" w:cs="Times New Roman"/>
                <w:color w:val="auto"/>
                <w:sz w:val="24"/>
                <w:szCs w:val="24"/>
                <w:highlight w:val="none"/>
                <w:u w:val="none" w:color="auto"/>
                <w:lang w:val="en-US" w:eastAsia="zh-CN"/>
              </w:rPr>
              <w:t>分析可知，非正常工况下，颗粒物排放超过</w:t>
            </w:r>
            <w:r>
              <w:rPr>
                <w:rFonts w:hint="eastAsia" w:ascii="Times New Roman" w:hAnsi="Times New Roman" w:eastAsia="宋体" w:cs="Times New Roman"/>
                <w:color w:val="auto"/>
                <w:sz w:val="24"/>
                <w:szCs w:val="24"/>
                <w:highlight w:val="none"/>
                <w:u w:val="none" w:color="auto"/>
                <w:lang w:val="zh-CN" w:eastAsia="zh-CN"/>
              </w:rPr>
              <w:t>《大气污染物排放标准》（GB</w:t>
            </w:r>
            <w:r>
              <w:rPr>
                <w:rFonts w:hint="eastAsia" w:cs="Times New Roman"/>
                <w:color w:val="auto"/>
                <w:sz w:val="24"/>
                <w:szCs w:val="24"/>
                <w:highlight w:val="none"/>
                <w:u w:val="none" w:color="auto"/>
                <w:lang w:val="en-US" w:eastAsia="zh-CN"/>
              </w:rPr>
              <w:t>16297</w:t>
            </w:r>
            <w:r>
              <w:rPr>
                <w:rFonts w:hint="eastAsia" w:ascii="Times New Roman" w:hAnsi="Times New Roman" w:eastAsia="宋体" w:cs="Times New Roman"/>
                <w:color w:val="auto"/>
                <w:sz w:val="24"/>
                <w:szCs w:val="24"/>
                <w:highlight w:val="none"/>
                <w:u w:val="none" w:color="auto"/>
                <w:lang w:val="zh-CN" w:eastAsia="zh-CN"/>
              </w:rPr>
              <w:t>-</w:t>
            </w:r>
            <w:r>
              <w:rPr>
                <w:rFonts w:hint="eastAsia" w:cs="Times New Roman"/>
                <w:color w:val="auto"/>
                <w:sz w:val="24"/>
                <w:szCs w:val="24"/>
                <w:highlight w:val="none"/>
                <w:u w:val="none" w:color="auto"/>
                <w:lang w:val="en-US" w:eastAsia="zh-CN"/>
              </w:rPr>
              <w:t>1996</w:t>
            </w:r>
            <w:r>
              <w:rPr>
                <w:rFonts w:hint="eastAsia" w:ascii="Times New Roman" w:hAnsi="Times New Roman" w:eastAsia="宋体" w:cs="Times New Roman"/>
                <w:color w:val="auto"/>
                <w:sz w:val="24"/>
                <w:szCs w:val="24"/>
                <w:highlight w:val="none"/>
                <w:u w:val="none" w:color="auto"/>
                <w:lang w:val="zh-CN" w:eastAsia="zh-CN"/>
              </w:rPr>
              <w:t>）表</w:t>
            </w:r>
            <w:r>
              <w:rPr>
                <w:rFonts w:hint="eastAsia" w:cs="Times New Roman"/>
                <w:color w:val="auto"/>
                <w:sz w:val="24"/>
                <w:szCs w:val="24"/>
                <w:highlight w:val="none"/>
                <w:u w:val="none" w:color="auto"/>
                <w:lang w:val="en-US" w:eastAsia="zh-CN"/>
              </w:rPr>
              <w:t>2</w:t>
            </w:r>
            <w:r>
              <w:rPr>
                <w:rFonts w:hint="eastAsia" w:ascii="Times New Roman" w:hAnsi="Times New Roman" w:eastAsia="宋体" w:cs="Times New Roman"/>
                <w:color w:val="auto"/>
                <w:sz w:val="24"/>
                <w:szCs w:val="24"/>
                <w:highlight w:val="none"/>
                <w:u w:val="none" w:color="auto"/>
                <w:lang w:val="zh-CN" w:eastAsia="zh-CN"/>
              </w:rPr>
              <w:t>排放限值</w:t>
            </w:r>
            <w:r>
              <w:rPr>
                <w:rFonts w:hint="eastAsia" w:ascii="Times New Roman" w:hAnsi="Times New Roman" w:eastAsia="宋体" w:cs="Times New Roman"/>
                <w:color w:val="auto"/>
                <w:sz w:val="24"/>
                <w:szCs w:val="24"/>
                <w:highlight w:val="none"/>
                <w:u w:val="none" w:color="auto"/>
                <w:lang w:val="en-US" w:eastAsia="zh-CN"/>
              </w:rPr>
              <w:t>要求，建设单位应加强废气处理系统维护和检修，保持最佳运行状态，避免非正常排放发生；在废气处理设备停止运行或出现故障时，产生废气的各工序也必须相应停止生产。</w:t>
            </w:r>
          </w:p>
          <w:p w14:paraId="234961BC">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 xml:space="preserve">为杜绝废气非正常排放，应采取以下措施确保废气达标排放： </w:t>
            </w:r>
          </w:p>
          <w:p w14:paraId="4F97272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 xml:space="preserve">①安排专人负责废气处理设施的日常维护和管理，定期检查，及时发现设施的隐患，确保废气处理设施正常运行； </w:t>
            </w:r>
          </w:p>
          <w:p w14:paraId="0D4F48B5">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 xml:space="preserve">②建立健全的环保管理机构对环保管理人员和技术人员进行岗位培训，委托具有专业资质的检测单位对项目排放的各类污染物进行定期检测； </w:t>
            </w:r>
          </w:p>
          <w:p w14:paraId="53792740">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③定期维护、检修废气净化装置，保持废气处理装置的净化能力和净化容量。</w:t>
            </w:r>
          </w:p>
          <w:p w14:paraId="459EAAC9">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auto"/>
              <w:rPr>
                <w:rFonts w:hint="eastAsia"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1.5废气排放量核算</w:t>
            </w:r>
          </w:p>
          <w:p w14:paraId="3EC557DA">
            <w:pPr>
              <w:keepNext w:val="0"/>
              <w:keepLines w:val="0"/>
              <w:suppressLineNumbers w:val="0"/>
              <w:bidi w:val="0"/>
              <w:spacing w:before="0" w:beforeAutospacing="0" w:after="0" w:afterAutospacing="0"/>
              <w:ind w:left="0" w:right="0"/>
              <w:jc w:val="center"/>
              <w:rPr>
                <w:rFonts w:hint="default"/>
                <w:b/>
                <w:bCs/>
                <w:lang w:val="en-US" w:eastAsia="zh-CN"/>
              </w:rPr>
            </w:pPr>
            <w:r>
              <w:rPr>
                <w:rFonts w:hint="eastAsia"/>
                <w:b/>
                <w:bCs/>
                <w:lang w:val="en-US" w:eastAsia="zh-CN"/>
              </w:rPr>
              <w:t>表4-7   有组织排放量核算汇总表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315"/>
              <w:gridCol w:w="1202"/>
              <w:gridCol w:w="1187"/>
              <w:gridCol w:w="1261"/>
              <w:gridCol w:w="1335"/>
              <w:gridCol w:w="1222"/>
            </w:tblGrid>
            <w:tr w14:paraId="2EFB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98" w:type="pct"/>
                  <w:noWrap w:val="0"/>
                  <w:vAlign w:val="center"/>
                </w:tcPr>
                <w:p w14:paraId="0FC23F8C">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序号</w:t>
                  </w:r>
                </w:p>
              </w:tc>
              <w:tc>
                <w:tcPr>
                  <w:tcW w:w="804" w:type="pct"/>
                  <w:noWrap w:val="0"/>
                  <w:vAlign w:val="center"/>
                </w:tcPr>
                <w:p w14:paraId="0E89EDA8">
                  <w:pPr>
                    <w:keepNext w:val="0"/>
                    <w:keepLines w:val="0"/>
                    <w:suppressLineNumbers w:val="0"/>
                    <w:spacing w:before="0" w:beforeAutospacing="0" w:after="0" w:afterAutospacing="0"/>
                    <w:ind w:left="0" w:right="0"/>
                    <w:jc w:val="center"/>
                    <w:rPr>
                      <w:rFonts w:hint="eastAsia" w:ascii="Times New Roman" w:hAnsi="Times New Roman" w:eastAsia="宋体"/>
                      <w:sz w:val="21"/>
                      <w:szCs w:val="21"/>
                      <w:u w:val="none"/>
                      <w:lang w:val="en-US" w:eastAsia="zh-CN"/>
                    </w:rPr>
                  </w:pPr>
                  <w:r>
                    <w:rPr>
                      <w:rFonts w:hint="eastAsia" w:ascii="Times New Roman" w:hAnsi="Times New Roman"/>
                      <w:sz w:val="21"/>
                      <w:szCs w:val="21"/>
                      <w:u w:val="none"/>
                      <w:lang w:val="en-US" w:eastAsia="zh-CN"/>
                    </w:rPr>
                    <w:t>污染源</w:t>
                  </w:r>
                </w:p>
              </w:tc>
              <w:tc>
                <w:tcPr>
                  <w:tcW w:w="735" w:type="pct"/>
                  <w:noWrap w:val="0"/>
                  <w:vAlign w:val="center"/>
                </w:tcPr>
                <w:p w14:paraId="543B1179">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排放口编号</w:t>
                  </w:r>
                </w:p>
              </w:tc>
              <w:tc>
                <w:tcPr>
                  <w:tcW w:w="726" w:type="pct"/>
                  <w:noWrap w:val="0"/>
                  <w:vAlign w:val="center"/>
                </w:tcPr>
                <w:p w14:paraId="04BC0E2D">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污染物</w:t>
                  </w:r>
                </w:p>
              </w:tc>
              <w:tc>
                <w:tcPr>
                  <w:tcW w:w="771" w:type="pct"/>
                  <w:noWrap w:val="0"/>
                  <w:vAlign w:val="center"/>
                </w:tcPr>
                <w:p w14:paraId="3A2E2C93">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核算排放浓度</w:t>
                  </w:r>
                </w:p>
                <w:p w14:paraId="6E39BF6B">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（mg/m</w:t>
                  </w:r>
                  <w:r>
                    <w:rPr>
                      <w:rFonts w:hint="default" w:ascii="Times New Roman" w:hAnsi="Times New Roman"/>
                      <w:sz w:val="21"/>
                      <w:szCs w:val="21"/>
                      <w:u w:val="none"/>
                      <w:vertAlign w:val="superscript"/>
                    </w:rPr>
                    <w:t>3</w:t>
                  </w:r>
                  <w:r>
                    <w:rPr>
                      <w:rFonts w:hint="default" w:ascii="Times New Roman" w:hAnsi="Times New Roman"/>
                      <w:sz w:val="21"/>
                      <w:szCs w:val="21"/>
                      <w:u w:val="none"/>
                    </w:rPr>
                    <w:t>）</w:t>
                  </w:r>
                </w:p>
              </w:tc>
              <w:tc>
                <w:tcPr>
                  <w:tcW w:w="816" w:type="pct"/>
                  <w:noWrap w:val="0"/>
                  <w:vAlign w:val="center"/>
                </w:tcPr>
                <w:p w14:paraId="145A6C99">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核算排放速率</w:t>
                  </w:r>
                </w:p>
                <w:p w14:paraId="7E7CD351">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（kg/h）</w:t>
                  </w:r>
                </w:p>
              </w:tc>
              <w:tc>
                <w:tcPr>
                  <w:tcW w:w="747" w:type="pct"/>
                  <w:noWrap w:val="0"/>
                  <w:vAlign w:val="center"/>
                </w:tcPr>
                <w:p w14:paraId="5EE31FEE">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核算年排放量</w:t>
                  </w:r>
                </w:p>
                <w:p w14:paraId="628B5E27">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（t/a）</w:t>
                  </w:r>
                </w:p>
              </w:tc>
            </w:tr>
            <w:tr w14:paraId="7EA4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000" w:type="pct"/>
                  <w:gridSpan w:val="7"/>
                  <w:noWrap w:val="0"/>
                  <w:vAlign w:val="center"/>
                </w:tcPr>
                <w:p w14:paraId="256128F9">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一般排放口</w:t>
                  </w:r>
                </w:p>
              </w:tc>
            </w:tr>
            <w:tr w14:paraId="7346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noWrap w:val="0"/>
                  <w:vAlign w:val="center"/>
                </w:tcPr>
                <w:p w14:paraId="7A0198AA">
                  <w:pPr>
                    <w:keepNext w:val="0"/>
                    <w:keepLines w:val="0"/>
                    <w:suppressLineNumbers w:val="0"/>
                    <w:spacing w:before="0" w:beforeAutospacing="0" w:after="0" w:afterAutospacing="0"/>
                    <w:ind w:left="0" w:right="0"/>
                    <w:jc w:val="center"/>
                    <w:rPr>
                      <w:rFonts w:hint="eastAsia" w:ascii="Times New Roman" w:hAnsi="Times New Roman" w:eastAsia="宋体"/>
                      <w:sz w:val="21"/>
                      <w:szCs w:val="21"/>
                      <w:u w:val="none"/>
                      <w:lang w:val="en-US" w:eastAsia="zh-CN"/>
                    </w:rPr>
                  </w:pPr>
                  <w:r>
                    <w:rPr>
                      <w:rFonts w:hint="eastAsia" w:ascii="Times New Roman" w:hAnsi="Times New Roman"/>
                      <w:sz w:val="21"/>
                      <w:szCs w:val="21"/>
                      <w:u w:val="none"/>
                      <w:lang w:val="en-US" w:eastAsia="zh-CN"/>
                    </w:rPr>
                    <w:t>1</w:t>
                  </w:r>
                </w:p>
              </w:tc>
              <w:tc>
                <w:tcPr>
                  <w:tcW w:w="804" w:type="pct"/>
                  <w:noWrap w:val="0"/>
                  <w:vAlign w:val="center"/>
                </w:tcPr>
                <w:p w14:paraId="20DBC32A">
                  <w:pPr>
                    <w:keepNext w:val="0"/>
                    <w:keepLines w:val="0"/>
                    <w:suppressLineNumbers w:val="0"/>
                    <w:spacing w:before="0" w:beforeAutospacing="0" w:after="0" w:afterAutospacing="0"/>
                    <w:ind w:left="0" w:right="0"/>
                    <w:jc w:val="center"/>
                    <w:rPr>
                      <w:rFonts w:hint="default" w:ascii="Times New Roman" w:hAnsi="Times New Roman"/>
                      <w:sz w:val="21"/>
                      <w:szCs w:val="21"/>
                      <w:u w:val="none"/>
                      <w:lang w:val="en-US" w:eastAsia="zh-CN"/>
                    </w:rPr>
                  </w:pPr>
                  <w:r>
                    <w:rPr>
                      <w:rFonts w:hint="eastAsia" w:ascii="Times New Roman" w:hAnsi="Times New Roman"/>
                      <w:sz w:val="21"/>
                      <w:szCs w:val="21"/>
                      <w:u w:val="none"/>
                      <w:lang w:val="en-US" w:eastAsia="zh-CN"/>
                    </w:rPr>
                    <w:t>1#/2#喷砂机</w:t>
                  </w:r>
                </w:p>
              </w:tc>
              <w:tc>
                <w:tcPr>
                  <w:tcW w:w="735" w:type="pct"/>
                  <w:noWrap w:val="0"/>
                  <w:vAlign w:val="center"/>
                </w:tcPr>
                <w:p w14:paraId="14C5465A">
                  <w:pPr>
                    <w:keepNext w:val="0"/>
                    <w:keepLines w:val="0"/>
                    <w:suppressLineNumbers w:val="0"/>
                    <w:spacing w:before="0" w:beforeAutospacing="0" w:after="0" w:afterAutospacing="0"/>
                    <w:ind w:left="0" w:right="0"/>
                    <w:jc w:val="center"/>
                    <w:rPr>
                      <w:rFonts w:hint="default" w:ascii="Times New Roman" w:hAnsi="Times New Roman" w:eastAsia="宋体"/>
                      <w:sz w:val="21"/>
                      <w:szCs w:val="21"/>
                      <w:u w:val="none"/>
                      <w:lang w:val="en-US" w:eastAsia="zh-CN"/>
                    </w:rPr>
                  </w:pPr>
                  <w:r>
                    <w:rPr>
                      <w:rFonts w:hint="eastAsia" w:ascii="Times New Roman" w:hAnsi="Times New Roman"/>
                      <w:sz w:val="21"/>
                      <w:szCs w:val="21"/>
                      <w:u w:val="none"/>
                      <w:lang w:val="en-US" w:eastAsia="zh-CN"/>
                    </w:rPr>
                    <w:t>1#排气筒</w:t>
                  </w:r>
                </w:p>
              </w:tc>
              <w:tc>
                <w:tcPr>
                  <w:tcW w:w="726" w:type="pct"/>
                  <w:noWrap w:val="0"/>
                  <w:vAlign w:val="center"/>
                </w:tcPr>
                <w:p w14:paraId="5BA05D85">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颗粒物</w:t>
                  </w:r>
                </w:p>
              </w:tc>
              <w:tc>
                <w:tcPr>
                  <w:tcW w:w="771" w:type="pct"/>
                  <w:noWrap w:val="0"/>
                  <w:vAlign w:val="center"/>
                </w:tcPr>
                <w:p w14:paraId="06479EB5">
                  <w:pPr>
                    <w:keepNext w:val="0"/>
                    <w:keepLines w:val="0"/>
                    <w:suppressLineNumbers w:val="0"/>
                    <w:spacing w:before="0" w:beforeAutospacing="0" w:after="0" w:afterAutospacing="0"/>
                    <w:ind w:left="0" w:right="0"/>
                    <w:jc w:val="center"/>
                    <w:rPr>
                      <w:rFonts w:hint="default" w:ascii="Times New Roman" w:hAnsi="Times New Roman"/>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39.72</w:t>
                  </w:r>
                </w:p>
              </w:tc>
              <w:tc>
                <w:tcPr>
                  <w:tcW w:w="816" w:type="pct"/>
                  <w:noWrap w:val="0"/>
                  <w:vAlign w:val="center"/>
                </w:tcPr>
                <w:p w14:paraId="306922A1">
                  <w:pPr>
                    <w:keepNext w:val="0"/>
                    <w:keepLines w:val="0"/>
                    <w:suppressLineNumbers w:val="0"/>
                    <w:spacing w:before="0" w:beforeAutospacing="0" w:after="0" w:afterAutospacing="0"/>
                    <w:ind w:left="0" w:right="0"/>
                    <w:jc w:val="center"/>
                    <w:rPr>
                      <w:rFonts w:hint="default" w:ascii="Times New Roman" w:hAnsi="Times New Roman"/>
                      <w:sz w:val="21"/>
                      <w:szCs w:val="21"/>
                      <w:u w:val="none"/>
                      <w:lang w:val="en-US"/>
                    </w:rPr>
                  </w:pPr>
                  <w:r>
                    <w:rPr>
                      <w:rFonts w:hint="eastAsia" w:cs="Times New Roman"/>
                      <w:i w:val="0"/>
                      <w:iCs w:val="0"/>
                      <w:color w:val="000000"/>
                      <w:kern w:val="0"/>
                      <w:sz w:val="21"/>
                      <w:szCs w:val="21"/>
                      <w:u w:val="none"/>
                      <w:lang w:val="en-US" w:eastAsia="zh-CN" w:bidi="ar"/>
                    </w:rPr>
                    <w:t>0.2</w:t>
                  </w:r>
                </w:p>
              </w:tc>
              <w:tc>
                <w:tcPr>
                  <w:tcW w:w="747" w:type="pct"/>
                  <w:noWrap w:val="0"/>
                  <w:vAlign w:val="center"/>
                </w:tcPr>
                <w:p w14:paraId="43D98C5A">
                  <w:pPr>
                    <w:keepNext w:val="0"/>
                    <w:keepLines w:val="0"/>
                    <w:suppressLineNumbers w:val="0"/>
                    <w:spacing w:before="0" w:beforeAutospacing="0" w:after="0" w:afterAutospacing="0"/>
                    <w:ind w:left="0" w:right="0"/>
                    <w:jc w:val="center"/>
                    <w:rPr>
                      <w:rFonts w:hint="default" w:ascii="Times New Roman" w:hAnsi="Times New Roman"/>
                      <w:sz w:val="21"/>
                      <w:szCs w:val="21"/>
                      <w:u w:val="none"/>
                      <w:lang w:val="en-US"/>
                    </w:rPr>
                  </w:pPr>
                  <w:r>
                    <w:rPr>
                      <w:rFonts w:hint="eastAsia" w:cs="Times New Roman"/>
                      <w:i w:val="0"/>
                      <w:iCs w:val="0"/>
                      <w:color w:val="000000"/>
                      <w:kern w:val="0"/>
                      <w:sz w:val="21"/>
                      <w:szCs w:val="21"/>
                      <w:u w:val="none"/>
                      <w:lang w:val="en-US" w:eastAsia="zh-CN" w:bidi="ar"/>
                    </w:rPr>
                    <w:t>1.43</w:t>
                  </w:r>
                </w:p>
              </w:tc>
            </w:tr>
            <w:tr w14:paraId="3B73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02" w:type="pct"/>
                  <w:gridSpan w:val="2"/>
                  <w:noWrap w:val="0"/>
                  <w:vAlign w:val="center"/>
                </w:tcPr>
                <w:p w14:paraId="2E82610D">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排放口合计</w:t>
                  </w:r>
                </w:p>
              </w:tc>
              <w:tc>
                <w:tcPr>
                  <w:tcW w:w="735" w:type="pct"/>
                  <w:noWrap w:val="0"/>
                  <w:vAlign w:val="center"/>
                </w:tcPr>
                <w:p w14:paraId="58527F05">
                  <w:pPr>
                    <w:keepNext w:val="0"/>
                    <w:keepLines w:val="0"/>
                    <w:suppressLineNumbers w:val="0"/>
                    <w:spacing w:before="0" w:beforeAutospacing="0" w:after="0" w:afterAutospacing="0"/>
                    <w:ind w:left="0" w:right="0"/>
                    <w:jc w:val="center"/>
                    <w:rPr>
                      <w:rFonts w:hint="default" w:ascii="Times New Roman" w:hAnsi="Times New Roman"/>
                      <w:sz w:val="21"/>
                      <w:szCs w:val="21"/>
                      <w:u w:val="none"/>
                    </w:rPr>
                  </w:pPr>
                </w:p>
              </w:tc>
              <w:tc>
                <w:tcPr>
                  <w:tcW w:w="2314" w:type="pct"/>
                  <w:gridSpan w:val="3"/>
                  <w:noWrap w:val="0"/>
                  <w:vAlign w:val="center"/>
                </w:tcPr>
                <w:p w14:paraId="762DA688">
                  <w:pPr>
                    <w:keepNext w:val="0"/>
                    <w:keepLines w:val="0"/>
                    <w:suppressLineNumbers w:val="0"/>
                    <w:adjustRightInd w:val="0"/>
                    <w:snapToGrid w:val="0"/>
                    <w:spacing w:before="0" w:beforeAutospacing="0" w:after="0" w:afterAutospacing="0"/>
                    <w:ind w:left="0" w:right="0"/>
                    <w:jc w:val="center"/>
                    <w:rPr>
                      <w:rFonts w:hint="default" w:ascii="Times New Roman" w:hAnsi="Times New Roman"/>
                      <w:sz w:val="21"/>
                      <w:szCs w:val="21"/>
                      <w:u w:val="none"/>
                    </w:rPr>
                  </w:pPr>
                  <w:r>
                    <w:rPr>
                      <w:rFonts w:hint="default" w:ascii="Times New Roman" w:hAnsi="Times New Roman"/>
                      <w:sz w:val="21"/>
                      <w:szCs w:val="21"/>
                      <w:u w:val="none"/>
                    </w:rPr>
                    <w:t>颗粒物</w:t>
                  </w:r>
                </w:p>
              </w:tc>
              <w:tc>
                <w:tcPr>
                  <w:tcW w:w="747" w:type="pct"/>
                  <w:noWrap w:val="0"/>
                  <w:vAlign w:val="center"/>
                </w:tcPr>
                <w:p w14:paraId="4D96A204">
                  <w:pPr>
                    <w:keepNext w:val="0"/>
                    <w:keepLines w:val="0"/>
                    <w:suppressLineNumbers w:val="0"/>
                    <w:spacing w:before="0" w:beforeAutospacing="0" w:after="0" w:afterAutospacing="0"/>
                    <w:ind w:left="0" w:right="0"/>
                    <w:jc w:val="center"/>
                    <w:rPr>
                      <w:rFonts w:hint="default" w:ascii="Times New Roman" w:hAnsi="Times New Roman"/>
                      <w:sz w:val="21"/>
                      <w:szCs w:val="21"/>
                      <w:u w:val="none"/>
                      <w:lang w:val="en-US"/>
                    </w:rPr>
                  </w:pPr>
                  <w:r>
                    <w:rPr>
                      <w:rFonts w:hint="eastAsia" w:cs="Times New Roman"/>
                      <w:i w:val="0"/>
                      <w:iCs w:val="0"/>
                      <w:color w:val="000000"/>
                      <w:kern w:val="0"/>
                      <w:sz w:val="21"/>
                      <w:szCs w:val="21"/>
                      <w:u w:val="none"/>
                      <w:lang w:val="en-US" w:eastAsia="zh-CN" w:bidi="ar"/>
                    </w:rPr>
                    <w:t>1.43</w:t>
                  </w:r>
                </w:p>
              </w:tc>
            </w:tr>
          </w:tbl>
          <w:p w14:paraId="2EBA2555">
            <w:pPr>
              <w:keepNext w:val="0"/>
              <w:keepLines w:val="0"/>
              <w:suppressLineNumbers w:val="0"/>
              <w:bidi w:val="0"/>
              <w:spacing w:before="0" w:beforeAutospacing="0" w:after="0" w:afterAutospacing="0"/>
              <w:ind w:left="0" w:right="0"/>
              <w:jc w:val="center"/>
              <w:rPr>
                <w:rFonts w:hint="eastAsia"/>
                <w:b/>
                <w:bCs/>
                <w:lang w:val="en-US" w:eastAsia="zh-CN"/>
              </w:rPr>
            </w:pPr>
            <w:r>
              <w:rPr>
                <w:rFonts w:hint="eastAsia"/>
                <w:b/>
                <w:bCs/>
                <w:lang w:val="en-US" w:eastAsia="zh-CN"/>
              </w:rPr>
              <w:t>4-8    无组织排放量核算汇总表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728"/>
              <w:gridCol w:w="867"/>
              <w:gridCol w:w="1271"/>
              <w:gridCol w:w="1088"/>
              <w:gridCol w:w="1522"/>
              <w:gridCol w:w="1132"/>
              <w:gridCol w:w="922"/>
            </w:tblGrid>
            <w:tr w14:paraId="4E8F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restart"/>
                  <w:noWrap w:val="0"/>
                  <w:vAlign w:val="center"/>
                </w:tcPr>
                <w:p w14:paraId="100FEE11">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序号</w:t>
                  </w:r>
                </w:p>
              </w:tc>
              <w:tc>
                <w:tcPr>
                  <w:tcW w:w="445" w:type="pct"/>
                  <w:vMerge w:val="restart"/>
                  <w:noWrap w:val="0"/>
                  <w:vAlign w:val="center"/>
                </w:tcPr>
                <w:p w14:paraId="1E79E36E">
                  <w:pPr>
                    <w:keepNext w:val="0"/>
                    <w:keepLines w:val="0"/>
                    <w:suppressLineNumbers w:val="0"/>
                    <w:spacing w:before="0" w:beforeAutospacing="0" w:after="0" w:afterAutospacing="0"/>
                    <w:ind w:left="0" w:right="0"/>
                    <w:jc w:val="center"/>
                    <w:rPr>
                      <w:rFonts w:hint="eastAsia" w:ascii="Times New Roman" w:hAnsi="Times New Roman"/>
                      <w:szCs w:val="21"/>
                      <w:u w:val="none"/>
                    </w:rPr>
                  </w:pPr>
                  <w:r>
                    <w:rPr>
                      <w:rFonts w:hint="default" w:ascii="Times New Roman" w:hAnsi="Times New Roman"/>
                      <w:szCs w:val="21"/>
                      <w:u w:val="none"/>
                    </w:rPr>
                    <w:t>排放</w:t>
                  </w:r>
                  <w:r>
                    <w:rPr>
                      <w:rFonts w:hint="eastAsia" w:ascii="Times New Roman" w:hAnsi="Times New Roman"/>
                      <w:szCs w:val="21"/>
                      <w:u w:val="none"/>
                    </w:rPr>
                    <w:t>位置</w:t>
                  </w:r>
                </w:p>
              </w:tc>
              <w:tc>
                <w:tcPr>
                  <w:tcW w:w="530" w:type="pct"/>
                  <w:vMerge w:val="restart"/>
                  <w:noWrap w:val="0"/>
                  <w:vAlign w:val="center"/>
                </w:tcPr>
                <w:p w14:paraId="540CAA7D">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产污环节</w:t>
                  </w:r>
                </w:p>
              </w:tc>
              <w:tc>
                <w:tcPr>
                  <w:tcW w:w="777" w:type="pct"/>
                  <w:vMerge w:val="restart"/>
                  <w:noWrap w:val="0"/>
                  <w:vAlign w:val="center"/>
                </w:tcPr>
                <w:p w14:paraId="56F25D33">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污染物</w:t>
                  </w:r>
                </w:p>
              </w:tc>
              <w:tc>
                <w:tcPr>
                  <w:tcW w:w="665" w:type="pct"/>
                  <w:vMerge w:val="restart"/>
                  <w:noWrap w:val="0"/>
                  <w:vAlign w:val="center"/>
                </w:tcPr>
                <w:p w14:paraId="31BB1E3E">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主要污染防治措施</w:t>
                  </w:r>
                </w:p>
              </w:tc>
              <w:tc>
                <w:tcPr>
                  <w:tcW w:w="1623" w:type="pct"/>
                  <w:gridSpan w:val="2"/>
                  <w:noWrap w:val="0"/>
                  <w:vAlign w:val="center"/>
                </w:tcPr>
                <w:p w14:paraId="6226B7F9">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国家或地方污染物排放标准</w:t>
                  </w:r>
                </w:p>
              </w:tc>
              <w:tc>
                <w:tcPr>
                  <w:tcW w:w="564" w:type="pct"/>
                  <w:vMerge w:val="restart"/>
                  <w:noWrap w:val="0"/>
                  <w:vAlign w:val="center"/>
                </w:tcPr>
                <w:p w14:paraId="283F8668">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年排放量（t/a）</w:t>
                  </w:r>
                </w:p>
              </w:tc>
            </w:tr>
            <w:tr w14:paraId="3950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noWrap w:val="0"/>
                  <w:vAlign w:val="center"/>
                </w:tcPr>
                <w:p w14:paraId="27710203">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445" w:type="pct"/>
                  <w:vMerge w:val="continue"/>
                  <w:noWrap w:val="0"/>
                  <w:vAlign w:val="center"/>
                </w:tcPr>
                <w:p w14:paraId="434C48B3">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530" w:type="pct"/>
                  <w:vMerge w:val="continue"/>
                  <w:noWrap w:val="0"/>
                  <w:vAlign w:val="center"/>
                </w:tcPr>
                <w:p w14:paraId="11801E74">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777" w:type="pct"/>
                  <w:vMerge w:val="continue"/>
                  <w:noWrap w:val="0"/>
                  <w:vAlign w:val="center"/>
                </w:tcPr>
                <w:p w14:paraId="38AFB1E7">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665" w:type="pct"/>
                  <w:vMerge w:val="continue"/>
                  <w:noWrap w:val="0"/>
                  <w:vAlign w:val="center"/>
                </w:tcPr>
                <w:p w14:paraId="7EF631EE">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931" w:type="pct"/>
                  <w:noWrap w:val="0"/>
                  <w:vAlign w:val="center"/>
                </w:tcPr>
                <w:p w14:paraId="4B154B00">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标准名称</w:t>
                  </w:r>
                </w:p>
              </w:tc>
              <w:tc>
                <w:tcPr>
                  <w:tcW w:w="692" w:type="pct"/>
                  <w:noWrap w:val="0"/>
                  <w:vAlign w:val="center"/>
                </w:tcPr>
                <w:p w14:paraId="316DFAB8">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浓度限值（mg/m</w:t>
                  </w:r>
                  <w:r>
                    <w:rPr>
                      <w:rFonts w:hint="default" w:ascii="Times New Roman" w:hAnsi="Times New Roman"/>
                      <w:szCs w:val="21"/>
                      <w:u w:val="none"/>
                      <w:vertAlign w:val="superscript"/>
                    </w:rPr>
                    <w:t>3</w:t>
                  </w:r>
                  <w:r>
                    <w:rPr>
                      <w:rFonts w:hint="default" w:ascii="Times New Roman" w:hAnsi="Times New Roman"/>
                      <w:szCs w:val="21"/>
                      <w:u w:val="none"/>
                    </w:rPr>
                    <w:t>）</w:t>
                  </w:r>
                </w:p>
              </w:tc>
              <w:tc>
                <w:tcPr>
                  <w:tcW w:w="564" w:type="pct"/>
                  <w:vMerge w:val="continue"/>
                  <w:noWrap w:val="0"/>
                  <w:vAlign w:val="center"/>
                </w:tcPr>
                <w:p w14:paraId="1907F570">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r>
            <w:tr w14:paraId="67FF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restart"/>
                  <w:noWrap w:val="0"/>
                  <w:vAlign w:val="center"/>
                </w:tcPr>
                <w:p w14:paraId="0DDAD6A1">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1</w:t>
                  </w:r>
                </w:p>
              </w:tc>
              <w:tc>
                <w:tcPr>
                  <w:tcW w:w="445" w:type="pct"/>
                  <w:vMerge w:val="restart"/>
                  <w:noWrap w:val="0"/>
                  <w:vAlign w:val="center"/>
                </w:tcPr>
                <w:p w14:paraId="6F96F836">
                  <w:pPr>
                    <w:pStyle w:val="16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u w:val="none"/>
                    </w:rPr>
                  </w:pPr>
                  <w:r>
                    <w:rPr>
                      <w:rFonts w:hint="eastAsia" w:ascii="Times New Roman" w:hAnsi="Times New Roman"/>
                      <w:kern w:val="0"/>
                      <w:sz w:val="21"/>
                      <w:u w:val="none"/>
                    </w:rPr>
                    <w:t>1</w:t>
                  </w:r>
                  <w:r>
                    <w:rPr>
                      <w:rFonts w:hint="default" w:ascii="Times New Roman" w:hAnsi="Times New Roman"/>
                      <w:kern w:val="0"/>
                      <w:sz w:val="21"/>
                      <w:u w:val="none"/>
                    </w:rPr>
                    <w:t>#生产厂房</w:t>
                  </w:r>
                </w:p>
              </w:tc>
              <w:tc>
                <w:tcPr>
                  <w:tcW w:w="530" w:type="pct"/>
                  <w:vMerge w:val="restart"/>
                  <w:noWrap w:val="0"/>
                  <w:vAlign w:val="center"/>
                </w:tcPr>
                <w:p w14:paraId="6A7DE055">
                  <w:pPr>
                    <w:pStyle w:val="16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u w:val="none"/>
                    </w:rPr>
                  </w:pPr>
                  <w:r>
                    <w:rPr>
                      <w:rFonts w:hint="eastAsia" w:ascii="Times New Roman" w:hAnsi="Times New Roman"/>
                      <w:bCs/>
                      <w:spacing w:val="-10"/>
                      <w:sz w:val="21"/>
                      <w:u w:val="none"/>
                    </w:rPr>
                    <w:t>机加工</w:t>
                  </w:r>
                </w:p>
              </w:tc>
              <w:tc>
                <w:tcPr>
                  <w:tcW w:w="777" w:type="pct"/>
                  <w:noWrap w:val="0"/>
                  <w:vAlign w:val="center"/>
                </w:tcPr>
                <w:p w14:paraId="5DFCD56E">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eastAsia" w:ascii="Times New Roman" w:hAnsi="Times New Roman"/>
                      <w:szCs w:val="21"/>
                      <w:u w:val="none"/>
                    </w:rPr>
                    <w:t>颗粒物</w:t>
                  </w:r>
                </w:p>
              </w:tc>
              <w:tc>
                <w:tcPr>
                  <w:tcW w:w="665" w:type="pct"/>
                  <w:vMerge w:val="restart"/>
                  <w:noWrap w:val="0"/>
                  <w:vAlign w:val="center"/>
                </w:tcPr>
                <w:p w14:paraId="7DAB538C">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密闭加工+负压收集+机械过滤</w:t>
                  </w:r>
                </w:p>
              </w:tc>
              <w:tc>
                <w:tcPr>
                  <w:tcW w:w="931" w:type="pct"/>
                  <w:vMerge w:val="restart"/>
                  <w:noWrap w:val="0"/>
                  <w:vAlign w:val="center"/>
                </w:tcPr>
                <w:p w14:paraId="46361983">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eastAsia="zh-CN"/>
                    </w:rPr>
                    <w:t>《</w:t>
                  </w:r>
                  <w:r>
                    <w:rPr>
                      <w:rFonts w:hint="eastAsia" w:ascii="Times New Roman" w:hAnsi="Times New Roman"/>
                      <w:szCs w:val="21"/>
                      <w:u w:val="none"/>
                      <w:lang w:val="en-US" w:eastAsia="zh-CN"/>
                    </w:rPr>
                    <w:t>大气污染物综合排放标准</w:t>
                  </w:r>
                  <w:r>
                    <w:rPr>
                      <w:rFonts w:hint="eastAsia" w:ascii="Times New Roman" w:hAnsi="Times New Roman"/>
                      <w:szCs w:val="21"/>
                      <w:u w:val="none"/>
                      <w:lang w:eastAsia="zh-CN"/>
                    </w:rPr>
                    <w:t>》（</w:t>
                  </w:r>
                  <w:r>
                    <w:rPr>
                      <w:rFonts w:hint="eastAsia" w:ascii="Times New Roman" w:hAnsi="Times New Roman"/>
                      <w:szCs w:val="21"/>
                      <w:u w:val="none"/>
                      <w:lang w:val="en-US" w:eastAsia="zh-CN"/>
                    </w:rPr>
                    <w:t>GB16297-1996</w:t>
                  </w:r>
                  <w:r>
                    <w:rPr>
                      <w:rFonts w:hint="eastAsia" w:ascii="Times New Roman" w:hAnsi="Times New Roman"/>
                      <w:szCs w:val="21"/>
                      <w:u w:val="none"/>
                      <w:lang w:eastAsia="zh-CN"/>
                    </w:rPr>
                    <w:t>）</w:t>
                  </w:r>
                </w:p>
              </w:tc>
              <w:tc>
                <w:tcPr>
                  <w:tcW w:w="692" w:type="pct"/>
                  <w:noWrap w:val="0"/>
                  <w:vAlign w:val="center"/>
                </w:tcPr>
                <w:p w14:paraId="4AD711B5">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eastAsia" w:ascii="Times New Roman" w:hAnsi="Times New Roman"/>
                      <w:szCs w:val="21"/>
                      <w:u w:val="none"/>
                    </w:rPr>
                    <w:t>1.0</w:t>
                  </w:r>
                </w:p>
              </w:tc>
              <w:tc>
                <w:tcPr>
                  <w:tcW w:w="922" w:type="dxa"/>
                  <w:noWrap w:val="0"/>
                  <w:vAlign w:val="center"/>
                </w:tcPr>
                <w:p w14:paraId="5D215D12">
                  <w:pPr>
                    <w:keepNext w:val="0"/>
                    <w:keepLines w:val="0"/>
                    <w:suppressLineNumbers w:val="0"/>
                    <w:spacing w:before="0" w:beforeAutospacing="0" w:after="0" w:afterAutospacing="0"/>
                    <w:ind w:left="0" w:right="0"/>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0.</w:t>
                  </w:r>
                  <w:r>
                    <w:rPr>
                      <w:rFonts w:hint="default" w:ascii="Times New Roman" w:hAnsi="Times New Roman"/>
                      <w:szCs w:val="21"/>
                      <w:u w:val="none"/>
                      <w:lang w:val="en-US" w:eastAsia="zh-CN"/>
                    </w:rPr>
                    <w:t>11</w:t>
                  </w:r>
                  <w:r>
                    <w:rPr>
                      <w:rFonts w:hint="eastAsia" w:ascii="Times New Roman" w:hAnsi="Times New Roman"/>
                      <w:szCs w:val="21"/>
                      <w:u w:val="none"/>
                      <w:lang w:val="en-US" w:eastAsia="zh-CN"/>
                    </w:rPr>
                    <w:t>2</w:t>
                  </w:r>
                </w:p>
              </w:tc>
            </w:tr>
            <w:tr w14:paraId="753A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noWrap w:val="0"/>
                  <w:vAlign w:val="center"/>
                </w:tcPr>
                <w:p w14:paraId="626CE316">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445" w:type="pct"/>
                  <w:vMerge w:val="continue"/>
                  <w:noWrap w:val="0"/>
                  <w:vAlign w:val="center"/>
                </w:tcPr>
                <w:p w14:paraId="50768322">
                  <w:pPr>
                    <w:pStyle w:val="16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kern w:val="0"/>
                      <w:sz w:val="21"/>
                      <w:u w:val="none"/>
                    </w:rPr>
                  </w:pPr>
                </w:p>
              </w:tc>
              <w:tc>
                <w:tcPr>
                  <w:tcW w:w="530" w:type="pct"/>
                  <w:vMerge w:val="continue"/>
                  <w:noWrap w:val="0"/>
                  <w:vAlign w:val="center"/>
                </w:tcPr>
                <w:p w14:paraId="460DE01E">
                  <w:pPr>
                    <w:pStyle w:val="16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bCs/>
                      <w:spacing w:val="-10"/>
                      <w:sz w:val="21"/>
                      <w:u w:val="none"/>
                    </w:rPr>
                  </w:pPr>
                </w:p>
              </w:tc>
              <w:tc>
                <w:tcPr>
                  <w:tcW w:w="777" w:type="pct"/>
                  <w:noWrap w:val="0"/>
                  <w:vAlign w:val="center"/>
                </w:tcPr>
                <w:p w14:paraId="7DD5CF93">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非甲烷总烃</w:t>
                  </w:r>
                </w:p>
              </w:tc>
              <w:tc>
                <w:tcPr>
                  <w:tcW w:w="665" w:type="pct"/>
                  <w:vMerge w:val="continue"/>
                  <w:noWrap w:val="0"/>
                  <w:vAlign w:val="center"/>
                </w:tcPr>
                <w:p w14:paraId="29EE5FDD">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931" w:type="pct"/>
                  <w:vMerge w:val="continue"/>
                  <w:noWrap w:val="0"/>
                  <w:vAlign w:val="center"/>
                </w:tcPr>
                <w:p w14:paraId="610BD17A">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692" w:type="pct"/>
                  <w:noWrap w:val="0"/>
                  <w:vAlign w:val="center"/>
                </w:tcPr>
                <w:p w14:paraId="3347259E">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4.0</w:t>
                  </w:r>
                </w:p>
              </w:tc>
              <w:tc>
                <w:tcPr>
                  <w:tcW w:w="922" w:type="dxa"/>
                  <w:noWrap w:val="0"/>
                  <w:vAlign w:val="center"/>
                </w:tcPr>
                <w:p w14:paraId="42FFDF30">
                  <w:pPr>
                    <w:keepNext w:val="0"/>
                    <w:keepLines w:val="0"/>
                    <w:suppressLineNumbers w:val="0"/>
                    <w:spacing w:before="0" w:beforeAutospacing="0" w:after="0" w:afterAutospacing="0"/>
                    <w:ind w:left="0" w:right="0"/>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0.0</w:t>
                  </w:r>
                  <w:r>
                    <w:rPr>
                      <w:rFonts w:hint="default" w:ascii="Times New Roman" w:hAnsi="Times New Roman"/>
                      <w:szCs w:val="21"/>
                      <w:u w:val="none"/>
                      <w:lang w:val="en-US" w:eastAsia="zh-CN"/>
                    </w:rPr>
                    <w:t>1</w:t>
                  </w:r>
                  <w:r>
                    <w:rPr>
                      <w:rFonts w:hint="eastAsia" w:ascii="Times New Roman" w:hAnsi="Times New Roman"/>
                      <w:szCs w:val="21"/>
                      <w:u w:val="none"/>
                      <w:lang w:val="en-US" w:eastAsia="zh-CN"/>
                    </w:rPr>
                    <w:t>1</w:t>
                  </w:r>
                  <w:r>
                    <w:rPr>
                      <w:rFonts w:hint="default" w:ascii="Times New Roman" w:hAnsi="Times New Roman"/>
                      <w:szCs w:val="21"/>
                      <w:u w:val="none"/>
                      <w:lang w:val="en-US" w:eastAsia="zh-CN"/>
                    </w:rPr>
                    <w:t xml:space="preserve"> </w:t>
                  </w:r>
                </w:p>
              </w:tc>
            </w:tr>
            <w:tr w14:paraId="1634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noWrap w:val="0"/>
                  <w:vAlign w:val="center"/>
                </w:tcPr>
                <w:p w14:paraId="035DA3A6">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445" w:type="pct"/>
                  <w:vMerge w:val="continue"/>
                  <w:noWrap w:val="0"/>
                  <w:vAlign w:val="center"/>
                </w:tcPr>
                <w:p w14:paraId="5F06B078">
                  <w:pPr>
                    <w:pStyle w:val="16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kern w:val="0"/>
                      <w:sz w:val="21"/>
                      <w:u w:val="none"/>
                    </w:rPr>
                  </w:pPr>
                </w:p>
              </w:tc>
              <w:tc>
                <w:tcPr>
                  <w:tcW w:w="530" w:type="pct"/>
                  <w:noWrap w:val="0"/>
                  <w:vAlign w:val="center"/>
                </w:tcPr>
                <w:p w14:paraId="379F2B4C">
                  <w:pPr>
                    <w:pStyle w:val="16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Cs/>
                      <w:spacing w:val="-10"/>
                      <w:sz w:val="21"/>
                      <w:u w:val="none"/>
                      <w:lang w:val="en-US" w:eastAsia="zh-CN"/>
                    </w:rPr>
                  </w:pPr>
                  <w:r>
                    <w:rPr>
                      <w:rFonts w:hint="eastAsia" w:ascii="Times New Roman" w:hAnsi="Times New Roman"/>
                      <w:bCs/>
                      <w:spacing w:val="-10"/>
                      <w:sz w:val="21"/>
                      <w:u w:val="none"/>
                      <w:lang w:val="en-US" w:eastAsia="zh-CN"/>
                    </w:rPr>
                    <w:t>高频淬火</w:t>
                  </w:r>
                </w:p>
              </w:tc>
              <w:tc>
                <w:tcPr>
                  <w:tcW w:w="777" w:type="pct"/>
                  <w:noWrap w:val="0"/>
                  <w:vAlign w:val="center"/>
                </w:tcPr>
                <w:p w14:paraId="4B626B9F">
                  <w:pPr>
                    <w:keepNext w:val="0"/>
                    <w:keepLines w:val="0"/>
                    <w:suppressLineNumbers w:val="0"/>
                    <w:spacing w:before="0" w:beforeAutospacing="0" w:after="0" w:afterAutospacing="0"/>
                    <w:ind w:left="0" w:right="0"/>
                    <w:jc w:val="center"/>
                    <w:rPr>
                      <w:rFonts w:hint="eastAsia" w:ascii="Times New Roman" w:hAnsi="Times New Roman"/>
                      <w:szCs w:val="21"/>
                      <w:u w:val="none"/>
                    </w:rPr>
                  </w:pPr>
                  <w:r>
                    <w:rPr>
                      <w:rFonts w:hint="eastAsia" w:ascii="Times New Roman" w:hAnsi="Times New Roman"/>
                      <w:szCs w:val="21"/>
                      <w:u w:val="none"/>
                      <w:lang w:val="en-US" w:eastAsia="zh-CN"/>
                    </w:rPr>
                    <w:t>非甲烷总烃</w:t>
                  </w:r>
                </w:p>
              </w:tc>
              <w:tc>
                <w:tcPr>
                  <w:tcW w:w="665" w:type="pct"/>
                  <w:noWrap w:val="0"/>
                  <w:vAlign w:val="center"/>
                </w:tcPr>
                <w:p w14:paraId="5D537101">
                  <w:pPr>
                    <w:keepNext w:val="0"/>
                    <w:keepLines w:val="0"/>
                    <w:suppressLineNumbers w:val="0"/>
                    <w:spacing w:before="0" w:beforeAutospacing="0" w:after="0" w:afterAutospacing="0"/>
                    <w:ind w:left="0" w:right="0"/>
                    <w:jc w:val="center"/>
                    <w:rPr>
                      <w:rFonts w:hint="eastAsia" w:ascii="Times New Roman" w:hAnsi="Times New Roman" w:eastAsia="宋体"/>
                      <w:szCs w:val="21"/>
                      <w:u w:val="none"/>
                      <w:lang w:val="en-US" w:eastAsia="zh-CN"/>
                    </w:rPr>
                  </w:pPr>
                  <w:r>
                    <w:rPr>
                      <w:rFonts w:hint="eastAsia" w:ascii="Times New Roman" w:hAnsi="Times New Roman"/>
                      <w:szCs w:val="21"/>
                      <w:u w:val="none"/>
                      <w:lang w:val="en-US" w:eastAsia="zh-CN"/>
                    </w:rPr>
                    <w:t>/</w:t>
                  </w:r>
                </w:p>
              </w:tc>
              <w:tc>
                <w:tcPr>
                  <w:tcW w:w="931" w:type="pct"/>
                  <w:vMerge w:val="continue"/>
                  <w:noWrap w:val="0"/>
                  <w:vAlign w:val="center"/>
                </w:tcPr>
                <w:p w14:paraId="62683FE8">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692" w:type="pct"/>
                  <w:noWrap w:val="0"/>
                  <w:vAlign w:val="center"/>
                </w:tcPr>
                <w:p w14:paraId="2BFC6014">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4.0</w:t>
                  </w:r>
                </w:p>
              </w:tc>
              <w:tc>
                <w:tcPr>
                  <w:tcW w:w="564" w:type="pct"/>
                  <w:noWrap w:val="0"/>
                  <w:vAlign w:val="center"/>
                </w:tcPr>
                <w:p w14:paraId="24D7BB4B">
                  <w:pPr>
                    <w:keepNext w:val="0"/>
                    <w:keepLines w:val="0"/>
                    <w:suppressLineNumbers w:val="0"/>
                    <w:spacing w:before="0" w:beforeAutospacing="0" w:after="0" w:afterAutospacing="0"/>
                    <w:ind w:left="0" w:right="0"/>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0.0171</w:t>
                  </w:r>
                </w:p>
              </w:tc>
            </w:tr>
            <w:tr w14:paraId="0E37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noWrap w:val="0"/>
                  <w:vAlign w:val="center"/>
                </w:tcPr>
                <w:p w14:paraId="558F7E29">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445" w:type="pct"/>
                  <w:vMerge w:val="continue"/>
                  <w:noWrap w:val="0"/>
                  <w:vAlign w:val="center"/>
                </w:tcPr>
                <w:p w14:paraId="0A52B9C3">
                  <w:pPr>
                    <w:pStyle w:val="16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kern w:val="0"/>
                      <w:sz w:val="21"/>
                      <w:u w:val="none"/>
                    </w:rPr>
                  </w:pPr>
                </w:p>
              </w:tc>
              <w:tc>
                <w:tcPr>
                  <w:tcW w:w="530" w:type="pct"/>
                  <w:noWrap w:val="0"/>
                  <w:vAlign w:val="center"/>
                </w:tcPr>
                <w:p w14:paraId="5F98387F">
                  <w:pPr>
                    <w:pStyle w:val="29"/>
                    <w:keepNext w:val="0"/>
                    <w:keepLines w:val="0"/>
                    <w:widowControl w:val="0"/>
                    <w:suppressLineNumbers w:val="0"/>
                    <w:spacing w:before="0" w:beforeAutospacing="0" w:after="0" w:afterAutospacing="0"/>
                    <w:ind w:left="0" w:right="0"/>
                    <w:jc w:val="center"/>
                    <w:rPr>
                      <w:rFonts w:hint="default" w:ascii="Times New Roman" w:hAnsi="Times New Roman"/>
                      <w:bCs/>
                      <w:spacing w:val="-10"/>
                      <w:sz w:val="21"/>
                      <w:szCs w:val="21"/>
                      <w:u w:val="none"/>
                      <w:lang w:val="en-US" w:eastAsia="zh-CN"/>
                    </w:rPr>
                  </w:pPr>
                  <w:r>
                    <w:rPr>
                      <w:rFonts w:hint="eastAsia" w:ascii="Times New Roman" w:hAnsi="Times New Roman"/>
                      <w:bCs/>
                      <w:spacing w:val="-10"/>
                      <w:sz w:val="21"/>
                      <w:szCs w:val="21"/>
                      <w:u w:val="none"/>
                      <w:lang w:val="en-US" w:eastAsia="zh-CN"/>
                    </w:rPr>
                    <w:t>表面喷砂</w:t>
                  </w:r>
                </w:p>
              </w:tc>
              <w:tc>
                <w:tcPr>
                  <w:tcW w:w="777" w:type="pct"/>
                  <w:noWrap w:val="0"/>
                  <w:vAlign w:val="center"/>
                </w:tcPr>
                <w:p w14:paraId="4DCE922B">
                  <w:pPr>
                    <w:keepNext w:val="0"/>
                    <w:keepLines w:val="0"/>
                    <w:suppressLineNumbers w:val="0"/>
                    <w:spacing w:before="0" w:beforeAutospacing="0" w:after="0" w:afterAutospacing="0"/>
                    <w:ind w:left="0" w:right="0"/>
                    <w:jc w:val="center"/>
                    <w:rPr>
                      <w:rFonts w:hint="eastAsia" w:ascii="Times New Roman" w:hAnsi="Times New Roman" w:eastAsia="宋体"/>
                      <w:szCs w:val="21"/>
                      <w:u w:val="none"/>
                      <w:lang w:val="en-US" w:eastAsia="zh-CN"/>
                    </w:rPr>
                  </w:pPr>
                  <w:r>
                    <w:rPr>
                      <w:rFonts w:hint="eastAsia" w:ascii="Times New Roman" w:hAnsi="Times New Roman"/>
                      <w:szCs w:val="21"/>
                      <w:u w:val="none"/>
                      <w:lang w:val="en-US" w:eastAsia="zh-CN"/>
                    </w:rPr>
                    <w:t>颗粒物</w:t>
                  </w:r>
                </w:p>
              </w:tc>
              <w:tc>
                <w:tcPr>
                  <w:tcW w:w="665" w:type="pct"/>
                  <w:noWrap w:val="0"/>
                  <w:vAlign w:val="center"/>
                </w:tcPr>
                <w:p w14:paraId="73FBDFB4">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设备自带除尘设施</w:t>
                  </w:r>
                </w:p>
              </w:tc>
              <w:tc>
                <w:tcPr>
                  <w:tcW w:w="931" w:type="pct"/>
                  <w:vMerge w:val="continue"/>
                  <w:noWrap w:val="0"/>
                  <w:vAlign w:val="center"/>
                </w:tcPr>
                <w:p w14:paraId="0A525633">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692" w:type="pct"/>
                  <w:noWrap w:val="0"/>
                  <w:vAlign w:val="center"/>
                </w:tcPr>
                <w:p w14:paraId="61A1383A">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eastAsia" w:ascii="Times New Roman" w:hAnsi="Times New Roman"/>
                      <w:szCs w:val="21"/>
                      <w:u w:val="none"/>
                    </w:rPr>
                    <w:t>1.0</w:t>
                  </w:r>
                </w:p>
              </w:tc>
              <w:tc>
                <w:tcPr>
                  <w:tcW w:w="564" w:type="pct"/>
                  <w:noWrap w:val="0"/>
                  <w:vAlign w:val="center"/>
                </w:tcPr>
                <w:p w14:paraId="3547BE44">
                  <w:pPr>
                    <w:keepNext w:val="0"/>
                    <w:keepLines w:val="0"/>
                    <w:suppressLineNumbers w:val="0"/>
                    <w:spacing w:before="0" w:beforeAutospacing="0" w:after="0" w:afterAutospacing="0"/>
                    <w:ind w:left="0" w:right="0"/>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0.29</w:t>
                  </w:r>
                </w:p>
              </w:tc>
            </w:tr>
            <w:tr w14:paraId="7135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6" w:type="pct"/>
                  <w:gridSpan w:val="4"/>
                  <w:vMerge w:val="restart"/>
                  <w:noWrap w:val="0"/>
                  <w:vAlign w:val="center"/>
                </w:tcPr>
                <w:p w14:paraId="4797C9DC">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default" w:ascii="Times New Roman" w:hAnsi="Times New Roman"/>
                      <w:szCs w:val="21"/>
                      <w:u w:val="none"/>
                    </w:rPr>
                    <w:t>无组织排放总计</w:t>
                  </w:r>
                </w:p>
              </w:tc>
              <w:tc>
                <w:tcPr>
                  <w:tcW w:w="1596" w:type="pct"/>
                  <w:gridSpan w:val="2"/>
                  <w:noWrap w:val="0"/>
                  <w:vAlign w:val="center"/>
                </w:tcPr>
                <w:p w14:paraId="39F849F2">
                  <w:pPr>
                    <w:keepNext w:val="0"/>
                    <w:keepLines w:val="0"/>
                    <w:suppressLineNumbers w:val="0"/>
                    <w:spacing w:before="0" w:beforeAutospacing="0" w:after="0" w:afterAutospacing="0"/>
                    <w:ind w:left="0" w:right="0"/>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非甲烷总烃</w:t>
                  </w:r>
                </w:p>
              </w:tc>
              <w:tc>
                <w:tcPr>
                  <w:tcW w:w="1256" w:type="pct"/>
                  <w:gridSpan w:val="2"/>
                  <w:noWrap w:val="0"/>
                  <w:vAlign w:val="center"/>
                </w:tcPr>
                <w:p w14:paraId="0CCB1C33">
                  <w:pPr>
                    <w:keepNext w:val="0"/>
                    <w:keepLines w:val="0"/>
                    <w:suppressLineNumbers w:val="0"/>
                    <w:spacing w:before="0" w:beforeAutospacing="0" w:after="0" w:afterAutospacing="0"/>
                    <w:ind w:left="0" w:right="0"/>
                    <w:jc w:val="center"/>
                    <w:rPr>
                      <w:rFonts w:hint="default" w:ascii="Times New Roman" w:hAnsi="Times New Roman" w:eastAsia="宋体"/>
                      <w:szCs w:val="21"/>
                      <w:u w:val="none"/>
                      <w:lang w:val="en-US" w:eastAsia="zh-CN"/>
                    </w:rPr>
                  </w:pPr>
                  <w:r>
                    <w:rPr>
                      <w:rFonts w:hint="eastAsia"/>
                      <w:szCs w:val="21"/>
                      <w:u w:val="none"/>
                      <w:lang w:val="en-US" w:eastAsia="zh-CN"/>
                    </w:rPr>
                    <w:t>0.0281</w:t>
                  </w:r>
                </w:p>
              </w:tc>
            </w:tr>
            <w:tr w14:paraId="3B7A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6" w:type="pct"/>
                  <w:gridSpan w:val="4"/>
                  <w:vMerge w:val="continue"/>
                  <w:noWrap w:val="0"/>
                  <w:vAlign w:val="center"/>
                </w:tcPr>
                <w:p w14:paraId="5FB7D269">
                  <w:pPr>
                    <w:keepNext w:val="0"/>
                    <w:keepLines w:val="0"/>
                    <w:suppressLineNumbers w:val="0"/>
                    <w:spacing w:before="0" w:beforeAutospacing="0" w:after="0" w:afterAutospacing="0"/>
                    <w:ind w:left="0" w:right="0"/>
                    <w:jc w:val="center"/>
                    <w:rPr>
                      <w:rFonts w:hint="default" w:ascii="Times New Roman" w:hAnsi="Times New Roman"/>
                      <w:szCs w:val="21"/>
                      <w:u w:val="none"/>
                    </w:rPr>
                  </w:pPr>
                </w:p>
              </w:tc>
              <w:tc>
                <w:tcPr>
                  <w:tcW w:w="1596" w:type="pct"/>
                  <w:gridSpan w:val="2"/>
                  <w:noWrap w:val="0"/>
                  <w:vAlign w:val="center"/>
                </w:tcPr>
                <w:p w14:paraId="4C9E6B7E">
                  <w:pPr>
                    <w:keepNext w:val="0"/>
                    <w:keepLines w:val="0"/>
                    <w:suppressLineNumbers w:val="0"/>
                    <w:spacing w:before="0" w:beforeAutospacing="0" w:after="0" w:afterAutospacing="0"/>
                    <w:ind w:left="0" w:right="0"/>
                    <w:jc w:val="center"/>
                    <w:rPr>
                      <w:rFonts w:hint="default" w:ascii="Times New Roman" w:hAnsi="Times New Roman"/>
                      <w:szCs w:val="21"/>
                      <w:u w:val="none"/>
                    </w:rPr>
                  </w:pPr>
                  <w:r>
                    <w:rPr>
                      <w:rFonts w:hint="eastAsia" w:ascii="Times New Roman" w:hAnsi="Times New Roman"/>
                      <w:szCs w:val="21"/>
                      <w:u w:val="none"/>
                    </w:rPr>
                    <w:t>颗粒物</w:t>
                  </w:r>
                </w:p>
              </w:tc>
              <w:tc>
                <w:tcPr>
                  <w:tcW w:w="1256" w:type="pct"/>
                  <w:gridSpan w:val="2"/>
                  <w:noWrap w:val="0"/>
                  <w:vAlign w:val="center"/>
                </w:tcPr>
                <w:p w14:paraId="3A6DA836">
                  <w:pPr>
                    <w:keepNext w:val="0"/>
                    <w:keepLines w:val="0"/>
                    <w:suppressLineNumbers w:val="0"/>
                    <w:spacing w:before="0" w:beforeAutospacing="0" w:after="0" w:afterAutospacing="0"/>
                    <w:ind w:left="0" w:right="0"/>
                    <w:jc w:val="center"/>
                    <w:rPr>
                      <w:rFonts w:hint="default" w:ascii="Times New Roman" w:hAnsi="Times New Roman"/>
                      <w:szCs w:val="21"/>
                      <w:u w:val="none"/>
                      <w:lang w:val="en-US" w:eastAsia="zh-CN"/>
                    </w:rPr>
                  </w:pPr>
                  <w:r>
                    <w:rPr>
                      <w:rFonts w:hint="eastAsia"/>
                      <w:szCs w:val="21"/>
                      <w:u w:val="none"/>
                      <w:lang w:val="en-US" w:eastAsia="zh-CN"/>
                    </w:rPr>
                    <w:t>0.402</w:t>
                  </w:r>
                </w:p>
              </w:tc>
            </w:tr>
          </w:tbl>
          <w:p w14:paraId="362F21FB">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表4-9    全厂排放量汇总</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724"/>
              <w:gridCol w:w="2724"/>
            </w:tblGrid>
            <w:tr w14:paraId="2672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2253599D">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序号</w:t>
                  </w:r>
                </w:p>
              </w:tc>
              <w:tc>
                <w:tcPr>
                  <w:tcW w:w="2068" w:type="dxa"/>
                  <w:vAlign w:val="center"/>
                </w:tcPr>
                <w:p w14:paraId="5F94EEB0">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污染因子</w:t>
                  </w:r>
                </w:p>
              </w:tc>
              <w:tc>
                <w:tcPr>
                  <w:tcW w:w="2068" w:type="dxa"/>
                  <w:vAlign w:val="center"/>
                </w:tcPr>
                <w:p w14:paraId="79D531F1">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年排放量（t/a）</w:t>
                  </w:r>
                </w:p>
              </w:tc>
            </w:tr>
            <w:tr w14:paraId="1FE9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124B7B8A">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w:t>
                  </w:r>
                </w:p>
              </w:tc>
              <w:tc>
                <w:tcPr>
                  <w:tcW w:w="2068" w:type="dxa"/>
                  <w:vAlign w:val="center"/>
                </w:tcPr>
                <w:p w14:paraId="21343C05">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颗粒物</w:t>
                  </w:r>
                </w:p>
              </w:tc>
              <w:tc>
                <w:tcPr>
                  <w:tcW w:w="2068" w:type="dxa"/>
                  <w:vAlign w:val="center"/>
                </w:tcPr>
                <w:p w14:paraId="27CE09E3">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1.832</w:t>
                  </w:r>
                </w:p>
              </w:tc>
            </w:tr>
            <w:tr w14:paraId="6584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49886F11">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2</w:t>
                  </w:r>
                </w:p>
              </w:tc>
              <w:tc>
                <w:tcPr>
                  <w:tcW w:w="2068" w:type="dxa"/>
                  <w:vAlign w:val="center"/>
                </w:tcPr>
                <w:p w14:paraId="7378425D">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非甲烷总烃</w:t>
                  </w:r>
                </w:p>
              </w:tc>
              <w:tc>
                <w:tcPr>
                  <w:tcW w:w="2068" w:type="dxa"/>
                  <w:vAlign w:val="center"/>
                </w:tcPr>
                <w:p w14:paraId="201B9CDC">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0.0281</w:t>
                  </w:r>
                </w:p>
              </w:tc>
            </w:tr>
          </w:tbl>
          <w:p w14:paraId="77D29DA4">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w:t>
            </w:r>
            <w:r>
              <w:rPr>
                <w:rFonts w:hint="eastAsia" w:cs="Times New Roman"/>
                <w:b/>
                <w:bCs/>
                <w:color w:val="auto"/>
                <w:sz w:val="24"/>
                <w:szCs w:val="24"/>
                <w:highlight w:val="none"/>
                <w:u w:val="none" w:color="auto"/>
                <w:lang w:val="en-US" w:eastAsia="zh-CN"/>
              </w:rPr>
              <w:t>6</w:t>
            </w:r>
            <w:r>
              <w:rPr>
                <w:rFonts w:hint="default" w:ascii="Times New Roman" w:hAnsi="Times New Roman" w:eastAsia="宋体" w:cs="Times New Roman"/>
                <w:b/>
                <w:bCs/>
                <w:color w:val="auto"/>
                <w:sz w:val="24"/>
                <w:szCs w:val="24"/>
                <w:highlight w:val="none"/>
                <w:u w:val="none" w:color="auto"/>
                <w:lang w:val="en-US" w:eastAsia="zh-CN"/>
              </w:rPr>
              <w:t>大气环境影响分析</w:t>
            </w:r>
          </w:p>
          <w:p w14:paraId="2DA8E274">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综上分析，本项目高频淬火机产生的挥发性有机物，机加工产生的颗粒物、挥发性有机物、表面喷砂处理产生的颗粒物经相应的处理措施处理后</w:t>
            </w:r>
            <w:r>
              <w:rPr>
                <w:rFonts w:hint="eastAsia" w:ascii="Times New Roman" w:hAnsi="Times New Roman" w:eastAsia="宋体" w:cs="Times New Roman"/>
                <w:color w:val="auto"/>
                <w:sz w:val="24"/>
                <w:szCs w:val="24"/>
                <w:highlight w:val="none"/>
                <w:u w:val="none" w:color="auto"/>
                <w:lang w:val="en-US" w:eastAsia="zh-CN"/>
              </w:rPr>
              <w:t>能够达到《大气污染物排放标准》（GB</w:t>
            </w:r>
            <w:r>
              <w:rPr>
                <w:rFonts w:hint="eastAsia" w:cs="Times New Roman"/>
                <w:color w:val="auto"/>
                <w:sz w:val="24"/>
                <w:szCs w:val="24"/>
                <w:highlight w:val="none"/>
                <w:u w:val="none" w:color="auto"/>
                <w:lang w:val="en-US" w:eastAsia="zh-CN"/>
              </w:rPr>
              <w:t>16297</w:t>
            </w:r>
            <w:r>
              <w:rPr>
                <w:rFonts w:hint="eastAsia" w:ascii="Times New Roman" w:hAnsi="Times New Roman" w:eastAsia="宋体" w:cs="Times New Roman"/>
                <w:color w:val="auto"/>
                <w:sz w:val="24"/>
                <w:szCs w:val="24"/>
                <w:highlight w:val="none"/>
                <w:u w:val="none" w:color="auto"/>
                <w:lang w:val="en-US" w:eastAsia="zh-CN"/>
              </w:rPr>
              <w:t>-</w:t>
            </w:r>
            <w:r>
              <w:rPr>
                <w:rFonts w:hint="eastAsia" w:cs="Times New Roman"/>
                <w:color w:val="auto"/>
                <w:sz w:val="24"/>
                <w:szCs w:val="24"/>
                <w:highlight w:val="none"/>
                <w:u w:val="none" w:color="auto"/>
                <w:lang w:val="en-US" w:eastAsia="zh-CN"/>
              </w:rPr>
              <w:t>1996</w:t>
            </w:r>
            <w:r>
              <w:rPr>
                <w:rFonts w:hint="eastAsia" w:ascii="Times New Roman" w:hAnsi="Times New Roman" w:eastAsia="宋体" w:cs="Times New Roman"/>
                <w:color w:val="auto"/>
                <w:sz w:val="24"/>
                <w:szCs w:val="24"/>
                <w:highlight w:val="none"/>
                <w:u w:val="none" w:color="auto"/>
                <w:lang w:val="en-US" w:eastAsia="zh-CN"/>
              </w:rPr>
              <w:t>）表</w:t>
            </w:r>
            <w:r>
              <w:rPr>
                <w:rFonts w:hint="eastAsia" w:cs="Times New Roman"/>
                <w:color w:val="auto"/>
                <w:sz w:val="24"/>
                <w:szCs w:val="24"/>
                <w:highlight w:val="none"/>
                <w:u w:val="none" w:color="auto"/>
                <w:lang w:val="en-US" w:eastAsia="zh-CN"/>
              </w:rPr>
              <w:t>2</w:t>
            </w:r>
            <w:r>
              <w:rPr>
                <w:rFonts w:hint="eastAsia" w:ascii="Times New Roman" w:hAnsi="Times New Roman" w:eastAsia="宋体" w:cs="Times New Roman"/>
                <w:color w:val="auto"/>
                <w:sz w:val="24"/>
                <w:szCs w:val="24"/>
                <w:highlight w:val="none"/>
                <w:u w:val="none" w:color="auto"/>
                <w:lang w:val="en-US" w:eastAsia="zh-CN"/>
              </w:rPr>
              <w:t>中排放限值要求，</w:t>
            </w:r>
            <w:r>
              <w:rPr>
                <w:rFonts w:hint="eastAsia" w:cs="Times New Roman"/>
                <w:color w:val="auto"/>
                <w:sz w:val="24"/>
                <w:szCs w:val="24"/>
                <w:highlight w:val="none"/>
                <w:u w:val="none" w:color="auto"/>
                <w:lang w:val="en-US" w:eastAsia="zh-CN"/>
              </w:rPr>
              <w:t>非甲烷总烃无组织排放能够</w:t>
            </w:r>
            <w:r>
              <w:rPr>
                <w:rFonts w:hint="eastAsia" w:ascii="Times New Roman" w:hAnsi="Times New Roman" w:eastAsia="宋体" w:cs="Times New Roman"/>
                <w:color w:val="auto"/>
                <w:sz w:val="24"/>
                <w:szCs w:val="24"/>
                <w:highlight w:val="none"/>
                <w:u w:val="none" w:color="auto"/>
                <w:lang w:val="en-US" w:eastAsia="zh-CN"/>
              </w:rPr>
              <w:t>达到《无组织挥发性有机物排放标准》（GB37822-2019）附录表A.1标准限值，且项目位于工业园区，500m范围下风向居民较少，因此</w:t>
            </w:r>
            <w:r>
              <w:rPr>
                <w:rFonts w:hint="default" w:ascii="Times New Roman" w:hAnsi="Times New Roman" w:eastAsia="宋体" w:cs="Times New Roman"/>
                <w:color w:val="auto"/>
                <w:sz w:val="24"/>
                <w:szCs w:val="24"/>
                <w:highlight w:val="none"/>
                <w:u w:val="none" w:color="auto"/>
                <w:lang w:val="en-US" w:eastAsia="zh-CN"/>
              </w:rPr>
              <w:t>运营期</w:t>
            </w:r>
            <w:r>
              <w:rPr>
                <w:rFonts w:hint="eastAsia" w:cs="Times New Roman"/>
                <w:color w:val="auto"/>
                <w:sz w:val="24"/>
                <w:szCs w:val="24"/>
                <w:highlight w:val="none"/>
                <w:u w:val="none" w:color="auto"/>
                <w:lang w:val="en-US" w:eastAsia="zh-CN"/>
              </w:rPr>
              <w:t>产生的废气</w:t>
            </w:r>
            <w:r>
              <w:rPr>
                <w:rFonts w:hint="default" w:ascii="Times New Roman" w:hAnsi="Times New Roman" w:eastAsia="宋体" w:cs="Times New Roman"/>
                <w:color w:val="auto"/>
                <w:sz w:val="24"/>
                <w:szCs w:val="24"/>
                <w:highlight w:val="none"/>
                <w:u w:val="none" w:color="auto"/>
                <w:lang w:val="en-US" w:eastAsia="zh-CN"/>
              </w:rPr>
              <w:t>对周边区域大气环境影响较小，大气环境影响可以接受。</w:t>
            </w:r>
          </w:p>
          <w:p w14:paraId="1153E1C2">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2、废水</w:t>
            </w:r>
          </w:p>
          <w:p w14:paraId="13D1C199">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2.1废水源强分析</w:t>
            </w:r>
          </w:p>
          <w:p w14:paraId="6429ABF0">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2.1.1生活污水</w:t>
            </w:r>
          </w:p>
          <w:p w14:paraId="116201A3">
            <w:pPr>
              <w:pStyle w:val="99"/>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eastAsia="zh-CN"/>
              </w:rPr>
            </w:pPr>
            <w:r>
              <w:rPr>
                <w:rFonts w:hint="default"/>
                <w:color w:val="000000"/>
                <w:sz w:val="24"/>
                <w:szCs w:val="20"/>
              </w:rPr>
              <w:t>项目</w:t>
            </w:r>
            <w:r>
              <w:rPr>
                <w:rFonts w:hint="eastAsia"/>
                <w:color w:val="000000"/>
                <w:sz w:val="24"/>
                <w:szCs w:val="20"/>
                <w:lang w:val="en-US" w:eastAsia="zh-CN"/>
              </w:rPr>
              <w:t>变更后</w:t>
            </w:r>
            <w:r>
              <w:rPr>
                <w:rFonts w:hint="default"/>
                <w:color w:val="000000"/>
                <w:sz w:val="24"/>
                <w:szCs w:val="20"/>
              </w:rPr>
              <w:t>劳动定员</w:t>
            </w:r>
            <w:r>
              <w:rPr>
                <w:rFonts w:hint="eastAsia"/>
                <w:color w:val="000000"/>
                <w:sz w:val="24"/>
                <w:szCs w:val="20"/>
                <w:lang w:val="en-US" w:eastAsia="zh-CN"/>
              </w:rPr>
              <w:t>400</w:t>
            </w:r>
            <w:r>
              <w:rPr>
                <w:rFonts w:hint="default"/>
                <w:color w:val="000000"/>
                <w:sz w:val="24"/>
                <w:szCs w:val="20"/>
              </w:rPr>
              <w:t>人，</w:t>
            </w:r>
            <w:r>
              <w:rPr>
                <w:rFonts w:hint="eastAsia"/>
                <w:color w:val="000000"/>
                <w:sz w:val="24"/>
                <w:szCs w:val="20"/>
              </w:rPr>
              <w:t>厂内提供</w:t>
            </w:r>
            <w:r>
              <w:rPr>
                <w:rFonts w:hint="default"/>
                <w:color w:val="000000"/>
                <w:sz w:val="24"/>
                <w:szCs w:val="20"/>
              </w:rPr>
              <w:t>住宿。</w:t>
            </w:r>
            <w:r>
              <w:rPr>
                <w:rFonts w:hint="eastAsia"/>
                <w:color w:val="000000"/>
                <w:sz w:val="24"/>
                <w:szCs w:val="20"/>
                <w:lang w:val="en-US" w:eastAsia="zh-CN"/>
              </w:rPr>
              <w:t>生活用水按照</w:t>
            </w:r>
            <w:r>
              <w:rPr>
                <w:rFonts w:hint="default"/>
                <w:sz w:val="24"/>
                <w:szCs w:val="20"/>
              </w:rPr>
              <w:t>《用水定额</w:t>
            </w:r>
            <w:r>
              <w:rPr>
                <w:rFonts w:hint="eastAsia"/>
                <w:sz w:val="24"/>
                <w:szCs w:val="20"/>
                <w:lang w:val="en-US" w:eastAsia="zh-CN"/>
              </w:rPr>
              <w:t xml:space="preserve"> 第3部分 生活、服务业及建筑业</w:t>
            </w:r>
            <w:r>
              <w:rPr>
                <w:rFonts w:hint="default"/>
                <w:sz w:val="24"/>
                <w:szCs w:val="20"/>
              </w:rPr>
              <w:t>》（DB43/T 388</w:t>
            </w:r>
            <w:r>
              <w:rPr>
                <w:rFonts w:hint="eastAsia"/>
                <w:sz w:val="24"/>
                <w:szCs w:val="20"/>
                <w:lang w:val="en-US" w:eastAsia="zh-CN"/>
              </w:rPr>
              <w:t>.3</w:t>
            </w:r>
            <w:r>
              <w:rPr>
                <w:rFonts w:hint="default"/>
                <w:sz w:val="24"/>
                <w:szCs w:val="20"/>
              </w:rPr>
              <w:t>-</w:t>
            </w:r>
            <w:r>
              <w:rPr>
                <w:rFonts w:hint="eastAsia"/>
                <w:sz w:val="24"/>
                <w:szCs w:val="20"/>
              </w:rPr>
              <w:t>202</w:t>
            </w:r>
            <w:r>
              <w:rPr>
                <w:rFonts w:hint="eastAsia"/>
                <w:sz w:val="24"/>
                <w:szCs w:val="20"/>
                <w:lang w:val="en-US" w:eastAsia="zh-CN"/>
              </w:rPr>
              <w:t>5</w:t>
            </w:r>
            <w:r>
              <w:rPr>
                <w:rFonts w:hint="default"/>
                <w:sz w:val="24"/>
                <w:szCs w:val="20"/>
              </w:rPr>
              <w:t>）</w:t>
            </w:r>
            <w:r>
              <w:rPr>
                <w:rFonts w:hint="eastAsia"/>
                <w:sz w:val="24"/>
                <w:szCs w:val="20"/>
                <w:lang w:val="en-US" w:eastAsia="zh-CN"/>
              </w:rPr>
              <w:t>表1</w:t>
            </w:r>
            <w:r>
              <w:rPr>
                <w:rFonts w:hint="eastAsia" w:ascii="Times New Roman" w:hAnsi="Times New Roman" w:eastAsia="宋体" w:cs="Times New Roman"/>
                <w:color w:val="auto"/>
                <w:kern w:val="2"/>
                <w:sz w:val="24"/>
                <w:szCs w:val="24"/>
                <w:highlight w:val="none"/>
                <w:lang w:val="en-US" w:eastAsia="zh-CN" w:bidi="ar-SA"/>
              </w:rPr>
              <w:t>，</w:t>
            </w:r>
            <w:r>
              <w:rPr>
                <w:rFonts w:hint="eastAsia"/>
                <w:color w:val="000000" w:themeColor="text1"/>
                <w:sz w:val="24"/>
                <w14:textFill>
                  <w14:solidFill>
                    <w14:schemeClr w14:val="tx1"/>
                  </w14:solidFill>
                </w14:textFill>
              </w:rPr>
              <w:t>按145L/人.d计算用水量</w:t>
            </w:r>
            <w:r>
              <w:rPr>
                <w:rFonts w:hint="eastAsia"/>
                <w:color w:val="000000"/>
                <w:sz w:val="24"/>
                <w:szCs w:val="20"/>
              </w:rPr>
              <w:t>。</w:t>
            </w:r>
            <w:r>
              <w:rPr>
                <w:rFonts w:hint="default"/>
                <w:color w:val="000000"/>
                <w:sz w:val="24"/>
                <w:szCs w:val="20"/>
              </w:rPr>
              <w:t>项目</w:t>
            </w:r>
            <w:r>
              <w:rPr>
                <w:rFonts w:hint="eastAsia"/>
                <w:color w:val="000000"/>
                <w:sz w:val="24"/>
                <w:szCs w:val="20"/>
              </w:rPr>
              <w:t>生活</w:t>
            </w:r>
            <w:r>
              <w:rPr>
                <w:rFonts w:hint="default"/>
                <w:color w:val="000000"/>
                <w:sz w:val="24"/>
                <w:szCs w:val="20"/>
              </w:rPr>
              <w:t>用水量约</w:t>
            </w:r>
            <w:r>
              <w:rPr>
                <w:rFonts w:hint="eastAsia"/>
                <w:color w:val="000000"/>
                <w:sz w:val="24"/>
                <w:szCs w:val="20"/>
                <w:lang w:val="en-US" w:eastAsia="zh-CN"/>
              </w:rPr>
              <w:t>17400</w:t>
            </w:r>
            <w:r>
              <w:rPr>
                <w:rFonts w:hint="default"/>
                <w:color w:val="000000"/>
                <w:sz w:val="24"/>
                <w:szCs w:val="20"/>
              </w:rPr>
              <w:t>m³/a</w:t>
            </w:r>
            <w:r>
              <w:rPr>
                <w:rFonts w:hint="eastAsia"/>
                <w:color w:val="000000"/>
                <w:sz w:val="24"/>
                <w:szCs w:val="20"/>
              </w:rPr>
              <w:t>（</w:t>
            </w:r>
            <w:r>
              <w:rPr>
                <w:rFonts w:hint="eastAsia"/>
                <w:color w:val="000000"/>
                <w:sz w:val="24"/>
                <w:szCs w:val="20"/>
                <w:lang w:val="en-US" w:eastAsia="zh-CN"/>
              </w:rPr>
              <w:t>58</w:t>
            </w:r>
            <w:r>
              <w:rPr>
                <w:rFonts w:hint="default"/>
                <w:color w:val="000000"/>
                <w:sz w:val="24"/>
                <w:szCs w:val="20"/>
              </w:rPr>
              <w:t>m³/</w:t>
            </w:r>
            <w:r>
              <w:rPr>
                <w:rFonts w:hint="eastAsia"/>
                <w:color w:val="000000"/>
                <w:sz w:val="24"/>
                <w:szCs w:val="20"/>
              </w:rPr>
              <w:t>d）。</w:t>
            </w:r>
            <w:r>
              <w:rPr>
                <w:rFonts w:hint="eastAsia" w:ascii="Times New Roman" w:hAnsi="Times New Roman" w:eastAsia="宋体" w:cs="Times New Roman"/>
                <w:b w:val="0"/>
                <w:bCs/>
                <w:color w:val="000000" w:themeColor="text1"/>
                <w:sz w:val="24"/>
                <w:szCs w:val="24"/>
                <w:highlight w:val="none"/>
                <w:u w:val="none" w:color="auto"/>
                <w:lang w:val="en-US" w:eastAsia="zh-CN"/>
                <w14:textFill>
                  <w14:solidFill>
                    <w14:schemeClr w14:val="tx1"/>
                  </w14:solidFill>
                </w14:textFill>
              </w:rPr>
              <w:t>生活污水污染物浓度参照《排放源统计调查产排污核算方法和系数手册生活源产排污核算方法和系数手册》 五区系数进行核算（湖南地区属于五区），</w:t>
            </w:r>
            <w:r>
              <w:rPr>
                <w:rFonts w:hint="default"/>
                <w:color w:val="000000"/>
                <w:sz w:val="24"/>
                <w:szCs w:val="20"/>
              </w:rPr>
              <w:t>排污</w:t>
            </w:r>
            <w:r>
              <w:rPr>
                <w:rFonts w:hint="eastAsia"/>
                <w:color w:val="000000"/>
                <w:sz w:val="24"/>
                <w:szCs w:val="20"/>
                <w:lang w:val="en-US" w:eastAsia="zh-CN"/>
              </w:rPr>
              <w:t>系数取0.89</w:t>
            </w:r>
            <w:r>
              <w:rPr>
                <w:rFonts w:hint="default"/>
                <w:color w:val="000000"/>
                <w:sz w:val="24"/>
                <w:szCs w:val="20"/>
              </w:rPr>
              <w:t>计，则生活污水产生量约</w:t>
            </w:r>
            <w:r>
              <w:rPr>
                <w:rFonts w:hint="eastAsia"/>
                <w:color w:val="000000"/>
                <w:sz w:val="24"/>
                <w:szCs w:val="20"/>
                <w:lang w:val="en-US" w:eastAsia="zh-CN"/>
              </w:rPr>
              <w:t>15486m</w:t>
            </w:r>
            <w:r>
              <w:rPr>
                <w:rFonts w:hint="eastAsia"/>
                <w:color w:val="000000"/>
                <w:sz w:val="24"/>
                <w:szCs w:val="20"/>
                <w:vertAlign w:val="superscript"/>
                <w:lang w:val="en-US" w:eastAsia="zh-CN"/>
              </w:rPr>
              <w:t>3</w:t>
            </w:r>
            <w:r>
              <w:rPr>
                <w:rFonts w:hint="default"/>
                <w:color w:val="000000"/>
                <w:sz w:val="24"/>
                <w:szCs w:val="20"/>
              </w:rPr>
              <w:t>/a</w:t>
            </w:r>
            <w:r>
              <w:rPr>
                <w:rFonts w:hint="eastAsia"/>
                <w:color w:val="000000"/>
                <w:kern w:val="0"/>
                <w:sz w:val="24"/>
                <w:szCs w:val="24"/>
                <w:lang w:bidi="ar"/>
              </w:rPr>
              <w:t>（</w:t>
            </w:r>
            <w:r>
              <w:rPr>
                <w:rFonts w:hint="eastAsia"/>
                <w:color w:val="000000"/>
                <w:kern w:val="0"/>
                <w:sz w:val="24"/>
                <w:szCs w:val="24"/>
                <w:lang w:val="en-US" w:eastAsia="zh-CN" w:bidi="ar"/>
              </w:rPr>
              <w:t>51.62</w:t>
            </w:r>
            <w:r>
              <w:rPr>
                <w:rFonts w:hint="eastAsia"/>
                <w:color w:val="000000"/>
                <w:kern w:val="0"/>
                <w:sz w:val="24"/>
                <w:szCs w:val="24"/>
                <w:lang w:bidi="ar"/>
              </w:rPr>
              <w:t>m</w:t>
            </w:r>
            <w:r>
              <w:rPr>
                <w:rFonts w:hint="eastAsia"/>
                <w:color w:val="000000"/>
                <w:kern w:val="0"/>
                <w:sz w:val="24"/>
                <w:szCs w:val="24"/>
                <w:vertAlign w:val="superscript"/>
                <w:lang w:bidi="ar"/>
              </w:rPr>
              <w:t>3</w:t>
            </w:r>
            <w:r>
              <w:rPr>
                <w:rFonts w:hint="eastAsia"/>
                <w:color w:val="000000"/>
                <w:kern w:val="0"/>
                <w:sz w:val="24"/>
                <w:szCs w:val="24"/>
                <w:lang w:bidi="ar"/>
              </w:rPr>
              <w:t>/d）。</w:t>
            </w:r>
            <w:r>
              <w:rPr>
                <w:rFonts w:hint="default" w:ascii="Times New Roman" w:hAnsi="Times New Roman" w:eastAsia="宋体" w:cs="Times New Roman"/>
                <w:b w:val="0"/>
                <w:bCs/>
                <w:color w:val="000000"/>
                <w:sz w:val="24"/>
                <w:szCs w:val="24"/>
                <w:highlight w:val="none"/>
                <w:u w:val="none"/>
              </w:rPr>
              <w:t>生活污水中主要污染物：</w:t>
            </w:r>
            <w:r>
              <w:rPr>
                <w:rFonts w:hint="default" w:ascii="Times New Roman" w:hAnsi="Times New Roman" w:eastAsia="宋体" w:cs="Times New Roman"/>
                <w:b w:val="0"/>
                <w:bCs/>
                <w:color w:val="000000"/>
                <w:sz w:val="24"/>
                <w:szCs w:val="24"/>
                <w:u w:val="none"/>
              </w:rPr>
              <w:t>COD：</w:t>
            </w:r>
            <w:r>
              <w:rPr>
                <w:rFonts w:hint="default" w:ascii="Times New Roman" w:hAnsi="Times New Roman" w:eastAsia="宋体" w:cs="Times New Roman"/>
                <w:b w:val="0"/>
                <w:bCs/>
                <w:color w:val="000000"/>
                <w:sz w:val="24"/>
                <w:szCs w:val="24"/>
                <w:u w:val="none"/>
                <w:lang w:val="en-US" w:eastAsia="zh-CN"/>
              </w:rPr>
              <w:t>285</w:t>
            </w:r>
            <w:r>
              <w:rPr>
                <w:rFonts w:hint="default" w:ascii="Times New Roman" w:hAnsi="Times New Roman" w:eastAsia="宋体" w:cs="Times New Roman"/>
                <w:b w:val="0"/>
                <w:bCs/>
                <w:color w:val="000000"/>
                <w:sz w:val="24"/>
                <w:szCs w:val="24"/>
                <w:u w:val="none"/>
              </w:rPr>
              <w:t>mg/L、NH</w:t>
            </w:r>
            <w:r>
              <w:rPr>
                <w:rFonts w:hint="default" w:ascii="Times New Roman" w:hAnsi="Times New Roman" w:eastAsia="宋体" w:cs="Times New Roman"/>
                <w:b w:val="0"/>
                <w:bCs/>
                <w:color w:val="000000"/>
                <w:sz w:val="24"/>
                <w:szCs w:val="24"/>
                <w:u w:val="none"/>
                <w:vertAlign w:val="subscript"/>
              </w:rPr>
              <w:t>3</w:t>
            </w:r>
            <w:r>
              <w:rPr>
                <w:rFonts w:hint="default" w:ascii="Times New Roman" w:hAnsi="Times New Roman" w:eastAsia="宋体" w:cs="Times New Roman"/>
                <w:b w:val="0"/>
                <w:bCs/>
                <w:color w:val="000000"/>
                <w:sz w:val="24"/>
                <w:szCs w:val="24"/>
                <w:u w:val="none"/>
              </w:rPr>
              <w:t>-N：</w:t>
            </w:r>
            <w:r>
              <w:rPr>
                <w:rFonts w:hint="default" w:ascii="Times New Roman" w:hAnsi="Times New Roman" w:eastAsia="宋体" w:cs="Times New Roman"/>
                <w:b w:val="0"/>
                <w:bCs/>
                <w:color w:val="000000"/>
                <w:sz w:val="24"/>
                <w:szCs w:val="24"/>
                <w:u w:val="none"/>
                <w:lang w:val="en-US" w:eastAsia="zh-CN"/>
              </w:rPr>
              <w:t>28.3</w:t>
            </w:r>
            <w:r>
              <w:rPr>
                <w:rFonts w:hint="default" w:ascii="Times New Roman" w:hAnsi="Times New Roman" w:eastAsia="宋体" w:cs="Times New Roman"/>
                <w:b w:val="0"/>
                <w:bCs/>
                <w:color w:val="000000"/>
                <w:sz w:val="24"/>
                <w:szCs w:val="24"/>
                <w:u w:val="none"/>
              </w:rPr>
              <w:t>mg/L</w:t>
            </w:r>
            <w:r>
              <w:rPr>
                <w:rFonts w:hint="default" w:ascii="Times New Roman" w:hAnsi="Times New Roman" w:eastAsia="宋体" w:cs="Times New Roman"/>
                <w:b w:val="0"/>
                <w:bCs/>
                <w:color w:val="000000"/>
                <w:sz w:val="24"/>
                <w:szCs w:val="24"/>
                <w:u w:val="none"/>
                <w:lang w:eastAsia="zh-CN"/>
              </w:rPr>
              <w:t>、</w:t>
            </w:r>
            <w:r>
              <w:rPr>
                <w:rFonts w:hint="default" w:ascii="Times New Roman" w:hAnsi="Times New Roman" w:eastAsia="宋体" w:cs="Times New Roman"/>
                <w:b w:val="0"/>
                <w:bCs/>
                <w:color w:val="000000"/>
                <w:sz w:val="24"/>
                <w:szCs w:val="24"/>
                <w:u w:val="none"/>
                <w:lang w:val="en-US" w:eastAsia="zh-CN"/>
              </w:rPr>
              <w:t>总氮39.4mg/L，总磷4.1mg/L，其他污染物浓</w:t>
            </w:r>
            <w:r>
              <w:rPr>
                <w:rFonts w:hint="default" w:ascii="Times New Roman" w:hAnsi="Times New Roman" w:eastAsia="宋体" w:cs="Times New Roman"/>
                <w:sz w:val="24"/>
                <w:szCs w:val="24"/>
              </w:rPr>
              <w:t>度参照《给水排水设计手册》（第二版第5册）中章节4.2城镇污水的水</w:t>
            </w:r>
            <w:r>
              <w:rPr>
                <w:rFonts w:hint="eastAsia" w:ascii="宋体" w:hAnsi="宋体" w:eastAsia="宋体" w:cs="宋体"/>
                <w:sz w:val="24"/>
                <w:szCs w:val="24"/>
              </w:rPr>
              <w:t>质“表</w:t>
            </w:r>
            <w:r>
              <w:rPr>
                <w:rFonts w:hint="default" w:ascii="Times New Roman" w:hAnsi="Times New Roman" w:eastAsia="宋体" w:cs="Times New Roman"/>
                <w:sz w:val="24"/>
                <w:szCs w:val="24"/>
              </w:rPr>
              <w:t>4-1</w:t>
            </w:r>
            <w:r>
              <w:rPr>
                <w:rFonts w:hint="eastAsia" w:ascii="宋体" w:hAnsi="宋体" w:eastAsia="宋体" w:cs="宋体"/>
                <w:sz w:val="24"/>
                <w:szCs w:val="24"/>
              </w:rPr>
              <w:t>典型的生活污水水质”中</w:t>
            </w:r>
            <w:r>
              <w:rPr>
                <w:rFonts w:hint="default" w:ascii="Times New Roman" w:hAnsi="Times New Roman" w:eastAsia="宋体" w:cs="Times New Roman"/>
                <w:sz w:val="24"/>
                <w:szCs w:val="24"/>
              </w:rPr>
              <w:t>等浓度取值</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b w:val="0"/>
                <w:bCs/>
                <w:color w:val="000000"/>
                <w:sz w:val="24"/>
                <w:szCs w:val="24"/>
                <w:u w:val="none"/>
                <w:lang w:val="en-US" w:eastAsia="zh-CN"/>
              </w:rPr>
              <w:t>BOD</w:t>
            </w:r>
            <w:r>
              <w:rPr>
                <w:rFonts w:hint="default" w:ascii="Times New Roman" w:hAnsi="Times New Roman" w:eastAsia="宋体" w:cs="Times New Roman"/>
                <w:b w:val="0"/>
                <w:bCs/>
                <w:color w:val="000000"/>
                <w:sz w:val="24"/>
                <w:szCs w:val="24"/>
                <w:u w:val="none"/>
                <w:vertAlign w:val="subscript"/>
                <w:lang w:val="en-US" w:eastAsia="zh-CN"/>
              </w:rPr>
              <w:t>5</w:t>
            </w:r>
            <w:r>
              <w:rPr>
                <w:rFonts w:hint="default" w:ascii="Times New Roman" w:hAnsi="Times New Roman" w:eastAsia="宋体" w:cs="Times New Roman"/>
                <w:b w:val="0"/>
                <w:bCs/>
                <w:color w:val="000000"/>
                <w:sz w:val="24"/>
                <w:szCs w:val="24"/>
                <w:u w:val="none"/>
                <w:lang w:val="en-US" w:eastAsia="zh-CN"/>
              </w:rPr>
              <w:t>：180</w:t>
            </w:r>
            <w:r>
              <w:rPr>
                <w:rFonts w:hint="default" w:ascii="Times New Roman" w:hAnsi="Times New Roman" w:eastAsia="宋体" w:cs="Times New Roman"/>
                <w:b w:val="0"/>
                <w:bCs/>
                <w:color w:val="000000"/>
                <w:sz w:val="24"/>
                <w:szCs w:val="24"/>
                <w:u w:val="none"/>
              </w:rPr>
              <w:t>mg/L</w:t>
            </w:r>
            <w:r>
              <w:rPr>
                <w:rFonts w:hint="default" w:ascii="Times New Roman" w:hAnsi="Times New Roman" w:eastAsia="宋体" w:cs="Times New Roman"/>
                <w:b w:val="0"/>
                <w:bCs/>
                <w:color w:val="000000"/>
                <w:sz w:val="24"/>
                <w:szCs w:val="24"/>
                <w:u w:val="none"/>
                <w:lang w:val="en-US" w:eastAsia="zh-CN"/>
              </w:rPr>
              <w:t>、</w:t>
            </w:r>
            <w:r>
              <w:rPr>
                <w:rFonts w:hint="default" w:ascii="Times New Roman" w:hAnsi="Times New Roman" w:eastAsia="宋体" w:cs="Times New Roman"/>
                <w:sz w:val="24"/>
                <w:szCs w:val="24"/>
                <w:lang w:val="en-US" w:eastAsia="zh-CN"/>
              </w:rPr>
              <w:t>动植物油：</w:t>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SS：110mg/L。</w:t>
            </w:r>
          </w:p>
          <w:p w14:paraId="02500C90">
            <w:pPr>
              <w:pStyle w:val="99"/>
              <w:keepNext w:val="0"/>
              <w:keepLines w:val="0"/>
              <w:suppressLineNumbers w:val="0"/>
              <w:spacing w:before="0" w:beforeAutospacing="0" w:after="0" w:afterAutospacing="0" w:line="360" w:lineRule="auto"/>
              <w:ind w:left="0" w:right="0" w:firstLine="480" w:firstLineChars="200"/>
              <w:jc w:val="both"/>
              <w:rPr>
                <w:rFonts w:hint="eastAsia"/>
                <w:color w:val="000000"/>
                <w:sz w:val="24"/>
                <w:szCs w:val="20"/>
              </w:rPr>
            </w:pPr>
            <w:r>
              <w:rPr>
                <w:rFonts w:hint="eastAsia"/>
                <w:color w:val="000000"/>
                <w:sz w:val="24"/>
                <w:szCs w:val="20"/>
                <w:lang w:val="en-US" w:eastAsia="zh-CN"/>
              </w:rPr>
              <w:t>详细产污数据见下表</w:t>
            </w:r>
            <w:r>
              <w:rPr>
                <w:rFonts w:hint="eastAsia"/>
                <w:color w:val="000000"/>
                <w:sz w:val="24"/>
                <w:szCs w:val="20"/>
              </w:rPr>
              <w:t>。</w:t>
            </w:r>
          </w:p>
          <w:p w14:paraId="64D4B4A8">
            <w:pPr>
              <w:keepNext w:val="0"/>
              <w:keepLines w:val="0"/>
              <w:suppressLineNumbers w:val="0"/>
              <w:spacing w:before="0" w:beforeAutospacing="0" w:after="0" w:afterAutospacing="0"/>
              <w:ind w:left="0" w:right="0"/>
              <w:jc w:val="center"/>
              <w:rPr>
                <w:rFonts w:hint="eastAsia"/>
                <w:b/>
                <w:bCs/>
              </w:rPr>
            </w:pPr>
            <w:r>
              <w:rPr>
                <w:rFonts w:hint="eastAsia"/>
                <w:b/>
                <w:bCs/>
              </w:rPr>
              <w:t>表4-</w:t>
            </w:r>
            <w:r>
              <w:rPr>
                <w:rFonts w:hint="eastAsia"/>
                <w:b/>
                <w:bCs/>
                <w:lang w:val="en-US" w:eastAsia="zh-CN"/>
              </w:rPr>
              <w:t>10</w:t>
            </w:r>
            <w:r>
              <w:rPr>
                <w:rFonts w:hint="eastAsia"/>
                <w:b/>
                <w:bCs/>
              </w:rPr>
              <w:t xml:space="preserve">     </w:t>
            </w:r>
            <w:r>
              <w:rPr>
                <w:rFonts w:hint="eastAsia"/>
                <w:b/>
                <w:bCs/>
                <w:lang w:eastAsia="zh-CN"/>
              </w:rPr>
              <w:t>生活污水</w:t>
            </w:r>
            <w:r>
              <w:rPr>
                <w:rFonts w:hint="eastAsia"/>
                <w:b/>
                <w:bCs/>
              </w:rPr>
              <w:t>产排污因子</w:t>
            </w:r>
          </w:p>
          <w:tbl>
            <w:tblPr>
              <w:tblStyle w:val="33"/>
              <w:tblW w:w="8262"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21"/>
              <w:gridCol w:w="2134"/>
              <w:gridCol w:w="1521"/>
              <w:gridCol w:w="1564"/>
              <w:gridCol w:w="1522"/>
            </w:tblGrid>
            <w:tr w14:paraId="61A9E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521" w:type="dxa"/>
                  <w:tcBorders>
                    <w:top w:val="single" w:color="000000" w:sz="4" w:space="0"/>
                    <w:left w:val="single" w:color="000000" w:sz="4" w:space="0"/>
                    <w:bottom w:val="single" w:color="000000" w:sz="4" w:space="0"/>
                    <w:right w:val="single" w:color="000000" w:sz="4" w:space="0"/>
                  </w:tcBorders>
                  <w:shd w:val="clear" w:color="auto" w:fill="auto"/>
                  <w:vAlign w:val="top"/>
                </w:tcPr>
                <w:p w14:paraId="17B490D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产排污环节</w:t>
                  </w: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top"/>
                </w:tcPr>
                <w:p w14:paraId="1911E3E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类别</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top"/>
                </w:tcPr>
                <w:p w14:paraId="31522B1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污染物种类</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top"/>
                </w:tcPr>
                <w:p w14:paraId="79CCE67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污染物产生量</w:t>
                  </w:r>
                  <w:r>
                    <w:rPr>
                      <w:rFonts w:hint="default" w:ascii="Times New Roman" w:hAnsi="Times New Roman" w:eastAsia="宋体" w:cs="Times New Roman"/>
                      <w:i w:val="0"/>
                      <w:iCs w:val="0"/>
                      <w:color w:val="000000"/>
                      <w:kern w:val="0"/>
                      <w:sz w:val="21"/>
                      <w:szCs w:val="21"/>
                      <w:u w:val="none"/>
                      <w:lang w:val="en-US" w:eastAsia="zh-CN" w:bidi="ar"/>
                    </w:rPr>
                    <w:t>t/a</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top"/>
                </w:tcPr>
                <w:p w14:paraId="6AA6E20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污染物排放浓度</w:t>
                  </w:r>
                  <w:r>
                    <w:rPr>
                      <w:rFonts w:hint="default" w:ascii="Times New Roman" w:hAnsi="Times New Roman" w:eastAsia="宋体" w:cs="Times New Roman"/>
                      <w:i w:val="0"/>
                      <w:iCs w:val="0"/>
                      <w:color w:val="000000"/>
                      <w:kern w:val="0"/>
                      <w:sz w:val="21"/>
                      <w:szCs w:val="21"/>
                      <w:u w:val="none"/>
                      <w:lang w:val="en-US" w:eastAsia="zh-CN" w:bidi="ar"/>
                    </w:rPr>
                    <w:t>mg/L</w:t>
                  </w:r>
                </w:p>
              </w:tc>
            </w:tr>
            <w:tr w14:paraId="679DF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21" w:type="dxa"/>
                  <w:vMerge w:val="restart"/>
                  <w:tcBorders>
                    <w:top w:val="single" w:color="000000" w:sz="4" w:space="0"/>
                    <w:left w:val="single" w:color="000000" w:sz="4" w:space="0"/>
                    <w:right w:val="single" w:color="000000" w:sz="4" w:space="0"/>
                  </w:tcBorders>
                  <w:shd w:val="clear" w:color="auto" w:fill="auto"/>
                  <w:vAlign w:val="center"/>
                </w:tcPr>
                <w:p w14:paraId="693BAC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员工办公</w:t>
                  </w:r>
                </w:p>
              </w:tc>
              <w:tc>
                <w:tcPr>
                  <w:tcW w:w="2134" w:type="dxa"/>
                  <w:vMerge w:val="restart"/>
                  <w:tcBorders>
                    <w:top w:val="single" w:color="000000" w:sz="4" w:space="0"/>
                    <w:left w:val="single" w:color="000000" w:sz="4" w:space="0"/>
                    <w:right w:val="single" w:color="000000" w:sz="4" w:space="0"/>
                  </w:tcBorders>
                  <w:shd w:val="clear" w:color="auto" w:fill="auto"/>
                  <w:vAlign w:val="center"/>
                </w:tcPr>
                <w:p w14:paraId="4D9A57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生活污水</w:t>
                  </w:r>
                  <w:r>
                    <w:rPr>
                      <w:rFonts w:hint="eastAsia"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15486</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74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top"/>
                </w:tcPr>
                <w:p w14:paraId="13A0B95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4.4135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top"/>
                </w:tcPr>
                <w:p w14:paraId="45D5D28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w:t>
                  </w:r>
                </w:p>
              </w:tc>
            </w:tr>
            <w:tr w14:paraId="5BC92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521" w:type="dxa"/>
                  <w:vMerge w:val="continue"/>
                  <w:tcBorders>
                    <w:left w:val="single" w:color="000000" w:sz="4" w:space="0"/>
                    <w:right w:val="single" w:color="000000" w:sz="4" w:space="0"/>
                  </w:tcBorders>
                  <w:shd w:val="clear" w:color="auto" w:fill="auto"/>
                  <w:vAlign w:val="center"/>
                </w:tcPr>
                <w:p w14:paraId="7F0AC2F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2134" w:type="dxa"/>
                  <w:vMerge w:val="continue"/>
                  <w:tcBorders>
                    <w:left w:val="single" w:color="000000" w:sz="4" w:space="0"/>
                    <w:right w:val="single" w:color="000000" w:sz="4" w:space="0"/>
                  </w:tcBorders>
                  <w:shd w:val="clear" w:color="auto" w:fill="auto"/>
                  <w:vAlign w:val="center"/>
                </w:tcPr>
                <w:p w14:paraId="7FC9F0C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F7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top"/>
                </w:tcPr>
                <w:p w14:paraId="74AA9AB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0.4383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top"/>
                </w:tcPr>
                <w:p w14:paraId="79393C0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w:t>
                  </w:r>
                </w:p>
              </w:tc>
            </w:tr>
            <w:tr w14:paraId="21185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21" w:type="dxa"/>
                  <w:vMerge w:val="continue"/>
                  <w:tcBorders>
                    <w:left w:val="single" w:color="000000" w:sz="4" w:space="0"/>
                    <w:right w:val="single" w:color="000000" w:sz="4" w:space="0"/>
                  </w:tcBorders>
                  <w:shd w:val="clear" w:color="auto" w:fill="auto"/>
                  <w:vAlign w:val="center"/>
                </w:tcPr>
                <w:p w14:paraId="71AC5A4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2134" w:type="dxa"/>
                  <w:vMerge w:val="continue"/>
                  <w:tcBorders>
                    <w:left w:val="single" w:color="000000" w:sz="4" w:space="0"/>
                    <w:right w:val="single" w:color="000000" w:sz="4" w:space="0"/>
                  </w:tcBorders>
                  <w:shd w:val="clear" w:color="auto" w:fill="auto"/>
                  <w:vAlign w:val="center"/>
                </w:tcPr>
                <w:p w14:paraId="4FCD265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50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top"/>
                </w:tcPr>
                <w:p w14:paraId="71C2AE8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2.7875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top"/>
                </w:tcPr>
                <w:p w14:paraId="0CDE73A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180</w:t>
                  </w:r>
                </w:p>
              </w:tc>
            </w:tr>
            <w:tr w14:paraId="35715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21" w:type="dxa"/>
                  <w:vMerge w:val="continue"/>
                  <w:tcBorders>
                    <w:left w:val="single" w:color="000000" w:sz="4" w:space="0"/>
                    <w:right w:val="single" w:color="000000" w:sz="4" w:space="0"/>
                  </w:tcBorders>
                  <w:shd w:val="clear" w:color="auto" w:fill="auto"/>
                  <w:vAlign w:val="center"/>
                </w:tcPr>
                <w:p w14:paraId="7C0AED9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2134" w:type="dxa"/>
                  <w:vMerge w:val="continue"/>
                  <w:tcBorders>
                    <w:left w:val="single" w:color="000000" w:sz="4" w:space="0"/>
                    <w:right w:val="single" w:color="000000" w:sz="4" w:space="0"/>
                  </w:tcBorders>
                  <w:shd w:val="clear" w:color="auto" w:fill="auto"/>
                  <w:vAlign w:val="center"/>
                </w:tcPr>
                <w:p w14:paraId="73CA5AB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1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top"/>
                </w:tcPr>
                <w:p w14:paraId="630A9BA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1.7035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top"/>
                </w:tcPr>
                <w:p w14:paraId="3A1803E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110</w:t>
                  </w:r>
                </w:p>
              </w:tc>
            </w:tr>
            <w:tr w14:paraId="5CF49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21" w:type="dxa"/>
                  <w:vMerge w:val="continue"/>
                  <w:tcBorders>
                    <w:left w:val="single" w:color="000000" w:sz="4" w:space="0"/>
                    <w:right w:val="single" w:color="000000" w:sz="4" w:space="0"/>
                  </w:tcBorders>
                  <w:shd w:val="clear" w:color="auto" w:fill="auto"/>
                  <w:vAlign w:val="center"/>
                </w:tcPr>
                <w:p w14:paraId="513875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2134" w:type="dxa"/>
                  <w:vMerge w:val="continue"/>
                  <w:tcBorders>
                    <w:left w:val="single" w:color="000000" w:sz="4" w:space="0"/>
                    <w:right w:val="single" w:color="000000" w:sz="4" w:space="0"/>
                  </w:tcBorders>
                  <w:shd w:val="clear" w:color="auto" w:fill="auto"/>
                  <w:vAlign w:val="center"/>
                </w:tcPr>
                <w:p w14:paraId="25E7326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30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TN</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top"/>
                </w:tcPr>
                <w:p w14:paraId="46548A8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0.6101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top"/>
                </w:tcPr>
                <w:p w14:paraId="621FE95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39.4</w:t>
                  </w:r>
                </w:p>
              </w:tc>
            </w:tr>
            <w:tr w14:paraId="03993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21" w:type="dxa"/>
                  <w:vMerge w:val="continue"/>
                  <w:tcBorders>
                    <w:left w:val="single" w:color="000000" w:sz="4" w:space="0"/>
                    <w:right w:val="single" w:color="000000" w:sz="4" w:space="0"/>
                  </w:tcBorders>
                  <w:shd w:val="clear" w:color="auto" w:fill="auto"/>
                  <w:vAlign w:val="center"/>
                </w:tcPr>
                <w:p w14:paraId="2E3EDA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2134" w:type="dxa"/>
                  <w:vMerge w:val="continue"/>
                  <w:tcBorders>
                    <w:left w:val="single" w:color="000000" w:sz="4" w:space="0"/>
                    <w:right w:val="single" w:color="000000" w:sz="4" w:space="0"/>
                  </w:tcBorders>
                  <w:shd w:val="clear" w:color="auto" w:fill="auto"/>
                  <w:vAlign w:val="center"/>
                </w:tcPr>
                <w:p w14:paraId="387557B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13A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TP</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top"/>
                </w:tcPr>
                <w:p w14:paraId="4A803EB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0.0635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top"/>
                </w:tcPr>
                <w:p w14:paraId="52C9BDE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w:t>
                  </w:r>
                </w:p>
              </w:tc>
            </w:tr>
            <w:tr w14:paraId="4ACFF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21" w:type="dxa"/>
                  <w:vMerge w:val="continue"/>
                  <w:tcBorders>
                    <w:left w:val="single" w:color="000000" w:sz="4" w:space="0"/>
                    <w:bottom w:val="single" w:color="000000" w:sz="4" w:space="0"/>
                    <w:right w:val="single" w:color="000000" w:sz="4" w:space="0"/>
                  </w:tcBorders>
                  <w:shd w:val="clear" w:color="auto" w:fill="auto"/>
                  <w:vAlign w:val="center"/>
                </w:tcPr>
                <w:p w14:paraId="64FE357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2134" w:type="dxa"/>
                  <w:vMerge w:val="continue"/>
                  <w:tcBorders>
                    <w:left w:val="single" w:color="000000" w:sz="4" w:space="0"/>
                    <w:bottom w:val="single" w:color="000000" w:sz="4" w:space="0"/>
                    <w:right w:val="single" w:color="000000" w:sz="4" w:space="0"/>
                  </w:tcBorders>
                  <w:shd w:val="clear" w:color="auto" w:fill="auto"/>
                  <w:vAlign w:val="center"/>
                </w:tcPr>
                <w:p w14:paraId="03233B3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E64C">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动植物油</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top"/>
                </w:tcPr>
                <w:p w14:paraId="1E94BD4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0.4646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top"/>
                </w:tcPr>
                <w:p w14:paraId="453A54A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r>
          </w:tbl>
          <w:p w14:paraId="5C9ADBAE">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参考《我国农村化粪池污染物去除效果及影响因素分析》（环境工程学报，2021 年2月第15卷第2 期）、《化粪池在实际生活中的比选和应用》（环境与发展，陈杰、姜红）、《化粪池</w:t>
            </w:r>
            <w:r>
              <w:rPr>
                <w:rFonts w:hint="eastAsia" w:ascii="Times New Roman" w:hAnsi="Times New Roman" w:eastAsia="宋体" w:cs="Times New Roman"/>
                <w:sz w:val="24"/>
                <w:szCs w:val="24"/>
                <w:lang w:val="en-US" w:eastAsia="zh-CN"/>
              </w:rPr>
              <w:t>污水处理能力研究及其评价</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兰州大学</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王红燕等</w:t>
            </w:r>
            <w:r>
              <w:rPr>
                <w:rFonts w:hint="default" w:ascii="Times New Roman" w:hAnsi="Times New Roman" w:eastAsia="宋体" w:cs="Times New Roman"/>
                <w:sz w:val="24"/>
                <w:szCs w:val="24"/>
              </w:rPr>
              <w:t>）等文献，三级化粪池对CODcr去除效率为21%~65%、BOD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去除效率29%~72%、SS去除效率50%~60%、氨氮去除效率25%~30%（总氮去除效率参考氨氮取值）</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动植物油75.6%</w:t>
            </w:r>
            <w:r>
              <w:rPr>
                <w:rFonts w:hint="default" w:ascii="Times New Roman" w:hAnsi="Times New Roman" w:eastAsia="宋体" w:cs="Times New Roman"/>
                <w:sz w:val="24"/>
                <w:szCs w:val="24"/>
              </w:rPr>
              <w:t>；参考《第一次全国污染源普查城镇生活源产排污系数手册》中的三级化粪池产排污系数计算处理效率，三级化粪池对总磷去除效率为15%。因此，本项目三级化粪池对CODcr、BOD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、SS、氨氮、总氮、总磷</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动植物油</w:t>
            </w:r>
            <w:r>
              <w:rPr>
                <w:rFonts w:hint="default" w:ascii="Times New Roman" w:hAnsi="Times New Roman" w:eastAsia="宋体" w:cs="Times New Roman"/>
                <w:sz w:val="24"/>
                <w:szCs w:val="24"/>
              </w:rPr>
              <w:t>的去除效率分别取43%、50%、55%、27.5%、27.5%、15%</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75.6%</w:t>
            </w:r>
            <w:r>
              <w:rPr>
                <w:rFonts w:hint="default" w:ascii="Times New Roman" w:hAnsi="Times New Roman" w:eastAsia="宋体" w:cs="Times New Roman"/>
                <w:sz w:val="24"/>
                <w:szCs w:val="24"/>
              </w:rPr>
              <w:t>。本项目生活污水产排情况见下表。</w:t>
            </w:r>
          </w:p>
          <w:p w14:paraId="60F40D4C">
            <w:pPr>
              <w:keepNext w:val="0"/>
              <w:keepLines w:val="0"/>
              <w:suppressLineNumbers w:val="0"/>
              <w:spacing w:before="0" w:beforeAutospacing="0" w:after="0" w:afterAutospacing="0"/>
              <w:ind w:left="0" w:right="0"/>
              <w:jc w:val="center"/>
              <w:rPr>
                <w:rFonts w:hint="eastAsia"/>
                <w:b/>
                <w:bCs/>
              </w:rPr>
            </w:pPr>
            <w:r>
              <w:rPr>
                <w:rFonts w:hint="eastAsia"/>
                <w:b/>
                <w:bCs/>
              </w:rPr>
              <w:t>表4-</w:t>
            </w:r>
            <w:r>
              <w:rPr>
                <w:rFonts w:hint="eastAsia"/>
                <w:b/>
                <w:bCs/>
                <w:lang w:val="en-US" w:eastAsia="zh-CN"/>
              </w:rPr>
              <w:t>11</w:t>
            </w:r>
            <w:r>
              <w:rPr>
                <w:rFonts w:hint="eastAsia"/>
                <w:b/>
                <w:bCs/>
              </w:rPr>
              <w:t xml:space="preserve">     </w:t>
            </w:r>
            <w:r>
              <w:rPr>
                <w:rFonts w:hint="eastAsia"/>
                <w:b/>
                <w:bCs/>
                <w:lang w:eastAsia="zh-CN"/>
              </w:rPr>
              <w:t>生活污水</w:t>
            </w:r>
            <w:r>
              <w:rPr>
                <w:rFonts w:hint="eastAsia"/>
                <w:b/>
                <w:bCs/>
              </w:rPr>
              <w:t>污染防治措施</w:t>
            </w:r>
          </w:p>
          <w:tbl>
            <w:tblPr>
              <w:tblStyle w:val="33"/>
              <w:tblW w:w="82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3"/>
              <w:gridCol w:w="1193"/>
              <w:gridCol w:w="1018"/>
              <w:gridCol w:w="1046"/>
              <w:gridCol w:w="1080"/>
              <w:gridCol w:w="1046"/>
              <w:gridCol w:w="1018"/>
              <w:gridCol w:w="1019"/>
            </w:tblGrid>
            <w:tr w14:paraId="3B73A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20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083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产排污环节</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64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治理措施</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7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处理能力</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/d</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821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处理效率</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D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污染物排放量</w:t>
                  </w:r>
                  <w:r>
                    <w:rPr>
                      <w:rFonts w:hint="default" w:ascii="Times New Roman" w:hAnsi="Times New Roman" w:eastAsia="宋体" w:cs="Times New Roman"/>
                      <w:i w:val="0"/>
                      <w:iCs w:val="0"/>
                      <w:color w:val="000000"/>
                      <w:kern w:val="0"/>
                      <w:sz w:val="21"/>
                      <w:szCs w:val="21"/>
                      <w:u w:val="none"/>
                      <w:lang w:val="en-US" w:eastAsia="zh-CN" w:bidi="ar"/>
                    </w:rPr>
                    <w:t>t/a</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C6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排放浓度</w:t>
                  </w: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74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排放口编号</w:t>
                  </w:r>
                </w:p>
              </w:tc>
            </w:tr>
            <w:tr w14:paraId="1A4D3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3D18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员工生活</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03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0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8E34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三格化粪池</w:t>
                  </w: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1DE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07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0.43</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3B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2.5157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15C28A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162.45 </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5C1D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DW001</w:t>
                  </w:r>
                </w:p>
              </w:tc>
            </w:tr>
            <w:tr w14:paraId="266DE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A07B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CA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1EF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33CA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DA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0.275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0F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0.3177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F663BB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20.52 </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82EE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02500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EDA8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C5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471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D82F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00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8B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1.3937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03B5B1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90.00 </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D17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5AEF6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B1D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87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BF00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C101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A1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23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0.7666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11EE06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49.50 </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DFC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7C4D2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6C4D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A7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TN</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3F5C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951F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1B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D7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0.5186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E16609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33.49 </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36E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2AA84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C643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CC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TP</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701B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DF11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70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0.275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A5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0.0460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50388D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2.97 </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4CED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08CB7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E429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A1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4FA1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8D71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A1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0.756</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70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0.1134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A76E04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7.32 </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4804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bl>
          <w:p w14:paraId="6BAC1267">
            <w:pPr>
              <w:pStyle w:val="99"/>
              <w:keepNext w:val="0"/>
              <w:keepLines w:val="0"/>
              <w:suppressLineNumbers w:val="0"/>
              <w:spacing w:before="0" w:beforeAutospacing="0" w:after="0" w:afterAutospacing="0" w:line="360" w:lineRule="auto"/>
              <w:ind w:left="0" w:right="0" w:firstLine="480" w:firstLineChars="200"/>
              <w:jc w:val="both"/>
              <w:rPr>
                <w:rFonts w:hint="eastAsia"/>
                <w:kern w:val="0"/>
                <w:sz w:val="24"/>
                <w:szCs w:val="24"/>
                <w:lang w:bidi="ar"/>
              </w:rPr>
            </w:pPr>
            <w:r>
              <w:rPr>
                <w:rFonts w:hint="eastAsia"/>
                <w:kern w:val="0"/>
                <w:sz w:val="24"/>
                <w:szCs w:val="24"/>
                <w:lang w:bidi="ar"/>
              </w:rPr>
              <w:t>本项目生活污水经化粪池处理后达《污水综合排放标准》GB8978-1996三级标</w:t>
            </w:r>
            <w:r>
              <w:rPr>
                <w:rFonts w:hint="eastAsia" w:ascii="Times New Roman" w:hAnsi="Times New Roman" w:eastAsia="宋体" w:cs="Times New Roman"/>
                <w:kern w:val="0"/>
                <w:sz w:val="24"/>
                <w:szCs w:val="24"/>
                <w:lang w:bidi="ar"/>
              </w:rPr>
              <w:t>准</w:t>
            </w:r>
            <w:r>
              <w:rPr>
                <w:rFonts w:hint="eastAsia" w:ascii="Times New Roman" w:hAnsi="Times New Roman" w:eastAsia="宋体" w:cs="Times New Roman"/>
                <w:kern w:val="0"/>
                <w:sz w:val="24"/>
                <w:szCs w:val="24"/>
                <w:lang w:val="en-US" w:eastAsia="zh-CN" w:bidi="ar"/>
              </w:rPr>
              <w:t>和湘阴县第二污水处理厂进水水质标准后</w:t>
            </w:r>
            <w:r>
              <w:rPr>
                <w:rFonts w:hint="eastAsia" w:ascii="Times New Roman" w:hAnsi="Times New Roman" w:eastAsia="宋体" w:cs="Times New Roman"/>
                <w:kern w:val="0"/>
                <w:sz w:val="24"/>
                <w:szCs w:val="24"/>
                <w:lang w:bidi="ar"/>
              </w:rPr>
              <w:t>排入</w:t>
            </w:r>
            <w:r>
              <w:rPr>
                <w:rFonts w:hint="eastAsia" w:ascii="Times New Roman" w:hAnsi="Times New Roman" w:eastAsia="宋体" w:cs="Times New Roman"/>
                <w:kern w:val="0"/>
                <w:sz w:val="24"/>
                <w:szCs w:val="24"/>
                <w:lang w:val="en-US" w:eastAsia="zh-CN" w:bidi="ar"/>
              </w:rPr>
              <w:t>湘阴县第二污水处理厂</w:t>
            </w:r>
            <w:r>
              <w:rPr>
                <w:rFonts w:hint="eastAsia" w:ascii="Times New Roman" w:hAnsi="Times New Roman" w:eastAsia="宋体" w:cs="Times New Roman"/>
                <w:kern w:val="0"/>
                <w:sz w:val="24"/>
                <w:szCs w:val="24"/>
                <w:lang w:bidi="ar"/>
              </w:rPr>
              <w:t>进</w:t>
            </w:r>
            <w:r>
              <w:rPr>
                <w:rFonts w:hint="eastAsia"/>
                <w:kern w:val="0"/>
                <w:sz w:val="24"/>
                <w:szCs w:val="24"/>
                <w:lang w:bidi="ar"/>
              </w:rPr>
              <w:t>行深度处理。</w:t>
            </w:r>
          </w:p>
          <w:p w14:paraId="69D015E1">
            <w:pPr>
              <w:pStyle w:val="99"/>
              <w:keepNext w:val="0"/>
              <w:keepLines w:val="0"/>
              <w:suppressLineNumbers w:val="0"/>
              <w:spacing w:before="0" w:beforeAutospacing="0" w:after="0" w:afterAutospacing="0" w:line="360" w:lineRule="auto"/>
              <w:ind w:left="0" w:right="0" w:firstLine="482" w:firstLineChars="200"/>
              <w:jc w:val="both"/>
              <w:rPr>
                <w:rFonts w:hint="eastAsia" w:ascii="Times New Roman" w:hAnsi="Times New Roman" w:cs="Times New Roman"/>
                <w:b/>
                <w:bCs/>
                <w:kern w:val="0"/>
                <w:sz w:val="24"/>
                <w:szCs w:val="24"/>
                <w:lang w:val="en-US" w:eastAsia="zh-CN" w:bidi="ar"/>
              </w:rPr>
            </w:pPr>
            <w:r>
              <w:rPr>
                <w:rFonts w:hint="eastAsia" w:ascii="Times New Roman" w:hAnsi="Times New Roman" w:cs="Times New Roman"/>
                <w:b/>
                <w:bCs/>
                <w:kern w:val="0"/>
                <w:sz w:val="24"/>
                <w:szCs w:val="24"/>
                <w:lang w:val="en-US" w:eastAsia="zh-CN" w:bidi="ar"/>
              </w:rPr>
              <w:t>2.1.2生产废水</w:t>
            </w:r>
          </w:p>
          <w:p w14:paraId="7470A192">
            <w:pPr>
              <w:pStyle w:val="99"/>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kern w:val="0"/>
                <w:sz w:val="24"/>
                <w:szCs w:val="24"/>
                <w:u w:val="single"/>
                <w:lang w:val="en-US" w:eastAsia="zh-CN" w:bidi="ar"/>
              </w:rPr>
            </w:pPr>
            <w:r>
              <w:rPr>
                <w:rFonts w:hint="eastAsia" w:ascii="Times New Roman" w:hAnsi="Times New Roman" w:cs="Times New Roman"/>
                <w:kern w:val="0"/>
                <w:sz w:val="24"/>
                <w:szCs w:val="24"/>
                <w:u w:val="single"/>
                <w:lang w:val="en-US" w:eastAsia="zh-CN" w:bidi="ar"/>
              </w:rPr>
              <w:t>本项目清洗工序，使用2台清洗机，初次装水量为1m</w:t>
            </w:r>
            <w:r>
              <w:rPr>
                <w:rFonts w:hint="eastAsia" w:ascii="Times New Roman" w:hAnsi="Times New Roman" w:cs="Times New Roman"/>
                <w:kern w:val="0"/>
                <w:sz w:val="24"/>
                <w:szCs w:val="24"/>
                <w:u w:val="single"/>
                <w:vertAlign w:val="superscript"/>
                <w:lang w:val="en-US" w:eastAsia="zh-CN" w:bidi="ar"/>
              </w:rPr>
              <w:t>3</w:t>
            </w:r>
            <w:r>
              <w:rPr>
                <w:rFonts w:hint="eastAsia" w:ascii="Times New Roman" w:hAnsi="Times New Roman" w:cs="Times New Roman"/>
                <w:kern w:val="0"/>
                <w:sz w:val="24"/>
                <w:szCs w:val="24"/>
                <w:u w:val="single"/>
                <w:lang w:val="en-US" w:eastAsia="zh-CN" w:bidi="ar"/>
              </w:rPr>
              <w:t>，添加环保水性清洗剂，因水分蒸发和产品带走等问题，损耗约为</w:t>
            </w:r>
            <w:r>
              <w:rPr>
                <w:rFonts w:hint="eastAsia" w:cs="Times New Roman"/>
                <w:kern w:val="0"/>
                <w:sz w:val="24"/>
                <w:szCs w:val="24"/>
                <w:u w:val="single"/>
                <w:lang w:val="en-US" w:eastAsia="zh-CN" w:bidi="ar"/>
              </w:rPr>
              <w:t>10</w:t>
            </w:r>
            <w:r>
              <w:rPr>
                <w:rFonts w:hint="eastAsia" w:ascii="Times New Roman" w:hAnsi="Times New Roman" w:cs="Times New Roman"/>
                <w:kern w:val="0"/>
                <w:sz w:val="24"/>
                <w:szCs w:val="24"/>
                <w:u w:val="single"/>
                <w:lang w:val="en-US" w:eastAsia="zh-CN" w:bidi="ar"/>
              </w:rPr>
              <w:t>%，平常</w:t>
            </w:r>
            <w:r>
              <w:rPr>
                <w:rFonts w:hint="eastAsia" w:cs="Times New Roman"/>
                <w:kern w:val="0"/>
                <w:sz w:val="24"/>
                <w:szCs w:val="24"/>
                <w:u w:val="single"/>
                <w:lang w:val="en-US" w:eastAsia="zh-CN" w:bidi="ar"/>
              </w:rPr>
              <w:t>经隔油沉淀后循环使用，</w:t>
            </w:r>
            <w:r>
              <w:rPr>
                <w:rFonts w:hint="eastAsia" w:ascii="Times New Roman" w:hAnsi="Times New Roman" w:cs="Times New Roman"/>
                <w:kern w:val="0"/>
                <w:sz w:val="24"/>
                <w:szCs w:val="24"/>
                <w:u w:val="single"/>
                <w:lang w:val="en-US" w:eastAsia="zh-CN" w:bidi="ar"/>
              </w:rPr>
              <w:t>每天固定添加</w:t>
            </w:r>
            <w:r>
              <w:rPr>
                <w:rFonts w:hint="eastAsia" w:cs="Times New Roman"/>
                <w:kern w:val="0"/>
                <w:sz w:val="24"/>
                <w:szCs w:val="24"/>
                <w:u w:val="single"/>
                <w:lang w:val="en-US" w:eastAsia="zh-CN" w:bidi="ar"/>
              </w:rPr>
              <w:t>0.2</w:t>
            </w:r>
            <w:r>
              <w:rPr>
                <w:rFonts w:hint="eastAsia" w:ascii="Times New Roman" w:hAnsi="Times New Roman" w:cs="Times New Roman"/>
                <w:kern w:val="0"/>
                <w:sz w:val="24"/>
                <w:szCs w:val="24"/>
                <w:u w:val="single"/>
                <w:lang w:val="en-US" w:eastAsia="zh-CN" w:bidi="ar"/>
              </w:rPr>
              <w:t>t新鲜水</w:t>
            </w:r>
            <w:r>
              <w:rPr>
                <w:rFonts w:hint="eastAsia" w:cs="Times New Roman"/>
                <w:kern w:val="0"/>
                <w:sz w:val="24"/>
                <w:szCs w:val="24"/>
                <w:u w:val="single"/>
                <w:lang w:val="en-US" w:eastAsia="zh-CN" w:bidi="ar"/>
              </w:rPr>
              <w:t>，</w:t>
            </w:r>
            <w:r>
              <w:rPr>
                <w:rFonts w:hint="eastAsia" w:ascii="Times New Roman" w:hAnsi="Times New Roman" w:cs="Times New Roman"/>
                <w:kern w:val="0"/>
                <w:sz w:val="24"/>
                <w:szCs w:val="24"/>
                <w:u w:val="single"/>
                <w:lang w:val="en-US" w:eastAsia="zh-CN" w:bidi="ar"/>
              </w:rPr>
              <w:t>清洗废液每月底做危废全部处理一次，年处理废液24t/a。</w:t>
            </w:r>
            <w:r>
              <w:rPr>
                <w:rFonts w:hint="eastAsia" w:cs="Times New Roman"/>
                <w:kern w:val="0"/>
                <w:sz w:val="24"/>
                <w:szCs w:val="24"/>
                <w:u w:val="single"/>
                <w:lang w:val="en-US" w:eastAsia="zh-CN" w:bidi="ar"/>
              </w:rPr>
              <w:t>年补充新鲜水量为每天补充的新鲜水加每月更换一次的新鲜水，合计补充新鲜水84m</w:t>
            </w:r>
            <w:r>
              <w:rPr>
                <w:rFonts w:hint="eastAsia" w:cs="Times New Roman"/>
                <w:kern w:val="0"/>
                <w:sz w:val="24"/>
                <w:szCs w:val="24"/>
                <w:u w:val="single"/>
                <w:vertAlign w:val="superscript"/>
                <w:lang w:val="en-US" w:eastAsia="zh-CN" w:bidi="ar"/>
              </w:rPr>
              <w:t>3</w:t>
            </w:r>
            <w:r>
              <w:rPr>
                <w:rFonts w:hint="eastAsia" w:cs="Times New Roman"/>
                <w:kern w:val="0"/>
                <w:sz w:val="24"/>
                <w:szCs w:val="24"/>
                <w:u w:val="single"/>
                <w:vertAlign w:val="baseline"/>
                <w:lang w:val="en-US" w:eastAsia="zh-CN" w:bidi="ar"/>
              </w:rPr>
              <w:t>/a。</w:t>
            </w:r>
          </w:p>
          <w:p w14:paraId="71942333">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2.2</w:t>
            </w:r>
            <w:r>
              <w:rPr>
                <w:rFonts w:hint="default" w:ascii="Times New Roman" w:hAnsi="Times New Roman" w:eastAsia="宋体" w:cs="Times New Roman"/>
                <w:b/>
                <w:bCs/>
                <w:color w:val="auto"/>
                <w:sz w:val="24"/>
                <w:szCs w:val="24"/>
                <w:highlight w:val="none"/>
                <w:u w:val="none" w:color="auto"/>
                <w:lang w:val="en-US" w:eastAsia="zh-CN"/>
              </w:rPr>
              <w:t>废水污染防治措施可行性分析</w:t>
            </w:r>
          </w:p>
          <w:p w14:paraId="1E36D780">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生活污水：排入自建的化粪池，自建一座三格化粪池，处理能力为60m</w:t>
            </w:r>
            <w:r>
              <w:rPr>
                <w:rFonts w:hint="eastAsia" w:ascii="Times New Roman" w:hAnsi="Times New Roman" w:eastAsia="宋体" w:cs="Times New Roman"/>
                <w:color w:val="auto"/>
                <w:sz w:val="24"/>
                <w:szCs w:val="24"/>
                <w:highlight w:val="none"/>
                <w:u w:val="none" w:color="auto"/>
                <w:vertAlign w:val="superscript"/>
                <w:lang w:val="en-US" w:eastAsia="zh-CN"/>
              </w:rPr>
              <w:t>3</w:t>
            </w:r>
            <w:r>
              <w:rPr>
                <w:rFonts w:hint="eastAsia" w:ascii="Times New Roman" w:hAnsi="Times New Roman" w:eastAsia="宋体" w:cs="Times New Roman"/>
                <w:color w:val="auto"/>
                <w:sz w:val="24"/>
                <w:szCs w:val="24"/>
                <w:highlight w:val="none"/>
                <w:u w:val="none" w:color="auto"/>
                <w:lang w:val="en-US" w:eastAsia="zh-CN"/>
              </w:rPr>
              <w:t>/d，可处理本项目产生的生活污水51.62m</w:t>
            </w:r>
            <w:r>
              <w:rPr>
                <w:rFonts w:hint="eastAsia" w:ascii="Times New Roman" w:hAnsi="Times New Roman" w:eastAsia="宋体" w:cs="Times New Roman"/>
                <w:color w:val="auto"/>
                <w:sz w:val="24"/>
                <w:szCs w:val="24"/>
                <w:highlight w:val="none"/>
                <w:u w:val="none" w:color="auto"/>
                <w:vertAlign w:val="superscript"/>
                <w:lang w:val="en-US" w:eastAsia="zh-CN"/>
              </w:rPr>
              <w:t>3</w:t>
            </w:r>
            <w:r>
              <w:rPr>
                <w:rFonts w:hint="eastAsia" w:ascii="Times New Roman" w:hAnsi="Times New Roman" w:eastAsia="宋体" w:cs="Times New Roman"/>
                <w:color w:val="auto"/>
                <w:sz w:val="24"/>
                <w:szCs w:val="24"/>
                <w:highlight w:val="none"/>
                <w:u w:val="none" w:color="auto"/>
                <w:lang w:val="en-US" w:eastAsia="zh-CN"/>
              </w:rPr>
              <w:t>/d，经分析可达《污水综合排放标准》GB8978-1996三级标准和湘阴县第二污水处理厂进水水质标准后排入园区市政污水管网，然后进入湘阴县第二污水处理厂深度处理，措施可行。</w:t>
            </w:r>
          </w:p>
          <w:p w14:paraId="359C2554">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生产废水：</w:t>
            </w:r>
            <w:r>
              <w:rPr>
                <w:rFonts w:hint="eastAsia" w:cs="Times New Roman"/>
                <w:color w:val="auto"/>
                <w:sz w:val="24"/>
                <w:szCs w:val="24"/>
                <w:highlight w:val="none"/>
                <w:u w:val="single" w:color="auto"/>
                <w:lang w:val="en-US" w:eastAsia="zh-CN"/>
              </w:rPr>
              <w:t>项目清洗废水对水质要求不高，主要清洗掉加工时残留在工件上的切削液等石油类物质，每天定期添加新鲜水以及清洗剂，</w:t>
            </w:r>
            <w:r>
              <w:rPr>
                <w:rFonts w:hint="eastAsia" w:ascii="Times New Roman" w:hAnsi="Times New Roman" w:eastAsia="宋体" w:cs="Times New Roman"/>
                <w:color w:val="auto"/>
                <w:sz w:val="24"/>
                <w:szCs w:val="24"/>
                <w:highlight w:val="none"/>
                <w:u w:val="single" w:color="auto"/>
                <w:lang w:val="en-US" w:eastAsia="zh-CN"/>
              </w:rPr>
              <w:t>平常经</w:t>
            </w:r>
            <w:r>
              <w:rPr>
                <w:rFonts w:hint="eastAsia" w:cs="Times New Roman"/>
                <w:color w:val="auto"/>
                <w:sz w:val="24"/>
                <w:szCs w:val="24"/>
                <w:highlight w:val="none"/>
                <w:u w:val="single" w:color="auto"/>
                <w:lang w:val="en-US" w:eastAsia="zh-CN"/>
              </w:rPr>
              <w:t>隔油</w:t>
            </w:r>
            <w:r>
              <w:rPr>
                <w:rFonts w:hint="eastAsia" w:ascii="Times New Roman" w:hAnsi="Times New Roman" w:eastAsia="宋体" w:cs="Times New Roman"/>
                <w:color w:val="auto"/>
                <w:sz w:val="24"/>
                <w:szCs w:val="24"/>
                <w:highlight w:val="none"/>
                <w:u w:val="single" w:color="auto"/>
                <w:lang w:val="en-US" w:eastAsia="zh-CN"/>
              </w:rPr>
              <w:t>沉淀后循环使用，</w:t>
            </w:r>
            <w:r>
              <w:rPr>
                <w:rFonts w:hint="eastAsia" w:cs="Times New Roman"/>
                <w:color w:val="auto"/>
                <w:sz w:val="24"/>
                <w:szCs w:val="24"/>
                <w:highlight w:val="none"/>
                <w:u w:val="single" w:color="auto"/>
                <w:lang w:val="en-US" w:eastAsia="zh-CN"/>
              </w:rPr>
              <w:t>根据建设单位经验，</w:t>
            </w:r>
            <w:r>
              <w:rPr>
                <w:rFonts w:hint="eastAsia" w:ascii="Times New Roman" w:hAnsi="Times New Roman" w:cs="Times New Roman"/>
                <w:color w:val="auto"/>
                <w:sz w:val="24"/>
                <w:szCs w:val="24"/>
                <w:highlight w:val="none"/>
                <w:u w:val="single" w:color="auto"/>
                <w:lang w:val="en-US" w:eastAsia="zh-CN"/>
              </w:rPr>
              <w:t>经一定循环次数后，废液</w:t>
            </w:r>
            <w:r>
              <w:rPr>
                <w:rFonts w:hint="eastAsia" w:cs="Times New Roman"/>
                <w:color w:val="auto"/>
                <w:sz w:val="24"/>
                <w:szCs w:val="24"/>
                <w:highlight w:val="none"/>
                <w:u w:val="single" w:color="auto"/>
                <w:lang w:val="en-US" w:eastAsia="zh-CN"/>
              </w:rPr>
              <w:t>中</w:t>
            </w:r>
            <w:r>
              <w:rPr>
                <w:rFonts w:hint="eastAsia" w:ascii="Times New Roman" w:hAnsi="Times New Roman" w:cs="Times New Roman"/>
                <w:color w:val="auto"/>
                <w:sz w:val="24"/>
                <w:szCs w:val="24"/>
                <w:highlight w:val="none"/>
                <w:u w:val="single" w:color="auto"/>
                <w:lang w:val="en-US" w:eastAsia="zh-CN"/>
              </w:rPr>
              <w:t>石油类含量明显升高</w:t>
            </w:r>
            <w:r>
              <w:rPr>
                <w:rFonts w:hint="eastAsia" w:cs="Times New Roman"/>
                <w:color w:val="auto"/>
                <w:sz w:val="24"/>
                <w:szCs w:val="24"/>
                <w:highlight w:val="none"/>
                <w:u w:val="single" w:color="auto"/>
                <w:lang w:val="en-US" w:eastAsia="zh-CN"/>
              </w:rPr>
              <w:t>，高</w:t>
            </w:r>
            <w:r>
              <w:rPr>
                <w:rFonts w:hint="default" w:ascii="Times New Roman" w:hAnsi="Times New Roman" w:eastAsia="宋体" w:cs="Times New Roman"/>
                <w:color w:val="auto"/>
                <w:sz w:val="24"/>
                <w:szCs w:val="24"/>
                <w:highlight w:val="none"/>
                <w:u w:val="single" w:color="auto"/>
                <w:lang w:val="en-US" w:eastAsia="zh-CN"/>
              </w:rPr>
              <w:t>达</w:t>
            </w:r>
            <w:r>
              <w:rPr>
                <w:rFonts w:hint="default" w:ascii="Times New Roman" w:hAnsi="Times New Roman" w:eastAsia="宋体" w:cs="Times New Roman"/>
                <w:sz w:val="24"/>
                <w:szCs w:val="24"/>
                <w:u w:val="single" w:color="auto"/>
              </w:rPr>
              <w:t>200～1000mg/L</w:t>
            </w:r>
            <w:r>
              <w:rPr>
                <w:rFonts w:hint="default" w:ascii="Times New Roman" w:hAnsi="Times New Roman" w:eastAsia="宋体" w:cs="Times New Roman"/>
                <w:color w:val="auto"/>
                <w:sz w:val="24"/>
                <w:szCs w:val="24"/>
                <w:highlight w:val="none"/>
                <w:u w:val="single" w:color="auto"/>
                <w:lang w:val="en-US" w:eastAsia="zh-CN"/>
              </w:rPr>
              <w:t>，</w:t>
            </w:r>
            <w:r>
              <w:rPr>
                <w:rFonts w:hint="eastAsia" w:cs="Times New Roman"/>
                <w:color w:val="auto"/>
                <w:sz w:val="24"/>
                <w:szCs w:val="24"/>
                <w:highlight w:val="none"/>
                <w:u w:val="single" w:color="auto"/>
                <w:lang w:val="en-US" w:eastAsia="zh-CN"/>
              </w:rPr>
              <w:t>并呈现粘稠状</w:t>
            </w:r>
            <w:r>
              <w:rPr>
                <w:rFonts w:hint="eastAsia" w:ascii="Times New Roman" w:hAnsi="Times New Roman" w:cs="Times New Roman"/>
                <w:color w:val="auto"/>
                <w:sz w:val="24"/>
                <w:szCs w:val="24"/>
                <w:highlight w:val="none"/>
                <w:u w:val="single" w:color="auto"/>
                <w:lang w:val="en-US" w:eastAsia="zh-CN"/>
              </w:rPr>
              <w:t>，</w:t>
            </w:r>
            <w:r>
              <w:rPr>
                <w:rFonts w:hint="eastAsia" w:cs="Times New Roman"/>
                <w:color w:val="auto"/>
                <w:sz w:val="24"/>
                <w:szCs w:val="24"/>
                <w:highlight w:val="none"/>
                <w:u w:val="single" w:color="auto"/>
                <w:lang w:val="en-US" w:eastAsia="zh-CN"/>
              </w:rPr>
              <w:t>因此</w:t>
            </w:r>
            <w:r>
              <w:rPr>
                <w:rFonts w:hint="eastAsia" w:ascii="Times New Roman" w:hAnsi="Times New Roman" w:eastAsia="宋体" w:cs="Times New Roman"/>
                <w:color w:val="auto"/>
                <w:sz w:val="24"/>
                <w:szCs w:val="24"/>
                <w:highlight w:val="none"/>
                <w:u w:val="single" w:color="auto"/>
                <w:lang w:val="en-US" w:eastAsia="zh-CN"/>
              </w:rPr>
              <w:t>每月底</w:t>
            </w:r>
            <w:r>
              <w:rPr>
                <w:rFonts w:hint="eastAsia" w:cs="Times New Roman"/>
                <w:color w:val="auto"/>
                <w:sz w:val="24"/>
                <w:szCs w:val="24"/>
                <w:highlight w:val="none"/>
                <w:u w:val="single" w:color="auto"/>
                <w:lang w:val="en-US" w:eastAsia="zh-CN"/>
              </w:rPr>
              <w:t>清洗</w:t>
            </w:r>
            <w:r>
              <w:rPr>
                <w:rFonts w:hint="eastAsia" w:ascii="Times New Roman" w:hAnsi="Times New Roman" w:eastAsia="宋体" w:cs="Times New Roman"/>
                <w:color w:val="auto"/>
                <w:sz w:val="24"/>
                <w:szCs w:val="24"/>
                <w:highlight w:val="none"/>
                <w:u w:val="single" w:color="auto"/>
                <w:lang w:val="en-US" w:eastAsia="zh-CN"/>
              </w:rPr>
              <w:t>废液做危废处理，不外排，措施可行。</w:t>
            </w:r>
          </w:p>
          <w:p w14:paraId="1F17E136">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2.3污水接入湘阴县第二污水处理厂的可行性分析</w:t>
            </w:r>
          </w:p>
          <w:p w14:paraId="644D5140">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 xml:space="preserve">湘阴县第二污水处理厂位于湘阴县洋沙湖大道南侧，北纬 </w:t>
            </w:r>
            <w:r>
              <w:rPr>
                <w:rFonts w:hint="default" w:ascii="Times New Roman" w:hAnsi="Times New Roman" w:eastAsia="宋体" w:cs="Times New Roman"/>
                <w:color w:val="auto"/>
                <w:sz w:val="24"/>
                <w:szCs w:val="24"/>
                <w:highlight w:val="none"/>
                <w:u w:val="none" w:color="auto"/>
                <w:lang w:val="en-US" w:eastAsia="zh-CN"/>
              </w:rPr>
              <w:t>28°39′51″</w:t>
            </w:r>
            <w:r>
              <w:rPr>
                <w:rFonts w:hint="eastAsia" w:ascii="Times New Roman" w:hAnsi="Times New Roman" w:eastAsia="宋体" w:cs="Times New Roman"/>
                <w:color w:val="auto"/>
                <w:sz w:val="24"/>
                <w:szCs w:val="24"/>
                <w:highlight w:val="none"/>
                <w:u w:val="none" w:color="auto"/>
                <w:lang w:val="en-US" w:eastAsia="zh-CN"/>
              </w:rPr>
              <w:t xml:space="preserve">，东经 </w:t>
            </w:r>
            <w:r>
              <w:rPr>
                <w:rFonts w:hint="default" w:ascii="Times New Roman" w:hAnsi="Times New Roman" w:eastAsia="宋体" w:cs="Times New Roman"/>
                <w:color w:val="auto"/>
                <w:sz w:val="24"/>
                <w:szCs w:val="24"/>
                <w:highlight w:val="none"/>
                <w:u w:val="none" w:color="auto"/>
                <w:lang w:val="en-US" w:eastAsia="zh-CN"/>
              </w:rPr>
              <w:t>112°51′51″</w:t>
            </w:r>
            <w:r>
              <w:rPr>
                <w:rFonts w:hint="eastAsia" w:ascii="Times New Roman" w:hAnsi="Times New Roman" w:eastAsia="宋体" w:cs="Times New Roman"/>
                <w:color w:val="auto"/>
                <w:sz w:val="24"/>
                <w:szCs w:val="24"/>
                <w:highlight w:val="none"/>
                <w:u w:val="none" w:color="auto"/>
                <w:lang w:val="en-US" w:eastAsia="zh-CN"/>
              </w:rPr>
              <w:t>，服务范围为湘阴县工业园、东湖生态新城、洋沙湖东部片区等，即南至顺天大道以南的轻工产业园，北至新白水江</w:t>
            </w:r>
            <w:r>
              <w:rPr>
                <w:rFonts w:hint="default"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烈士公园；西以湘江为界，东至规划的环城大道，总纳污面积</w:t>
            </w:r>
            <w:r>
              <w:rPr>
                <w:rFonts w:hint="default" w:ascii="Times New Roman" w:hAnsi="Times New Roman" w:eastAsia="宋体" w:cs="Times New Roman"/>
                <w:color w:val="auto"/>
                <w:sz w:val="24"/>
                <w:szCs w:val="24"/>
                <w:highlight w:val="none"/>
                <w:u w:val="none" w:color="auto"/>
                <w:lang w:val="en-US" w:eastAsia="zh-CN"/>
              </w:rPr>
              <w:t>28.10</w:t>
            </w:r>
            <w:r>
              <w:rPr>
                <w:rFonts w:hint="eastAsia" w:ascii="Times New Roman" w:hAnsi="Times New Roman" w:eastAsia="宋体" w:cs="Times New Roman"/>
                <w:color w:val="auto"/>
                <w:sz w:val="24"/>
                <w:szCs w:val="24"/>
                <w:highlight w:val="none"/>
                <w:u w:val="none" w:color="auto"/>
                <w:lang w:val="en-US" w:eastAsia="zh-CN"/>
              </w:rPr>
              <w:t>平方公里，主要处理湘阴工业园的工业废水和生活污水。</w:t>
            </w:r>
            <w:r>
              <w:rPr>
                <w:rFonts w:hint="default" w:ascii="Times New Roman" w:hAnsi="Times New Roman" w:eastAsia="宋体" w:cs="Times New Roman"/>
                <w:color w:val="auto"/>
                <w:sz w:val="24"/>
                <w:szCs w:val="24"/>
                <w:highlight w:val="none"/>
                <w:u w:val="none" w:color="auto"/>
                <w:lang w:val="en-US" w:eastAsia="zh-CN"/>
              </w:rPr>
              <w:t>2012</w:t>
            </w:r>
            <w:r>
              <w:rPr>
                <w:rFonts w:hint="eastAsia" w:ascii="Times New Roman" w:hAnsi="Times New Roman" w:eastAsia="宋体" w:cs="Times New Roman"/>
                <w:color w:val="auto"/>
                <w:sz w:val="24"/>
                <w:szCs w:val="24"/>
                <w:highlight w:val="none"/>
                <w:u w:val="none" w:color="auto"/>
                <w:lang w:val="en-US" w:eastAsia="zh-CN"/>
              </w:rPr>
              <w:t>年</w:t>
            </w:r>
            <w:r>
              <w:rPr>
                <w:rFonts w:hint="default" w:ascii="Times New Roman" w:hAnsi="Times New Roman" w:eastAsia="宋体" w:cs="Times New Roman"/>
                <w:color w:val="auto"/>
                <w:sz w:val="24"/>
                <w:szCs w:val="24"/>
                <w:highlight w:val="none"/>
                <w:u w:val="none" w:color="auto"/>
                <w:lang w:val="en-US" w:eastAsia="zh-CN"/>
              </w:rPr>
              <w:t>8</w:t>
            </w:r>
            <w:r>
              <w:rPr>
                <w:rFonts w:hint="eastAsia" w:ascii="Times New Roman" w:hAnsi="Times New Roman" w:eastAsia="宋体" w:cs="Times New Roman"/>
                <w:color w:val="auto"/>
                <w:sz w:val="24"/>
                <w:szCs w:val="24"/>
                <w:highlight w:val="none"/>
                <w:u w:val="none" w:color="auto"/>
                <w:lang w:val="en-US" w:eastAsia="zh-CN"/>
              </w:rPr>
              <w:t>月获得岳阳市环境保护局对一期工程的环境批复（岳环评批</w:t>
            </w:r>
            <w:r>
              <w:rPr>
                <w:rFonts w:hint="default" w:ascii="Times New Roman" w:hAnsi="Times New Roman" w:eastAsia="宋体" w:cs="Times New Roman"/>
                <w:color w:val="auto"/>
                <w:sz w:val="24"/>
                <w:szCs w:val="24"/>
                <w:highlight w:val="none"/>
                <w:u w:val="none" w:color="auto"/>
                <w:lang w:val="en-US" w:eastAsia="zh-CN"/>
              </w:rPr>
              <w:t>[2012]68</w:t>
            </w:r>
            <w:r>
              <w:rPr>
                <w:rFonts w:hint="eastAsia" w:ascii="Times New Roman" w:hAnsi="Times New Roman" w:eastAsia="宋体" w:cs="Times New Roman"/>
                <w:color w:val="auto"/>
                <w:sz w:val="24"/>
                <w:szCs w:val="24"/>
                <w:highlight w:val="none"/>
                <w:u w:val="none" w:color="auto"/>
                <w:lang w:val="en-US" w:eastAsia="zh-CN"/>
              </w:rPr>
              <w:t>号）。</w:t>
            </w:r>
            <w:r>
              <w:rPr>
                <w:rFonts w:hint="default" w:ascii="Times New Roman" w:hAnsi="Times New Roman" w:eastAsia="宋体" w:cs="Times New Roman"/>
                <w:color w:val="auto"/>
                <w:sz w:val="24"/>
                <w:szCs w:val="24"/>
                <w:highlight w:val="none"/>
                <w:u w:val="none" w:color="auto"/>
                <w:lang w:val="en-US" w:eastAsia="zh-CN"/>
              </w:rPr>
              <w:t>2012</w:t>
            </w:r>
            <w:r>
              <w:rPr>
                <w:rFonts w:hint="eastAsia" w:ascii="Times New Roman" w:hAnsi="Times New Roman" w:eastAsia="宋体" w:cs="Times New Roman"/>
                <w:color w:val="auto"/>
                <w:sz w:val="24"/>
                <w:szCs w:val="24"/>
                <w:highlight w:val="none"/>
                <w:u w:val="none" w:color="auto"/>
                <w:lang w:val="en-US" w:eastAsia="zh-CN"/>
              </w:rPr>
              <w:t>年开始建设，</w:t>
            </w:r>
            <w:r>
              <w:rPr>
                <w:rFonts w:hint="default" w:ascii="Times New Roman" w:hAnsi="Times New Roman" w:eastAsia="宋体" w:cs="Times New Roman"/>
                <w:color w:val="auto"/>
                <w:sz w:val="24"/>
                <w:szCs w:val="24"/>
                <w:highlight w:val="none"/>
                <w:u w:val="none" w:color="auto"/>
                <w:lang w:val="en-US" w:eastAsia="zh-CN"/>
              </w:rPr>
              <w:t>2016</w:t>
            </w:r>
            <w:r>
              <w:rPr>
                <w:rFonts w:hint="eastAsia" w:ascii="Times New Roman" w:hAnsi="Times New Roman" w:eastAsia="宋体" w:cs="Times New Roman"/>
                <w:color w:val="auto"/>
                <w:sz w:val="24"/>
                <w:szCs w:val="24"/>
                <w:highlight w:val="none"/>
                <w:u w:val="none" w:color="auto"/>
                <w:lang w:val="en-US" w:eastAsia="zh-CN"/>
              </w:rPr>
              <w:t>年</w:t>
            </w:r>
            <w:r>
              <w:rPr>
                <w:rFonts w:hint="default" w:ascii="Times New Roman" w:hAnsi="Times New Roman" w:eastAsia="宋体" w:cs="Times New Roman"/>
                <w:color w:val="auto"/>
                <w:sz w:val="24"/>
                <w:szCs w:val="24"/>
                <w:highlight w:val="none"/>
                <w:u w:val="none" w:color="auto"/>
                <w:lang w:val="en-US" w:eastAsia="zh-CN"/>
              </w:rPr>
              <w:t>11</w:t>
            </w:r>
            <w:r>
              <w:rPr>
                <w:rFonts w:hint="eastAsia" w:ascii="Times New Roman" w:hAnsi="Times New Roman" w:eastAsia="宋体" w:cs="Times New Roman"/>
                <w:color w:val="auto"/>
                <w:sz w:val="24"/>
                <w:szCs w:val="24"/>
                <w:highlight w:val="none"/>
                <w:u w:val="none" w:color="auto"/>
                <w:lang w:val="en-US" w:eastAsia="zh-CN"/>
              </w:rPr>
              <w:t>月投入运行，处理能力为</w:t>
            </w:r>
            <w:r>
              <w:rPr>
                <w:rFonts w:hint="default" w:ascii="Times New Roman" w:hAnsi="Times New Roman" w:eastAsia="宋体" w:cs="Times New Roman"/>
                <w:color w:val="auto"/>
                <w:sz w:val="24"/>
                <w:szCs w:val="24"/>
                <w:highlight w:val="none"/>
                <w:u w:val="none" w:color="auto"/>
                <w:lang w:val="en-US" w:eastAsia="zh-CN"/>
              </w:rPr>
              <w:t>2.0</w:t>
            </w:r>
            <w:r>
              <w:rPr>
                <w:rFonts w:hint="eastAsia" w:ascii="Times New Roman" w:hAnsi="Times New Roman" w:eastAsia="宋体" w:cs="Times New Roman"/>
                <w:color w:val="auto"/>
                <w:sz w:val="24"/>
                <w:szCs w:val="24"/>
                <w:highlight w:val="none"/>
                <w:u w:val="none" w:color="auto"/>
                <w:lang w:val="en-US" w:eastAsia="zh-CN"/>
              </w:rPr>
              <w:t>万</w:t>
            </w:r>
            <w:r>
              <w:rPr>
                <w:rFonts w:hint="default" w:ascii="Times New Roman" w:hAnsi="Times New Roman" w:eastAsia="宋体" w:cs="Times New Roman"/>
                <w:color w:val="auto"/>
                <w:sz w:val="24"/>
                <w:szCs w:val="24"/>
                <w:highlight w:val="none"/>
                <w:u w:val="none" w:color="auto"/>
                <w:lang w:val="en-US" w:eastAsia="zh-CN"/>
              </w:rPr>
              <w:t>t/d</w:t>
            </w:r>
            <w:r>
              <w:rPr>
                <w:rFonts w:hint="eastAsia" w:ascii="Times New Roman" w:hAnsi="Times New Roman" w:eastAsia="宋体" w:cs="Times New Roman"/>
                <w:color w:val="auto"/>
                <w:sz w:val="24"/>
                <w:szCs w:val="24"/>
                <w:highlight w:val="none"/>
                <w:u w:val="none" w:color="auto"/>
                <w:lang w:val="en-US" w:eastAsia="zh-CN"/>
              </w:rPr>
              <w:t>，采用</w:t>
            </w:r>
            <w:r>
              <w:rPr>
                <w:rFonts w:hint="default" w:ascii="Times New Roman" w:hAnsi="Times New Roman" w:eastAsia="宋体" w:cs="Times New Roman"/>
                <w:color w:val="auto"/>
                <w:sz w:val="24"/>
                <w:szCs w:val="24"/>
                <w:highlight w:val="none"/>
                <w:u w:val="none" w:color="auto"/>
                <w:lang w:val="en-US" w:eastAsia="zh-CN"/>
              </w:rPr>
              <w:t>A/A/O</w:t>
            </w:r>
            <w:r>
              <w:rPr>
                <w:rFonts w:hint="eastAsia" w:ascii="Times New Roman" w:hAnsi="Times New Roman" w:eastAsia="宋体" w:cs="Times New Roman"/>
                <w:color w:val="auto"/>
                <w:sz w:val="24"/>
                <w:szCs w:val="24"/>
                <w:highlight w:val="none"/>
                <w:u w:val="none" w:color="auto"/>
                <w:lang w:val="en-US" w:eastAsia="zh-CN"/>
              </w:rPr>
              <w:t>工艺，</w:t>
            </w:r>
            <w:r>
              <w:rPr>
                <w:rFonts w:hint="default" w:ascii="Times New Roman" w:hAnsi="Times New Roman" w:eastAsia="宋体" w:cs="Times New Roman"/>
                <w:color w:val="auto"/>
                <w:sz w:val="24"/>
                <w:szCs w:val="24"/>
                <w:highlight w:val="none"/>
                <w:u w:val="none" w:color="auto"/>
                <w:lang w:val="en-US" w:eastAsia="zh-CN"/>
              </w:rPr>
              <w:t>2018</w:t>
            </w:r>
            <w:r>
              <w:rPr>
                <w:rFonts w:hint="eastAsia" w:ascii="Times New Roman" w:hAnsi="Times New Roman" w:eastAsia="宋体" w:cs="Times New Roman"/>
                <w:color w:val="auto"/>
                <w:sz w:val="24"/>
                <w:szCs w:val="24"/>
                <w:highlight w:val="none"/>
                <w:u w:val="none" w:color="auto"/>
                <w:lang w:val="en-US" w:eastAsia="zh-CN"/>
              </w:rPr>
              <w:t>年</w:t>
            </w:r>
            <w:r>
              <w:rPr>
                <w:rFonts w:hint="default" w:ascii="Times New Roman" w:hAnsi="Times New Roman" w:eastAsia="宋体" w:cs="Times New Roman"/>
                <w:color w:val="auto"/>
                <w:sz w:val="24"/>
                <w:szCs w:val="24"/>
                <w:highlight w:val="none"/>
                <w:u w:val="none" w:color="auto"/>
                <w:lang w:val="en-US" w:eastAsia="zh-CN"/>
              </w:rPr>
              <w:t>2</w:t>
            </w:r>
            <w:r>
              <w:rPr>
                <w:rFonts w:hint="eastAsia" w:ascii="Times New Roman" w:hAnsi="Times New Roman" w:eastAsia="宋体" w:cs="Times New Roman"/>
                <w:color w:val="auto"/>
                <w:sz w:val="24"/>
                <w:szCs w:val="24"/>
                <w:highlight w:val="none"/>
                <w:u w:val="none" w:color="auto"/>
                <w:lang w:val="en-US" w:eastAsia="zh-CN"/>
              </w:rPr>
              <w:t>月湘阴首创水务有限责任公司根据相关会议要求，增加事故应急池、高效沉淀、深床滤池等处理工艺，启动提标改造，</w:t>
            </w:r>
            <w:r>
              <w:rPr>
                <w:rFonts w:hint="default" w:ascii="Times New Roman" w:hAnsi="Times New Roman" w:eastAsia="宋体" w:cs="Times New Roman"/>
                <w:color w:val="auto"/>
                <w:sz w:val="24"/>
                <w:szCs w:val="24"/>
                <w:highlight w:val="none"/>
                <w:u w:val="none" w:color="auto"/>
                <w:lang w:val="en-US" w:eastAsia="zh-CN"/>
              </w:rPr>
              <w:t>2018</w:t>
            </w:r>
            <w:r>
              <w:rPr>
                <w:rFonts w:hint="eastAsia" w:ascii="Times New Roman" w:hAnsi="Times New Roman" w:eastAsia="宋体" w:cs="Times New Roman"/>
                <w:color w:val="auto"/>
                <w:sz w:val="24"/>
                <w:szCs w:val="24"/>
                <w:highlight w:val="none"/>
                <w:u w:val="none" w:color="auto"/>
                <w:lang w:val="en-US" w:eastAsia="zh-CN"/>
              </w:rPr>
              <w:t>年</w:t>
            </w:r>
            <w:r>
              <w:rPr>
                <w:rFonts w:hint="default" w:ascii="Times New Roman" w:hAnsi="Times New Roman" w:eastAsia="宋体" w:cs="Times New Roman"/>
                <w:color w:val="auto"/>
                <w:sz w:val="24"/>
                <w:szCs w:val="24"/>
                <w:highlight w:val="none"/>
                <w:u w:val="none" w:color="auto"/>
                <w:lang w:val="en-US" w:eastAsia="zh-CN"/>
              </w:rPr>
              <w:t>4</w:t>
            </w:r>
            <w:r>
              <w:rPr>
                <w:rFonts w:hint="eastAsia" w:ascii="Times New Roman" w:hAnsi="Times New Roman" w:eastAsia="宋体" w:cs="Times New Roman"/>
                <w:color w:val="auto"/>
                <w:sz w:val="24"/>
                <w:szCs w:val="24"/>
                <w:highlight w:val="none"/>
                <w:u w:val="none" w:color="auto"/>
                <w:lang w:val="en-US" w:eastAsia="zh-CN"/>
              </w:rPr>
              <w:t>月提标改造工程获得岳阳市环境保护局的批复（岳环评</w:t>
            </w:r>
            <w:r>
              <w:rPr>
                <w:rFonts w:hint="default" w:ascii="Times New Roman" w:hAnsi="Times New Roman" w:eastAsia="宋体" w:cs="Times New Roman"/>
                <w:color w:val="auto"/>
                <w:sz w:val="24"/>
                <w:szCs w:val="24"/>
                <w:highlight w:val="none"/>
                <w:u w:val="none" w:color="auto"/>
                <w:lang w:val="en-US" w:eastAsia="zh-CN"/>
              </w:rPr>
              <w:t xml:space="preserve">[2018]32 </w:t>
            </w:r>
            <w:r>
              <w:rPr>
                <w:rFonts w:hint="eastAsia" w:ascii="Times New Roman" w:hAnsi="Times New Roman" w:eastAsia="宋体" w:cs="Times New Roman"/>
                <w:color w:val="auto"/>
                <w:sz w:val="24"/>
                <w:szCs w:val="24"/>
                <w:highlight w:val="none"/>
                <w:u w:val="none" w:color="auto"/>
                <w:lang w:val="en-US" w:eastAsia="zh-CN"/>
              </w:rPr>
              <w:t>号），</w:t>
            </w:r>
            <w:r>
              <w:rPr>
                <w:rFonts w:hint="default" w:ascii="Times New Roman" w:hAnsi="Times New Roman" w:eastAsia="宋体" w:cs="Times New Roman"/>
                <w:color w:val="auto"/>
                <w:sz w:val="24"/>
                <w:szCs w:val="24"/>
                <w:highlight w:val="none"/>
                <w:u w:val="none" w:color="auto"/>
                <w:lang w:val="en-US" w:eastAsia="zh-CN"/>
              </w:rPr>
              <w:t xml:space="preserve">2019 </w:t>
            </w:r>
            <w:r>
              <w:rPr>
                <w:rFonts w:hint="eastAsia" w:ascii="Times New Roman" w:hAnsi="Times New Roman" w:eastAsia="宋体" w:cs="Times New Roman"/>
                <w:color w:val="auto"/>
                <w:sz w:val="24"/>
                <w:szCs w:val="24"/>
                <w:highlight w:val="none"/>
                <w:u w:val="none" w:color="auto"/>
                <w:lang w:val="en-US" w:eastAsia="zh-CN"/>
              </w:rPr>
              <w:t xml:space="preserve">年 </w:t>
            </w:r>
            <w:r>
              <w:rPr>
                <w:rFonts w:hint="default" w:ascii="Times New Roman" w:hAnsi="Times New Roman" w:eastAsia="宋体" w:cs="Times New Roman"/>
                <w:color w:val="auto"/>
                <w:sz w:val="24"/>
                <w:szCs w:val="24"/>
                <w:highlight w:val="none"/>
                <w:u w:val="none" w:color="auto"/>
                <w:lang w:val="en-US" w:eastAsia="zh-CN"/>
              </w:rPr>
              <w:t xml:space="preserve">4 </w:t>
            </w:r>
            <w:r>
              <w:rPr>
                <w:rFonts w:hint="eastAsia" w:ascii="Times New Roman" w:hAnsi="Times New Roman" w:eastAsia="宋体" w:cs="Times New Roman"/>
                <w:color w:val="auto"/>
                <w:sz w:val="24"/>
                <w:szCs w:val="24"/>
                <w:highlight w:val="none"/>
                <w:u w:val="none" w:color="auto"/>
                <w:lang w:val="en-US" w:eastAsia="zh-CN"/>
              </w:rPr>
              <w:t>月完成了提标改造工程（一期提标</w:t>
            </w:r>
            <w:r>
              <w:rPr>
                <w:rFonts w:hint="default" w:ascii="Times New Roman" w:hAnsi="Times New Roman" w:eastAsia="宋体" w:cs="Times New Roman"/>
                <w:color w:val="auto"/>
                <w:sz w:val="24"/>
                <w:szCs w:val="24"/>
                <w:highlight w:val="none"/>
                <w:u w:val="none" w:color="auto"/>
                <w:lang w:val="en-US" w:eastAsia="zh-CN"/>
              </w:rPr>
              <w:t>1.0</w:t>
            </w:r>
            <w:r>
              <w:rPr>
                <w:rFonts w:hint="eastAsia" w:ascii="Times New Roman" w:hAnsi="Times New Roman" w:eastAsia="宋体" w:cs="Times New Roman"/>
                <w:color w:val="auto"/>
                <w:sz w:val="24"/>
                <w:szCs w:val="24"/>
                <w:highlight w:val="none"/>
                <w:u w:val="none" w:color="auto"/>
                <w:lang w:val="en-US" w:eastAsia="zh-CN"/>
              </w:rPr>
              <w:t>万</w:t>
            </w:r>
            <w:r>
              <w:rPr>
                <w:rFonts w:hint="default" w:ascii="Times New Roman" w:hAnsi="Times New Roman" w:eastAsia="宋体" w:cs="Times New Roman"/>
                <w:color w:val="auto"/>
                <w:sz w:val="24"/>
                <w:szCs w:val="24"/>
                <w:highlight w:val="none"/>
                <w:u w:val="none" w:color="auto"/>
                <w:lang w:val="en-US" w:eastAsia="zh-CN"/>
              </w:rPr>
              <w:t>t/d</w:t>
            </w:r>
            <w:r>
              <w:rPr>
                <w:rFonts w:hint="eastAsia" w:ascii="Times New Roman" w:hAnsi="Times New Roman" w:eastAsia="宋体" w:cs="Times New Roman"/>
                <w:color w:val="auto"/>
                <w:sz w:val="24"/>
                <w:szCs w:val="24"/>
                <w:highlight w:val="none"/>
                <w:u w:val="none" w:color="auto"/>
                <w:lang w:val="en-US" w:eastAsia="zh-CN"/>
              </w:rPr>
              <w:t>）建设和整体工艺调试，出水水质为《城镇污水处理厂污染物排放标准》（</w:t>
            </w:r>
            <w:r>
              <w:rPr>
                <w:rFonts w:hint="default" w:ascii="Times New Roman" w:hAnsi="Times New Roman" w:eastAsia="宋体" w:cs="Times New Roman"/>
                <w:color w:val="auto"/>
                <w:sz w:val="24"/>
                <w:szCs w:val="24"/>
                <w:highlight w:val="none"/>
                <w:u w:val="none" w:color="auto"/>
                <w:lang w:val="en-US" w:eastAsia="zh-CN"/>
              </w:rPr>
              <w:t>GB18918-2002</w:t>
            </w:r>
            <w:r>
              <w:rPr>
                <w:rFonts w:hint="eastAsia" w:ascii="Times New Roman" w:hAnsi="Times New Roman" w:eastAsia="宋体" w:cs="Times New Roman"/>
                <w:color w:val="auto"/>
                <w:sz w:val="24"/>
                <w:szCs w:val="24"/>
                <w:highlight w:val="none"/>
                <w:u w:val="none" w:color="auto"/>
                <w:lang w:val="en-US" w:eastAsia="zh-CN"/>
              </w:rPr>
              <w:t>）一级A标准。</w:t>
            </w:r>
          </w:p>
          <w:p w14:paraId="413D7B29">
            <w:pPr>
              <w:keepNext w:val="0"/>
              <w:keepLines w:val="0"/>
              <w:suppressLineNumbers w:val="0"/>
              <w:bidi w:val="0"/>
              <w:spacing w:before="0" w:beforeAutospacing="0" w:after="0" w:afterAutospacing="0"/>
              <w:ind w:left="0" w:right="0"/>
              <w:jc w:val="center"/>
              <w:rPr>
                <w:rFonts w:hint="default"/>
                <w:color w:val="auto"/>
              </w:rPr>
            </w:pPr>
            <w:r>
              <w:rPr>
                <w:rFonts w:hint="default"/>
                <w:color w:val="auto"/>
              </w:rPr>
              <w:drawing>
                <wp:inline distT="0" distB="0" distL="114300" distR="114300">
                  <wp:extent cx="4176395" cy="4486910"/>
                  <wp:effectExtent l="0" t="0" r="1460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4176395" cy="4486910"/>
                          </a:xfrm>
                          <a:prstGeom prst="rect">
                            <a:avLst/>
                          </a:prstGeom>
                          <a:noFill/>
                          <a:ln>
                            <a:noFill/>
                          </a:ln>
                        </pic:spPr>
                      </pic:pic>
                    </a:graphicData>
                  </a:graphic>
                </wp:inline>
              </w:drawing>
            </w:r>
          </w:p>
          <w:p w14:paraId="5074B64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kern w:val="0"/>
                <w:sz w:val="24"/>
                <w:szCs w:val="24"/>
                <w:highlight w:val="none"/>
                <w:u w:val="none" w:color="auto"/>
                <w:lang w:val="en-US" w:eastAsia="zh-CN" w:bidi="ar-SA"/>
              </w:rPr>
            </w:pPr>
            <w:r>
              <w:rPr>
                <w:rFonts w:hint="eastAsia" w:ascii="Times New Roman" w:hAnsi="Times New Roman" w:eastAsia="宋体" w:cs="Times New Roman"/>
                <w:b/>
                <w:bCs/>
                <w:color w:val="auto"/>
                <w:kern w:val="0"/>
                <w:sz w:val="24"/>
                <w:szCs w:val="24"/>
                <w:highlight w:val="none"/>
                <w:u w:val="none" w:color="auto"/>
                <w:lang w:val="en-US" w:eastAsia="zh-CN" w:bidi="ar-SA"/>
              </w:rPr>
              <w:t>图4-1    湘阴县第二污水处理厂工艺流程图</w:t>
            </w:r>
          </w:p>
          <w:p w14:paraId="626E0E64">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根据湘阴县洋沙湖污水管网规划图，本项目属于</w:t>
            </w:r>
            <w:r>
              <w:rPr>
                <w:rFonts w:hint="eastAsia" w:ascii="Times New Roman" w:hAnsi="Times New Roman" w:eastAsia="宋体" w:cs="Times New Roman"/>
                <w:color w:val="auto"/>
                <w:sz w:val="24"/>
                <w:szCs w:val="24"/>
                <w:highlight w:val="none"/>
                <w:u w:val="none" w:color="auto"/>
                <w:lang w:val="en-US" w:eastAsia="zh-CN"/>
              </w:rPr>
              <w:t>湘阴县第二污水处理厂</w:t>
            </w:r>
            <w:r>
              <w:rPr>
                <w:rFonts w:hint="eastAsia" w:cs="Times New Roman"/>
                <w:color w:val="auto"/>
                <w:sz w:val="24"/>
                <w:szCs w:val="24"/>
                <w:highlight w:val="none"/>
                <w:u w:val="none" w:color="auto"/>
                <w:lang w:val="en-US" w:eastAsia="zh-CN"/>
              </w:rPr>
              <w:t>纳污范围，详见附图5，建成规模为2万m</w:t>
            </w:r>
            <w:r>
              <w:rPr>
                <w:rFonts w:hint="eastAsia" w:cs="Times New Roman"/>
                <w:color w:val="auto"/>
                <w:sz w:val="24"/>
                <w:szCs w:val="24"/>
                <w:highlight w:val="none"/>
                <w:u w:val="none" w:color="auto"/>
                <w:vertAlign w:val="superscript"/>
                <w:lang w:val="en-US" w:eastAsia="zh-CN"/>
              </w:rPr>
              <w:t>3</w:t>
            </w:r>
            <w:r>
              <w:rPr>
                <w:rFonts w:hint="eastAsia" w:cs="Times New Roman"/>
                <w:color w:val="auto"/>
                <w:sz w:val="24"/>
                <w:szCs w:val="24"/>
                <w:highlight w:val="none"/>
                <w:u w:val="none" w:color="auto"/>
                <w:lang w:val="en-US" w:eastAsia="zh-CN"/>
              </w:rPr>
              <w:t>/d，现状进水约为6000m</w:t>
            </w:r>
            <w:r>
              <w:rPr>
                <w:rFonts w:hint="eastAsia" w:cs="Times New Roman"/>
                <w:color w:val="auto"/>
                <w:sz w:val="24"/>
                <w:szCs w:val="24"/>
                <w:highlight w:val="none"/>
                <w:u w:val="none" w:color="auto"/>
                <w:vertAlign w:val="superscript"/>
                <w:lang w:val="en-US" w:eastAsia="zh-CN"/>
              </w:rPr>
              <w:t>3</w:t>
            </w:r>
            <w:r>
              <w:rPr>
                <w:rFonts w:hint="eastAsia" w:cs="Times New Roman"/>
                <w:color w:val="auto"/>
                <w:sz w:val="24"/>
                <w:szCs w:val="24"/>
                <w:highlight w:val="none"/>
                <w:u w:val="none" w:color="auto"/>
                <w:lang w:val="en-US" w:eastAsia="zh-CN"/>
              </w:rPr>
              <w:t>/d</w:t>
            </w:r>
            <w:r>
              <w:rPr>
                <w:rFonts w:hint="eastAsia" w:ascii="Times New Roman" w:hAnsi="Times New Roman" w:eastAsia="宋体" w:cs="Times New Roman"/>
                <w:color w:val="auto"/>
                <w:sz w:val="24"/>
                <w:szCs w:val="24"/>
                <w:highlight w:val="none"/>
                <w:u w:val="none" w:color="auto"/>
                <w:lang w:val="en-US" w:eastAsia="zh-CN"/>
              </w:rPr>
              <w:t>。本</w:t>
            </w:r>
            <w:r>
              <w:rPr>
                <w:rFonts w:hint="eastAsia" w:cs="Times New Roman"/>
                <w:color w:val="auto"/>
                <w:sz w:val="24"/>
                <w:szCs w:val="24"/>
                <w:highlight w:val="none"/>
                <w:u w:val="none" w:color="auto"/>
                <w:lang w:val="en-US" w:eastAsia="zh-CN"/>
              </w:rPr>
              <w:t>项目主要排放生活污水，排放量</w:t>
            </w:r>
            <w:r>
              <w:rPr>
                <w:rFonts w:hint="eastAsia" w:ascii="Times New Roman" w:hAnsi="Times New Roman" w:eastAsia="宋体" w:cs="Times New Roman"/>
                <w:color w:val="auto"/>
                <w:sz w:val="24"/>
                <w:szCs w:val="24"/>
                <w:highlight w:val="none"/>
                <w:u w:val="none" w:color="auto"/>
                <w:lang w:val="en-US" w:eastAsia="zh-CN"/>
              </w:rPr>
              <w:t>约为</w:t>
            </w:r>
            <w:r>
              <w:rPr>
                <w:rFonts w:hint="eastAsia" w:cs="Times New Roman"/>
                <w:color w:val="auto"/>
                <w:sz w:val="24"/>
                <w:szCs w:val="24"/>
                <w:highlight w:val="none"/>
                <w:u w:val="none" w:color="auto"/>
                <w:lang w:val="en-US" w:eastAsia="zh-CN"/>
              </w:rPr>
              <w:t>51.62</w:t>
            </w:r>
            <w:r>
              <w:rPr>
                <w:rFonts w:hint="default" w:ascii="Times New Roman" w:hAnsi="Times New Roman" w:eastAsia="宋体" w:cs="Times New Roman"/>
                <w:color w:val="auto"/>
                <w:sz w:val="24"/>
                <w:szCs w:val="24"/>
                <w:highlight w:val="none"/>
                <w:u w:val="none" w:color="auto"/>
                <w:lang w:val="en-US" w:eastAsia="zh-CN"/>
              </w:rPr>
              <w:t>m</w:t>
            </w:r>
            <w:r>
              <w:rPr>
                <w:rFonts w:hint="default" w:ascii="Times New Roman" w:hAnsi="Times New Roman" w:eastAsia="宋体" w:cs="Times New Roman"/>
                <w:color w:val="auto"/>
                <w:sz w:val="24"/>
                <w:szCs w:val="24"/>
                <w:highlight w:val="none"/>
                <w:u w:val="none" w:color="auto"/>
                <w:vertAlign w:val="superscript"/>
                <w:lang w:val="en-US" w:eastAsia="zh-CN"/>
              </w:rPr>
              <w:t>3</w:t>
            </w:r>
            <w:r>
              <w:rPr>
                <w:rFonts w:hint="default"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d，</w:t>
            </w:r>
            <w:r>
              <w:rPr>
                <w:rFonts w:hint="eastAsia" w:cs="Times New Roman"/>
                <w:color w:val="auto"/>
                <w:sz w:val="24"/>
                <w:szCs w:val="24"/>
                <w:highlight w:val="none"/>
                <w:u w:val="none" w:color="auto"/>
                <w:lang w:val="en-US" w:eastAsia="zh-CN"/>
              </w:rPr>
              <w:t>仅占建成规模的0.86%，</w:t>
            </w:r>
            <w:r>
              <w:rPr>
                <w:rFonts w:hint="eastAsia" w:ascii="Times New Roman" w:hAnsi="Times New Roman" w:eastAsia="宋体" w:cs="Times New Roman"/>
                <w:color w:val="auto"/>
                <w:sz w:val="24"/>
                <w:szCs w:val="24"/>
                <w:highlight w:val="none"/>
                <w:u w:val="none" w:color="auto"/>
                <w:lang w:val="en-US" w:eastAsia="zh-CN"/>
              </w:rPr>
              <w:t>远低于湘阴县第二污水处理厂剩余处理规模；湘阴县第二污水处理厂主要处理工艺为采用</w:t>
            </w:r>
            <w:r>
              <w:rPr>
                <w:rFonts w:hint="default" w:ascii="Times New Roman" w:hAnsi="Times New Roman" w:eastAsia="宋体" w:cs="Times New Roman"/>
                <w:color w:val="auto"/>
                <w:sz w:val="24"/>
                <w:szCs w:val="24"/>
                <w:highlight w:val="none"/>
                <w:u w:val="none" w:color="auto"/>
                <w:lang w:val="en-US" w:eastAsia="zh-CN"/>
              </w:rPr>
              <w:t>A/A/O</w:t>
            </w:r>
            <w:r>
              <w:rPr>
                <w:rFonts w:hint="eastAsia" w:ascii="Times New Roman" w:hAnsi="Times New Roman" w:eastAsia="宋体" w:cs="Times New Roman"/>
                <w:color w:val="auto"/>
                <w:sz w:val="24"/>
                <w:szCs w:val="24"/>
                <w:highlight w:val="none"/>
                <w:u w:val="none" w:color="auto"/>
                <w:lang w:val="en-US" w:eastAsia="zh-CN"/>
              </w:rPr>
              <w:t>工艺，可处理生活污水。</w:t>
            </w:r>
          </w:p>
          <w:p w14:paraId="33FC1E8D">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综上所述，本项目预处理后的废水依托</w:t>
            </w:r>
            <w:r>
              <w:rPr>
                <w:rFonts w:hint="eastAsia" w:ascii="Times New Roman" w:hAnsi="Times New Roman" w:eastAsia="宋体" w:cs="Times New Roman"/>
                <w:color w:val="auto"/>
                <w:sz w:val="24"/>
                <w:szCs w:val="24"/>
                <w:highlight w:val="none"/>
                <w:u w:val="none" w:color="auto"/>
                <w:lang w:val="en-US" w:eastAsia="zh-CN"/>
              </w:rPr>
              <w:t>湘阴县第二污水处理厂</w:t>
            </w:r>
            <w:r>
              <w:rPr>
                <w:rFonts w:hint="default" w:ascii="Times New Roman" w:hAnsi="Times New Roman" w:eastAsia="宋体" w:cs="Times New Roman"/>
                <w:color w:val="auto"/>
                <w:sz w:val="24"/>
                <w:szCs w:val="24"/>
                <w:highlight w:val="none"/>
                <w:u w:val="none" w:color="auto"/>
                <w:lang w:val="en-US" w:eastAsia="zh-CN"/>
              </w:rPr>
              <w:t>处理是可行的</w:t>
            </w:r>
            <w:r>
              <w:rPr>
                <w:rFonts w:hint="eastAsia" w:ascii="Times New Roman" w:hAnsi="Times New Roman" w:eastAsia="宋体" w:cs="Times New Roman"/>
                <w:color w:val="auto"/>
                <w:sz w:val="24"/>
                <w:szCs w:val="24"/>
                <w:highlight w:val="none"/>
                <w:u w:val="none" w:color="auto"/>
                <w:lang w:val="en-US" w:eastAsia="zh-CN"/>
              </w:rPr>
              <w:t>。</w:t>
            </w:r>
          </w:p>
          <w:p w14:paraId="194E4CA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2.4、项目废水监测计划</w:t>
            </w:r>
          </w:p>
          <w:p w14:paraId="2AEC647F">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根据《排污单位自行监测技术指南 总则》、《排污许可证申请与核发技术指南 总则》，</w:t>
            </w:r>
            <w:r>
              <w:rPr>
                <w:rFonts w:hint="eastAsia" w:cs="Times New Roman"/>
                <w:color w:val="auto"/>
                <w:sz w:val="24"/>
                <w:szCs w:val="24"/>
                <w:highlight w:val="none"/>
                <w:u w:val="none" w:color="auto"/>
                <w:lang w:val="en-US" w:eastAsia="zh-CN"/>
              </w:rPr>
              <w:t>单独排入城镇污水处理厂的生活污水不需要监测。</w:t>
            </w:r>
          </w:p>
          <w:p w14:paraId="7146AA13">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2</w:t>
            </w:r>
            <w:r>
              <w:rPr>
                <w:rFonts w:hint="eastAsia" w:ascii="Times New Roman" w:hAnsi="Times New Roman" w:eastAsia="宋体" w:cs="Times New Roman"/>
                <w:b/>
                <w:bCs/>
                <w:color w:val="auto"/>
                <w:sz w:val="24"/>
                <w:szCs w:val="24"/>
                <w:highlight w:val="none"/>
                <w:u w:val="none" w:color="auto"/>
                <w:lang w:val="en-US" w:eastAsia="zh-CN"/>
              </w:rPr>
              <w:t>.5</w:t>
            </w:r>
            <w:r>
              <w:rPr>
                <w:rFonts w:hint="default" w:ascii="Times New Roman" w:hAnsi="Times New Roman" w:eastAsia="宋体" w:cs="Times New Roman"/>
                <w:b/>
                <w:bCs/>
                <w:color w:val="auto"/>
                <w:sz w:val="24"/>
                <w:szCs w:val="24"/>
                <w:highlight w:val="none"/>
                <w:u w:val="none" w:color="auto"/>
                <w:lang w:val="en-US" w:eastAsia="zh-CN"/>
              </w:rPr>
              <w:t>、</w:t>
            </w:r>
            <w:r>
              <w:rPr>
                <w:rFonts w:hint="eastAsia" w:ascii="Times New Roman" w:hAnsi="Times New Roman" w:eastAsia="宋体" w:cs="Times New Roman"/>
                <w:b/>
                <w:bCs/>
                <w:color w:val="auto"/>
                <w:sz w:val="24"/>
                <w:szCs w:val="24"/>
                <w:highlight w:val="none"/>
                <w:u w:val="none" w:color="auto"/>
                <w:lang w:val="en-US" w:eastAsia="zh-CN"/>
              </w:rPr>
              <w:t>结论</w:t>
            </w:r>
          </w:p>
          <w:p w14:paraId="5822FBE4">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根据分析可知，</w:t>
            </w:r>
            <w:r>
              <w:rPr>
                <w:rFonts w:hint="eastAsia" w:cs="Times New Roman"/>
                <w:color w:val="auto"/>
                <w:sz w:val="24"/>
                <w:szCs w:val="24"/>
                <w:highlight w:val="none"/>
                <w:u w:val="none" w:color="auto"/>
                <w:lang w:val="en-US" w:eastAsia="zh-CN"/>
              </w:rPr>
              <w:t>本</w:t>
            </w:r>
            <w:r>
              <w:rPr>
                <w:rFonts w:hint="default" w:ascii="Times New Roman" w:hAnsi="Times New Roman" w:eastAsia="宋体" w:cs="Times New Roman"/>
                <w:color w:val="auto"/>
                <w:sz w:val="24"/>
                <w:szCs w:val="24"/>
                <w:highlight w:val="none"/>
                <w:u w:val="none" w:color="auto"/>
                <w:lang w:val="en-US" w:eastAsia="zh-CN"/>
              </w:rPr>
              <w:t>项目</w:t>
            </w:r>
            <w:r>
              <w:rPr>
                <w:rFonts w:hint="eastAsia" w:ascii="Times New Roman" w:hAnsi="Times New Roman" w:eastAsia="宋体" w:cs="Times New Roman"/>
                <w:color w:val="auto"/>
                <w:sz w:val="24"/>
                <w:szCs w:val="24"/>
                <w:highlight w:val="none"/>
                <w:u w:val="none" w:color="auto"/>
                <w:lang w:val="en-US" w:eastAsia="zh-CN"/>
              </w:rPr>
              <w:t>产生的</w:t>
            </w:r>
            <w:r>
              <w:rPr>
                <w:rFonts w:hint="eastAsia" w:cs="Times New Roman"/>
                <w:color w:val="auto"/>
                <w:sz w:val="24"/>
                <w:szCs w:val="24"/>
                <w:highlight w:val="none"/>
                <w:u w:val="none" w:color="auto"/>
                <w:lang w:val="en-US" w:eastAsia="zh-CN"/>
              </w:rPr>
              <w:t>生活</w:t>
            </w:r>
            <w:r>
              <w:rPr>
                <w:rFonts w:hint="eastAsia" w:ascii="Times New Roman" w:hAnsi="Times New Roman" w:eastAsia="宋体" w:cs="Times New Roman"/>
                <w:color w:val="auto"/>
                <w:sz w:val="24"/>
                <w:szCs w:val="24"/>
                <w:highlight w:val="none"/>
                <w:u w:val="none" w:color="auto"/>
                <w:lang w:val="en-US" w:eastAsia="zh-CN"/>
              </w:rPr>
              <w:t>污水</w:t>
            </w:r>
            <w:r>
              <w:rPr>
                <w:rFonts w:hint="eastAsia" w:cs="Times New Roman"/>
                <w:color w:val="auto"/>
                <w:sz w:val="24"/>
                <w:szCs w:val="24"/>
                <w:highlight w:val="none"/>
                <w:u w:val="none" w:color="auto"/>
                <w:lang w:val="en-US" w:eastAsia="zh-CN"/>
              </w:rPr>
              <w:t>经化粪池处理后</w:t>
            </w:r>
            <w:r>
              <w:rPr>
                <w:rFonts w:hint="eastAsia" w:ascii="Times New Roman" w:hAnsi="Times New Roman" w:eastAsia="宋体" w:cs="Times New Roman"/>
                <w:color w:val="auto"/>
                <w:sz w:val="24"/>
                <w:szCs w:val="24"/>
                <w:highlight w:val="none"/>
                <w:u w:val="none" w:color="auto"/>
                <w:lang w:val="en-US" w:eastAsia="zh-CN"/>
              </w:rPr>
              <w:t>出水能够满足湘阴县第二污水处理厂</w:t>
            </w:r>
            <w:r>
              <w:rPr>
                <w:rFonts w:hint="default" w:ascii="Times New Roman" w:hAnsi="Times New Roman" w:eastAsia="宋体" w:cs="Times New Roman"/>
                <w:color w:val="auto"/>
                <w:sz w:val="24"/>
                <w:szCs w:val="24"/>
                <w:highlight w:val="none"/>
                <w:u w:val="none" w:color="auto"/>
                <w:lang w:val="en-US" w:eastAsia="zh-CN"/>
              </w:rPr>
              <w:t>接管要求，因此，本项目不会对当地地表水环境产生不利影响，地表水影响可接受。</w:t>
            </w:r>
          </w:p>
          <w:p w14:paraId="031A4ADA">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szCs w:val="24"/>
                <w:highlight w:val="none"/>
                <w:u w:val="none" w:color="auto"/>
              </w:rPr>
            </w:pPr>
            <w:r>
              <w:rPr>
                <w:rFonts w:hint="default" w:ascii="Times New Roman" w:hAnsi="Times New Roman" w:cs="Times New Roman"/>
                <w:b/>
                <w:color w:val="auto"/>
                <w:sz w:val="24"/>
                <w:szCs w:val="24"/>
                <w:highlight w:val="none"/>
                <w:u w:val="none" w:color="auto"/>
              </w:rPr>
              <w:t>3、噪声</w:t>
            </w:r>
          </w:p>
          <w:p w14:paraId="73DEEE58">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pacing w:val="-10"/>
                <w:sz w:val="24"/>
                <w:u w:val="none" w:color="auto"/>
              </w:rPr>
            </w:pPr>
            <w:r>
              <w:rPr>
                <w:rFonts w:hint="default" w:ascii="Times New Roman" w:hAnsi="Times New Roman" w:cs="Times New Roman"/>
                <w:b/>
                <w:bCs/>
                <w:color w:val="auto"/>
                <w:spacing w:val="-10"/>
                <w:sz w:val="24"/>
                <w:u w:val="none" w:color="auto"/>
              </w:rPr>
              <w:t>3.1、噪声源强分析</w:t>
            </w:r>
          </w:p>
          <w:p w14:paraId="1954241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本项目运营期噪声主要为生产设备运行时产生的噪声，拟通过合理布局、选用先进设备、设立减振台座、建筑隔声等措施降低设备噪声对环境的影响， 项目噪声源强见</w:t>
            </w:r>
            <w:r>
              <w:rPr>
                <w:rFonts w:hint="eastAsia" w:cs="Times New Roman"/>
                <w:color w:val="auto"/>
                <w:sz w:val="24"/>
                <w:highlight w:val="none"/>
                <w:u w:val="none" w:color="auto"/>
                <w:lang w:val="en-US" w:eastAsia="zh-CN"/>
              </w:rPr>
              <w:t>下表</w:t>
            </w:r>
            <w:r>
              <w:rPr>
                <w:rFonts w:hint="eastAsia" w:ascii="Times New Roman" w:hAnsi="Times New Roman" w:eastAsia="宋体" w:cs="Times New Roman"/>
                <w:color w:val="auto"/>
                <w:sz w:val="24"/>
                <w:highlight w:val="none"/>
                <w:u w:val="none" w:color="auto"/>
                <w:lang w:val="en-US" w:eastAsia="zh-CN"/>
              </w:rPr>
              <w:t>。</w:t>
            </w:r>
          </w:p>
          <w:p w14:paraId="799C36B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snapToGrid w:val="0"/>
                <w:color w:val="auto"/>
                <w:kern w:val="0"/>
                <w:sz w:val="24"/>
                <w:highlight w:val="none"/>
                <w:u w:val="none" w:color="auto"/>
                <w:lang w:val="en-US" w:eastAsia="zh-CN"/>
              </w:rPr>
            </w:pPr>
            <w:r>
              <w:rPr>
                <w:rFonts w:hint="eastAsia" w:cs="Times New Roman"/>
                <w:bCs/>
                <w:snapToGrid w:val="0"/>
                <w:color w:val="auto"/>
                <w:kern w:val="0"/>
                <w:sz w:val="24"/>
                <w:highlight w:val="none"/>
                <w:u w:val="none" w:color="auto"/>
                <w:lang w:val="en-US" w:eastAsia="zh-CN"/>
              </w:rPr>
              <w:t>设备源强</w:t>
            </w:r>
            <w:r>
              <w:rPr>
                <w:rFonts w:hint="eastAsia" w:ascii="Times New Roman" w:hAnsi="Times New Roman" w:cs="Times New Roman"/>
                <w:bCs/>
                <w:snapToGrid w:val="0"/>
                <w:color w:val="auto"/>
                <w:kern w:val="0"/>
                <w:sz w:val="24"/>
                <w:highlight w:val="none"/>
                <w:u w:val="none" w:color="auto"/>
                <w:lang w:val="en-US" w:eastAsia="zh-CN"/>
              </w:rPr>
              <w:t>参照</w:t>
            </w:r>
            <w:r>
              <w:rPr>
                <w:rFonts w:hint="eastAsia" w:ascii="Times New Roman" w:hAnsi="Times New Roman" w:cs="Times New Roman"/>
                <w:bCs/>
                <w:snapToGrid w:val="0"/>
                <w:color w:val="auto"/>
                <w:kern w:val="0"/>
                <w:sz w:val="24"/>
                <w:highlight w:val="none"/>
                <w:u w:val="none" w:color="auto"/>
                <w:lang w:eastAsia="zh-CN"/>
              </w:rPr>
              <w:t>《</w:t>
            </w:r>
            <w:r>
              <w:rPr>
                <w:rFonts w:hint="eastAsia" w:ascii="Times New Roman" w:hAnsi="Times New Roman" w:cs="Times New Roman"/>
                <w:bCs/>
                <w:snapToGrid w:val="0"/>
                <w:color w:val="auto"/>
                <w:kern w:val="0"/>
                <w:sz w:val="24"/>
                <w:highlight w:val="none"/>
                <w:u w:val="none" w:color="auto"/>
                <w:lang w:val="en-US" w:eastAsia="zh-CN"/>
              </w:rPr>
              <w:t>污染源源强核算技术指南 汽车制造</w:t>
            </w:r>
            <w:r>
              <w:rPr>
                <w:rFonts w:hint="eastAsia" w:ascii="Times New Roman" w:hAnsi="Times New Roman" w:cs="Times New Roman"/>
                <w:bCs/>
                <w:snapToGrid w:val="0"/>
                <w:color w:val="auto"/>
                <w:kern w:val="0"/>
                <w:sz w:val="24"/>
                <w:highlight w:val="none"/>
                <w:u w:val="none" w:color="auto"/>
                <w:lang w:eastAsia="zh-CN"/>
              </w:rPr>
              <w:t>》（</w:t>
            </w:r>
            <w:r>
              <w:rPr>
                <w:rFonts w:hint="eastAsia" w:ascii="Times New Roman" w:hAnsi="Times New Roman" w:cs="Times New Roman"/>
                <w:bCs/>
                <w:snapToGrid w:val="0"/>
                <w:color w:val="auto"/>
                <w:kern w:val="0"/>
                <w:sz w:val="24"/>
                <w:highlight w:val="none"/>
                <w:u w:val="none" w:color="auto"/>
                <w:lang w:val="en-US" w:eastAsia="zh-CN"/>
              </w:rPr>
              <w:t>HJ1097-2020</w:t>
            </w:r>
            <w:r>
              <w:rPr>
                <w:rFonts w:hint="eastAsia" w:ascii="Times New Roman" w:hAnsi="Times New Roman" w:cs="Times New Roman"/>
                <w:bCs/>
                <w:snapToGrid w:val="0"/>
                <w:color w:val="auto"/>
                <w:kern w:val="0"/>
                <w:sz w:val="24"/>
                <w:highlight w:val="none"/>
                <w:u w:val="none" w:color="auto"/>
                <w:lang w:eastAsia="zh-CN"/>
              </w:rPr>
              <w:t>）</w:t>
            </w:r>
            <w:r>
              <w:rPr>
                <w:rFonts w:hint="eastAsia" w:ascii="Times New Roman" w:hAnsi="Times New Roman" w:cs="Times New Roman"/>
                <w:bCs/>
                <w:snapToGrid w:val="0"/>
                <w:color w:val="auto"/>
                <w:kern w:val="0"/>
                <w:sz w:val="24"/>
                <w:highlight w:val="none"/>
                <w:u w:val="none" w:color="auto"/>
                <w:lang w:val="en-US" w:eastAsia="zh-CN"/>
              </w:rPr>
              <w:t>附录G</w:t>
            </w:r>
            <w:r>
              <w:rPr>
                <w:rFonts w:hint="eastAsia" w:cs="Times New Roman"/>
                <w:bCs/>
                <w:snapToGrid w:val="0"/>
                <w:color w:val="auto"/>
                <w:kern w:val="0"/>
                <w:sz w:val="24"/>
                <w:highlight w:val="none"/>
                <w:u w:val="none" w:color="auto"/>
                <w:lang w:val="en-US" w:eastAsia="zh-CN"/>
              </w:rPr>
              <w:t>、以及各设备的产品说明书，</w:t>
            </w:r>
            <w:r>
              <w:rPr>
                <w:rFonts w:hint="eastAsia" w:ascii="Times New Roman" w:hAnsi="Times New Roman" w:cs="Times New Roman"/>
                <w:bCs/>
                <w:snapToGrid w:val="0"/>
                <w:color w:val="auto"/>
                <w:kern w:val="0"/>
                <w:sz w:val="24"/>
                <w:highlight w:val="none"/>
                <w:u w:val="none" w:color="auto"/>
                <w:lang w:val="en-US" w:eastAsia="zh-CN"/>
              </w:rPr>
              <w:t>机加工设备源强为75-90</w:t>
            </w:r>
            <w:r>
              <w:rPr>
                <w:rFonts w:hint="default" w:ascii="Times New Roman" w:hAnsi="Times New Roman" w:cs="Times New Roman"/>
                <w:bCs/>
                <w:snapToGrid w:val="0"/>
                <w:color w:val="auto"/>
                <w:kern w:val="0"/>
                <w:sz w:val="24"/>
                <w:highlight w:val="none"/>
                <w:u w:val="none" w:color="auto"/>
              </w:rPr>
              <w:t>dB(A)</w:t>
            </w:r>
            <w:r>
              <w:rPr>
                <w:rFonts w:hint="eastAsia" w:ascii="Times New Roman" w:hAnsi="Times New Roman" w:cs="Times New Roman"/>
                <w:bCs/>
                <w:snapToGrid w:val="0"/>
                <w:color w:val="auto"/>
                <w:kern w:val="0"/>
                <w:sz w:val="24"/>
                <w:highlight w:val="none"/>
                <w:u w:val="none" w:color="auto"/>
                <w:lang w:val="en-US" w:eastAsia="zh-CN"/>
              </w:rPr>
              <w:t>之间</w:t>
            </w:r>
            <w:r>
              <w:rPr>
                <w:rFonts w:hint="eastAsia" w:cs="Times New Roman"/>
                <w:bCs/>
                <w:snapToGrid w:val="0"/>
                <w:color w:val="auto"/>
                <w:kern w:val="0"/>
                <w:sz w:val="24"/>
                <w:highlight w:val="none"/>
                <w:u w:val="none" w:color="auto"/>
                <w:lang w:val="en-US" w:eastAsia="zh-CN"/>
              </w:rPr>
              <w:t>，</w:t>
            </w:r>
            <w:r>
              <w:rPr>
                <w:rFonts w:hint="eastAsia" w:ascii="Times New Roman" w:hAnsi="Times New Roman" w:cs="Times New Roman"/>
                <w:bCs/>
                <w:snapToGrid w:val="0"/>
                <w:color w:val="auto"/>
                <w:kern w:val="0"/>
                <w:sz w:val="24"/>
                <w:highlight w:val="none"/>
                <w:u w:val="none" w:color="auto"/>
                <w:lang w:val="en-US" w:eastAsia="zh-CN"/>
              </w:rPr>
              <w:t>厂房隔声10-15</w:t>
            </w:r>
            <w:r>
              <w:rPr>
                <w:rFonts w:hint="default" w:ascii="Times New Roman" w:hAnsi="Times New Roman" w:cs="Times New Roman"/>
                <w:bCs/>
                <w:snapToGrid w:val="0"/>
                <w:color w:val="auto"/>
                <w:kern w:val="0"/>
                <w:sz w:val="24"/>
                <w:highlight w:val="none"/>
                <w:u w:val="none" w:color="auto"/>
              </w:rPr>
              <w:t>dB(A)</w:t>
            </w:r>
            <w:r>
              <w:rPr>
                <w:rFonts w:hint="eastAsia" w:cs="Times New Roman"/>
                <w:bCs/>
                <w:snapToGrid w:val="0"/>
                <w:color w:val="auto"/>
                <w:kern w:val="0"/>
                <w:sz w:val="24"/>
                <w:highlight w:val="none"/>
                <w:u w:val="none" w:color="auto"/>
                <w:lang w:eastAsia="zh-CN"/>
              </w:rPr>
              <w:t>。</w:t>
            </w:r>
          </w:p>
          <w:p w14:paraId="33176184">
            <w:pPr>
              <w:keepNext w:val="0"/>
              <w:keepLines w:val="0"/>
              <w:suppressLineNumbers w:val="0"/>
              <w:spacing w:before="0" w:beforeAutospacing="0" w:after="0" w:afterAutospacing="0" w:line="360" w:lineRule="auto"/>
              <w:ind w:left="0" w:right="0" w:firstLine="480" w:firstLineChars="200"/>
              <w:rPr>
                <w:rFonts w:hint="eastAsia" w:cs="Times New Roman"/>
                <w:bCs/>
                <w:snapToGrid w:val="0"/>
                <w:color w:val="auto"/>
                <w:kern w:val="0"/>
                <w:sz w:val="24"/>
                <w:highlight w:val="none"/>
                <w:u w:val="none" w:color="auto"/>
                <w:lang w:val="en-US" w:eastAsia="zh-CN"/>
              </w:rPr>
            </w:pPr>
            <w:r>
              <w:rPr>
                <w:rFonts w:hint="eastAsia" w:cs="Times New Roman"/>
                <w:bCs/>
                <w:snapToGrid w:val="0"/>
                <w:color w:val="auto"/>
                <w:kern w:val="0"/>
                <w:sz w:val="24"/>
                <w:highlight w:val="none"/>
                <w:u w:val="none" w:color="auto"/>
                <w:lang w:val="en-US" w:eastAsia="zh-CN"/>
              </w:rPr>
              <w:t>建筑物插入损失计算。根据《环境影响评价技术导则声环境》( HJ2.4-2021)附录 B，室内声源可采用等效室外声源声功率级法进行计算。设近开口处(或窗户)室内、室外某倍频带的声压级分别为Lp1和Lp2。若声源所在室内声场为近似扩散声场，则室外的信频带声压级可按以下公式近似求出:</w:t>
            </w:r>
          </w:p>
          <w:p w14:paraId="1802F02C">
            <w:pPr>
              <w:keepNext w:val="0"/>
              <w:keepLines w:val="0"/>
              <w:suppressLineNumbers w:val="0"/>
              <w:spacing w:before="0" w:beforeAutospacing="0" w:after="0" w:afterAutospacing="0" w:line="360" w:lineRule="auto"/>
              <w:ind w:left="0" w:right="0" w:firstLine="480" w:firstLineChars="200"/>
              <w:jc w:val="center"/>
              <w:rPr>
                <w:rFonts w:hint="eastAsia" w:cs="Times New Roman"/>
                <w:bCs/>
                <w:snapToGrid w:val="0"/>
                <w:color w:val="auto"/>
                <w:kern w:val="0"/>
                <w:sz w:val="24"/>
                <w:highlight w:val="none"/>
                <w:u w:val="none" w:color="auto"/>
                <w:lang w:val="en-US" w:eastAsia="zh-CN"/>
              </w:rPr>
            </w:pPr>
            <w:r>
              <w:rPr>
                <w:rFonts w:hint="eastAsia" w:cs="Times New Roman"/>
                <w:bCs/>
                <w:snapToGrid w:val="0"/>
                <w:color w:val="auto"/>
                <w:kern w:val="0"/>
                <w:sz w:val="24"/>
                <w:highlight w:val="none"/>
                <w:u w:val="none" w:color="auto"/>
                <w:lang w:val="en-US" w:eastAsia="zh-CN"/>
              </w:rPr>
              <w:t>L</w:t>
            </w:r>
            <w:r>
              <w:rPr>
                <w:rFonts w:hint="eastAsia" w:cs="Times New Roman"/>
                <w:bCs/>
                <w:snapToGrid w:val="0"/>
                <w:color w:val="auto"/>
                <w:kern w:val="0"/>
                <w:sz w:val="24"/>
                <w:highlight w:val="none"/>
                <w:u w:val="none" w:color="auto"/>
                <w:vertAlign w:val="subscript"/>
                <w:lang w:val="en-US" w:eastAsia="zh-CN"/>
              </w:rPr>
              <w:t>p2</w:t>
            </w:r>
            <w:r>
              <w:rPr>
                <w:rFonts w:hint="eastAsia" w:cs="Times New Roman"/>
                <w:bCs/>
                <w:snapToGrid w:val="0"/>
                <w:color w:val="auto"/>
                <w:kern w:val="0"/>
                <w:sz w:val="24"/>
                <w:highlight w:val="none"/>
                <w:u w:val="none" w:color="auto"/>
                <w:lang w:val="en-US" w:eastAsia="zh-CN"/>
              </w:rPr>
              <w:t>=L</w:t>
            </w:r>
            <w:r>
              <w:rPr>
                <w:rFonts w:hint="eastAsia" w:cs="Times New Roman"/>
                <w:bCs/>
                <w:snapToGrid w:val="0"/>
                <w:color w:val="auto"/>
                <w:kern w:val="0"/>
                <w:sz w:val="24"/>
                <w:highlight w:val="none"/>
                <w:u w:val="none" w:color="auto"/>
                <w:vertAlign w:val="subscript"/>
                <w:lang w:val="en-US" w:eastAsia="zh-CN"/>
              </w:rPr>
              <w:t>p1</w:t>
            </w:r>
            <w:r>
              <w:rPr>
                <w:rFonts w:hint="eastAsia" w:cs="Times New Roman"/>
                <w:bCs/>
                <w:snapToGrid w:val="0"/>
                <w:color w:val="auto"/>
                <w:kern w:val="0"/>
                <w:sz w:val="24"/>
                <w:highlight w:val="none"/>
                <w:u w:val="none" w:color="auto"/>
                <w:lang w:val="en-US" w:eastAsia="zh-CN"/>
              </w:rPr>
              <w:t>-( TL+6)</w:t>
            </w:r>
          </w:p>
          <w:p w14:paraId="08899B89">
            <w:pPr>
              <w:keepNext w:val="0"/>
              <w:keepLines w:val="0"/>
              <w:suppressLineNumbers w:val="0"/>
              <w:spacing w:before="0" w:beforeAutospacing="0" w:after="0" w:afterAutospacing="0" w:line="360" w:lineRule="auto"/>
              <w:ind w:left="0" w:right="0" w:firstLine="480" w:firstLineChars="200"/>
              <w:rPr>
                <w:rFonts w:hint="eastAsia" w:cs="Times New Roman"/>
                <w:bCs/>
                <w:snapToGrid w:val="0"/>
                <w:color w:val="auto"/>
                <w:kern w:val="0"/>
                <w:sz w:val="24"/>
                <w:highlight w:val="none"/>
                <w:u w:val="none" w:color="auto"/>
                <w:lang w:val="en-US" w:eastAsia="zh-CN"/>
              </w:rPr>
            </w:pPr>
            <w:r>
              <w:rPr>
                <w:rFonts w:hint="eastAsia" w:cs="Times New Roman"/>
                <w:bCs/>
                <w:snapToGrid w:val="0"/>
                <w:color w:val="auto"/>
                <w:kern w:val="0"/>
                <w:sz w:val="24"/>
                <w:highlight w:val="none"/>
                <w:u w:val="none" w:color="auto"/>
                <w:lang w:val="en-US" w:eastAsia="zh-CN"/>
              </w:rPr>
              <w:t>式中:TL一隔墙(或窗户)倍频带的隔声量，dB。</w:t>
            </w:r>
          </w:p>
          <w:p w14:paraId="180BE2F6">
            <w:pPr>
              <w:keepNext w:val="0"/>
              <w:keepLines w:val="0"/>
              <w:suppressLineNumbers w:val="0"/>
              <w:spacing w:before="0" w:beforeAutospacing="0" w:after="0" w:afterAutospacing="0" w:line="360" w:lineRule="auto"/>
              <w:ind w:left="0" w:right="0" w:firstLine="480" w:firstLineChars="200"/>
              <w:rPr>
                <w:rFonts w:hint="default" w:cs="Times New Roman"/>
                <w:bCs/>
                <w:snapToGrid w:val="0"/>
                <w:color w:val="auto"/>
                <w:kern w:val="0"/>
                <w:sz w:val="24"/>
                <w:highlight w:val="none"/>
                <w:u w:val="none" w:color="auto"/>
                <w:lang w:val="en-US" w:eastAsia="zh-CN"/>
              </w:rPr>
            </w:pPr>
            <w:r>
              <w:rPr>
                <w:rFonts w:hint="eastAsia" w:cs="Times New Roman"/>
                <w:bCs/>
                <w:snapToGrid w:val="0"/>
                <w:color w:val="auto"/>
                <w:kern w:val="0"/>
                <w:sz w:val="24"/>
                <w:highlight w:val="none"/>
                <w:u w:val="none" w:color="auto"/>
                <w:lang w:val="en-US" w:eastAsia="zh-CN"/>
              </w:rPr>
              <w:t>综上可知，建筑物插入损失等于建筑物隔音量+6，本项目取15dB。</w:t>
            </w:r>
          </w:p>
          <w:p w14:paraId="09E7C5C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snapToGrid w:val="0"/>
                <w:color w:val="auto"/>
                <w:kern w:val="0"/>
                <w:sz w:val="24"/>
                <w:highlight w:val="none"/>
                <w:u w:val="none" w:color="auto"/>
                <w:lang w:eastAsia="zh-CN"/>
              </w:rPr>
            </w:pPr>
            <w:r>
              <w:rPr>
                <w:rFonts w:hint="eastAsia" w:ascii="Times New Roman" w:hAnsi="Times New Roman" w:cs="Times New Roman"/>
                <w:bCs/>
                <w:snapToGrid w:val="0"/>
                <w:color w:val="auto"/>
                <w:kern w:val="0"/>
                <w:sz w:val="24"/>
                <w:highlight w:val="none"/>
                <w:u w:val="none" w:color="auto"/>
              </w:rPr>
              <w:t>表中坐标以厂界中心为坐标原点，正东向为X轴正方向，正北向为Y轴正方向</w:t>
            </w:r>
            <w:r>
              <w:rPr>
                <w:rFonts w:hint="eastAsia" w:ascii="Times New Roman" w:hAnsi="Times New Roman" w:cs="Times New Roman"/>
                <w:bCs/>
                <w:snapToGrid w:val="0"/>
                <w:color w:val="auto"/>
                <w:kern w:val="0"/>
                <w:sz w:val="24"/>
                <w:highlight w:val="none"/>
                <w:u w:val="none" w:color="auto"/>
                <w:lang w:eastAsia="zh-CN"/>
              </w:rPr>
              <w:t>。</w:t>
            </w:r>
          </w:p>
          <w:p w14:paraId="33182855">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color w:val="auto"/>
                <w:kern w:val="2"/>
                <w:sz w:val="21"/>
                <w:szCs w:val="21"/>
                <w:u w:val="none" w:color="auto"/>
                <w:lang w:val="en-US" w:eastAsia="zh-CN" w:bidi="ar-SA"/>
              </w:rPr>
            </w:pPr>
            <w:r>
              <w:rPr>
                <w:rFonts w:hint="default" w:ascii="Times New Roman" w:hAnsi="Times New Roman" w:eastAsia="宋体" w:cs="Times New Roman"/>
                <w:b/>
                <w:color w:val="auto"/>
                <w:kern w:val="2"/>
                <w:sz w:val="21"/>
                <w:szCs w:val="21"/>
                <w:u w:val="none" w:color="auto"/>
                <w:lang w:val="en-US" w:eastAsia="zh-CN" w:bidi="ar-SA"/>
              </w:rPr>
              <w:t>表4-</w:t>
            </w:r>
            <w:r>
              <w:rPr>
                <w:rFonts w:hint="eastAsia" w:ascii="Times New Roman" w:hAnsi="Times New Roman" w:eastAsia="宋体" w:cs="Times New Roman"/>
                <w:b/>
                <w:color w:val="auto"/>
                <w:kern w:val="2"/>
                <w:sz w:val="21"/>
                <w:szCs w:val="21"/>
                <w:u w:val="none" w:color="auto"/>
                <w:lang w:val="en-US" w:eastAsia="zh-CN" w:bidi="ar-SA"/>
              </w:rPr>
              <w:t>1</w:t>
            </w:r>
            <w:r>
              <w:rPr>
                <w:rFonts w:hint="eastAsia" w:cs="Times New Roman"/>
                <w:b/>
                <w:color w:val="auto"/>
                <w:kern w:val="2"/>
                <w:sz w:val="21"/>
                <w:szCs w:val="21"/>
                <w:u w:val="none" w:color="auto"/>
                <w:lang w:val="en-US" w:eastAsia="zh-CN" w:bidi="ar-SA"/>
              </w:rPr>
              <w:t>2</w:t>
            </w:r>
            <w:r>
              <w:rPr>
                <w:rFonts w:hint="eastAsia" w:ascii="Times New Roman" w:hAnsi="Times New Roman" w:eastAsia="宋体" w:cs="Times New Roman"/>
                <w:b/>
                <w:color w:val="auto"/>
                <w:kern w:val="2"/>
                <w:sz w:val="21"/>
                <w:szCs w:val="21"/>
                <w:u w:val="none" w:color="auto"/>
                <w:lang w:val="en-US" w:eastAsia="zh-CN" w:bidi="ar-SA"/>
              </w:rPr>
              <w:t xml:space="preserve">  </w:t>
            </w:r>
            <w:r>
              <w:rPr>
                <w:rFonts w:hint="default" w:ascii="Times New Roman" w:hAnsi="Times New Roman" w:eastAsia="宋体" w:cs="Times New Roman"/>
                <w:b/>
                <w:color w:val="auto"/>
                <w:kern w:val="2"/>
                <w:sz w:val="21"/>
                <w:szCs w:val="21"/>
                <w:u w:val="none" w:color="auto"/>
                <w:lang w:val="en-US" w:eastAsia="zh-CN" w:bidi="ar-SA"/>
              </w:rPr>
              <w:t xml:space="preserve"> 工业企业噪声源强调查清单（室外声源）</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1137"/>
              <w:gridCol w:w="633"/>
              <w:gridCol w:w="585"/>
              <w:gridCol w:w="365"/>
              <w:gridCol w:w="1842"/>
              <w:gridCol w:w="1371"/>
              <w:gridCol w:w="966"/>
              <w:gridCol w:w="902"/>
            </w:tblGrid>
            <w:tr w14:paraId="09D3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 w:type="dxa"/>
                  <w:vMerge w:val="restart"/>
                  <w:noWrap w:val="0"/>
                  <w:vAlign w:val="center"/>
                </w:tcPr>
                <w:p w14:paraId="61685A6D">
                  <w:pPr>
                    <w:pStyle w:val="42"/>
                    <w:keepNext w:val="0"/>
                    <w:keepLines w:val="0"/>
                    <w:suppressLineNumbers w:val="0"/>
                    <w:spacing w:before="0" w:beforeAutospacing="0" w:after="0" w:afterAutospacing="0"/>
                    <w:ind w:left="0" w:right="0"/>
                    <w:jc w:val="center"/>
                    <w:rPr>
                      <w:rFonts w:hint="default"/>
                      <w:b/>
                      <w:bCs/>
                      <w:color w:val="auto"/>
                      <w:sz w:val="21"/>
                      <w:szCs w:val="21"/>
                      <w:u w:val="none"/>
                    </w:rPr>
                  </w:pPr>
                  <w:r>
                    <w:rPr>
                      <w:rFonts w:hint="default"/>
                      <w:b/>
                      <w:bCs/>
                      <w:color w:val="auto"/>
                      <w:sz w:val="21"/>
                      <w:szCs w:val="21"/>
                      <w:u w:val="none"/>
                    </w:rPr>
                    <w:t>序号</w:t>
                  </w:r>
                </w:p>
              </w:tc>
              <w:tc>
                <w:tcPr>
                  <w:tcW w:w="1149" w:type="dxa"/>
                  <w:vMerge w:val="restart"/>
                  <w:noWrap w:val="0"/>
                  <w:vAlign w:val="center"/>
                </w:tcPr>
                <w:p w14:paraId="1B3F37AA">
                  <w:pPr>
                    <w:pStyle w:val="42"/>
                    <w:keepNext w:val="0"/>
                    <w:keepLines w:val="0"/>
                    <w:suppressLineNumbers w:val="0"/>
                    <w:spacing w:before="0" w:beforeAutospacing="0" w:after="0" w:afterAutospacing="0"/>
                    <w:ind w:left="0" w:right="0"/>
                    <w:jc w:val="center"/>
                    <w:rPr>
                      <w:rFonts w:hint="default"/>
                      <w:b/>
                      <w:bCs/>
                      <w:color w:val="auto"/>
                      <w:sz w:val="21"/>
                      <w:szCs w:val="21"/>
                      <w:u w:val="none"/>
                    </w:rPr>
                  </w:pPr>
                  <w:r>
                    <w:rPr>
                      <w:rFonts w:hint="default"/>
                      <w:b/>
                      <w:bCs/>
                      <w:color w:val="auto"/>
                      <w:sz w:val="21"/>
                      <w:szCs w:val="21"/>
                      <w:u w:val="none"/>
                    </w:rPr>
                    <w:t>声源名称</w:t>
                  </w:r>
                </w:p>
              </w:tc>
              <w:tc>
                <w:tcPr>
                  <w:tcW w:w="1599" w:type="dxa"/>
                  <w:gridSpan w:val="3"/>
                  <w:noWrap w:val="0"/>
                  <w:vAlign w:val="center"/>
                </w:tcPr>
                <w:p w14:paraId="7019FBB0">
                  <w:pPr>
                    <w:pStyle w:val="42"/>
                    <w:keepNext w:val="0"/>
                    <w:keepLines w:val="0"/>
                    <w:suppressLineNumbers w:val="0"/>
                    <w:spacing w:before="0" w:beforeAutospacing="0" w:after="0" w:afterAutospacing="0"/>
                    <w:ind w:left="0" w:right="0"/>
                    <w:jc w:val="center"/>
                    <w:rPr>
                      <w:rFonts w:hint="default"/>
                      <w:b/>
                      <w:bCs/>
                      <w:color w:val="auto"/>
                      <w:sz w:val="21"/>
                      <w:szCs w:val="21"/>
                      <w:u w:val="none"/>
                    </w:rPr>
                  </w:pPr>
                  <w:r>
                    <w:rPr>
                      <w:rFonts w:hint="default"/>
                      <w:b/>
                      <w:bCs/>
                      <w:color w:val="auto"/>
                      <w:sz w:val="21"/>
                      <w:szCs w:val="21"/>
                      <w:u w:val="none"/>
                    </w:rPr>
                    <w:t>空间相对位置/m</w:t>
                  </w:r>
                </w:p>
              </w:tc>
              <w:tc>
                <w:tcPr>
                  <w:tcW w:w="3246" w:type="dxa"/>
                  <w:gridSpan w:val="2"/>
                  <w:noWrap w:val="0"/>
                  <w:vAlign w:val="center"/>
                </w:tcPr>
                <w:p w14:paraId="4ECE2EF5">
                  <w:pPr>
                    <w:pStyle w:val="42"/>
                    <w:keepNext w:val="0"/>
                    <w:keepLines w:val="0"/>
                    <w:suppressLineNumbers w:val="0"/>
                    <w:spacing w:before="0" w:beforeAutospacing="0" w:after="0" w:afterAutospacing="0"/>
                    <w:ind w:left="0" w:right="0"/>
                    <w:jc w:val="center"/>
                    <w:rPr>
                      <w:rFonts w:hint="default"/>
                      <w:b/>
                      <w:bCs/>
                      <w:color w:val="auto"/>
                      <w:sz w:val="21"/>
                      <w:szCs w:val="21"/>
                      <w:u w:val="none"/>
                    </w:rPr>
                  </w:pPr>
                  <w:r>
                    <w:rPr>
                      <w:rFonts w:hint="default"/>
                      <w:b/>
                      <w:bCs/>
                      <w:color w:val="auto"/>
                      <w:sz w:val="21"/>
                      <w:szCs w:val="21"/>
                      <w:u w:val="none"/>
                    </w:rPr>
                    <w:t>声源源强（任选一种）</w:t>
                  </w:r>
                </w:p>
              </w:tc>
              <w:tc>
                <w:tcPr>
                  <w:tcW w:w="975" w:type="dxa"/>
                  <w:vMerge w:val="restart"/>
                  <w:noWrap w:val="0"/>
                  <w:vAlign w:val="center"/>
                </w:tcPr>
                <w:p w14:paraId="4B3B7FEE">
                  <w:pPr>
                    <w:pStyle w:val="42"/>
                    <w:keepNext w:val="0"/>
                    <w:keepLines w:val="0"/>
                    <w:suppressLineNumbers w:val="0"/>
                    <w:spacing w:before="0" w:beforeAutospacing="0" w:after="0" w:afterAutospacing="0"/>
                    <w:ind w:left="0" w:right="0"/>
                    <w:jc w:val="center"/>
                    <w:rPr>
                      <w:rFonts w:hint="default"/>
                      <w:b/>
                      <w:bCs/>
                      <w:color w:val="auto"/>
                      <w:sz w:val="21"/>
                      <w:szCs w:val="21"/>
                      <w:u w:val="none"/>
                    </w:rPr>
                  </w:pPr>
                  <w:r>
                    <w:rPr>
                      <w:rFonts w:hint="default"/>
                      <w:b/>
                      <w:bCs/>
                      <w:color w:val="auto"/>
                      <w:sz w:val="21"/>
                      <w:szCs w:val="21"/>
                      <w:u w:val="none"/>
                    </w:rPr>
                    <w:t>声源控制措施</w:t>
                  </w:r>
                </w:p>
              </w:tc>
              <w:tc>
                <w:tcPr>
                  <w:tcW w:w="911" w:type="dxa"/>
                  <w:vMerge w:val="restart"/>
                  <w:noWrap w:val="0"/>
                  <w:vAlign w:val="center"/>
                </w:tcPr>
                <w:p w14:paraId="5F2512D6">
                  <w:pPr>
                    <w:pStyle w:val="42"/>
                    <w:keepNext w:val="0"/>
                    <w:keepLines w:val="0"/>
                    <w:suppressLineNumbers w:val="0"/>
                    <w:spacing w:before="0" w:beforeAutospacing="0" w:after="0" w:afterAutospacing="0"/>
                    <w:ind w:left="0" w:right="0"/>
                    <w:jc w:val="center"/>
                    <w:rPr>
                      <w:rFonts w:hint="eastAsia"/>
                      <w:b/>
                      <w:bCs/>
                      <w:color w:val="auto"/>
                      <w:sz w:val="21"/>
                      <w:szCs w:val="21"/>
                      <w:u w:val="none"/>
                    </w:rPr>
                  </w:pPr>
                  <w:r>
                    <w:rPr>
                      <w:rFonts w:hint="eastAsia"/>
                      <w:b/>
                      <w:bCs/>
                      <w:color w:val="auto"/>
                      <w:sz w:val="21"/>
                      <w:szCs w:val="21"/>
                      <w:u w:val="none"/>
                    </w:rPr>
                    <w:t>持续时间</w:t>
                  </w:r>
                </w:p>
              </w:tc>
            </w:tr>
            <w:tr w14:paraId="6DE2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 w:type="dxa"/>
                  <w:vMerge w:val="continue"/>
                  <w:noWrap w:val="0"/>
                  <w:vAlign w:val="center"/>
                </w:tcPr>
                <w:p w14:paraId="0B656912">
                  <w:pPr>
                    <w:pStyle w:val="42"/>
                    <w:keepNext w:val="0"/>
                    <w:keepLines w:val="0"/>
                    <w:suppressLineNumbers w:val="0"/>
                    <w:spacing w:before="0" w:beforeAutospacing="0" w:after="0" w:afterAutospacing="0"/>
                    <w:ind w:left="0" w:right="0"/>
                    <w:jc w:val="center"/>
                    <w:rPr>
                      <w:rFonts w:hint="default"/>
                      <w:color w:val="auto"/>
                      <w:sz w:val="21"/>
                      <w:szCs w:val="21"/>
                      <w:u w:val="none"/>
                    </w:rPr>
                  </w:pPr>
                </w:p>
              </w:tc>
              <w:tc>
                <w:tcPr>
                  <w:tcW w:w="1149" w:type="dxa"/>
                  <w:vMerge w:val="continue"/>
                  <w:noWrap w:val="0"/>
                  <w:vAlign w:val="center"/>
                </w:tcPr>
                <w:p w14:paraId="62244AF6">
                  <w:pPr>
                    <w:pStyle w:val="42"/>
                    <w:keepNext w:val="0"/>
                    <w:keepLines w:val="0"/>
                    <w:suppressLineNumbers w:val="0"/>
                    <w:spacing w:before="0" w:beforeAutospacing="0" w:after="0" w:afterAutospacing="0"/>
                    <w:ind w:left="0" w:right="0"/>
                    <w:jc w:val="center"/>
                    <w:rPr>
                      <w:rFonts w:hint="default"/>
                      <w:color w:val="auto"/>
                      <w:sz w:val="21"/>
                      <w:szCs w:val="21"/>
                      <w:u w:val="none"/>
                    </w:rPr>
                  </w:pPr>
                </w:p>
              </w:tc>
              <w:tc>
                <w:tcPr>
                  <w:tcW w:w="615" w:type="dxa"/>
                  <w:noWrap w:val="0"/>
                  <w:vAlign w:val="center"/>
                </w:tcPr>
                <w:p w14:paraId="38637DF3">
                  <w:pPr>
                    <w:pStyle w:val="42"/>
                    <w:keepNext w:val="0"/>
                    <w:keepLines w:val="0"/>
                    <w:suppressLineNumbers w:val="0"/>
                    <w:spacing w:before="0" w:beforeAutospacing="0" w:after="0" w:afterAutospacing="0"/>
                    <w:ind w:left="0" w:right="0"/>
                    <w:jc w:val="center"/>
                    <w:rPr>
                      <w:rFonts w:hint="default"/>
                      <w:color w:val="auto"/>
                      <w:sz w:val="21"/>
                      <w:szCs w:val="21"/>
                      <w:u w:val="none"/>
                    </w:rPr>
                  </w:pPr>
                  <w:r>
                    <w:rPr>
                      <w:rFonts w:hint="default"/>
                      <w:color w:val="auto"/>
                      <w:sz w:val="21"/>
                      <w:szCs w:val="21"/>
                      <w:u w:val="none"/>
                    </w:rPr>
                    <w:t>X</w:t>
                  </w:r>
                </w:p>
              </w:tc>
              <w:tc>
                <w:tcPr>
                  <w:tcW w:w="585" w:type="dxa"/>
                  <w:noWrap w:val="0"/>
                  <w:vAlign w:val="center"/>
                </w:tcPr>
                <w:p w14:paraId="09AB6D61">
                  <w:pPr>
                    <w:pStyle w:val="42"/>
                    <w:keepNext w:val="0"/>
                    <w:keepLines w:val="0"/>
                    <w:suppressLineNumbers w:val="0"/>
                    <w:spacing w:before="0" w:beforeAutospacing="0" w:after="0" w:afterAutospacing="0"/>
                    <w:ind w:left="0" w:right="0"/>
                    <w:jc w:val="center"/>
                    <w:rPr>
                      <w:rFonts w:hint="default"/>
                      <w:color w:val="auto"/>
                      <w:sz w:val="21"/>
                      <w:szCs w:val="21"/>
                      <w:u w:val="none"/>
                    </w:rPr>
                  </w:pPr>
                  <w:r>
                    <w:rPr>
                      <w:rFonts w:hint="default"/>
                      <w:color w:val="auto"/>
                      <w:sz w:val="21"/>
                      <w:szCs w:val="21"/>
                      <w:u w:val="none"/>
                    </w:rPr>
                    <w:t>Y</w:t>
                  </w:r>
                </w:p>
              </w:tc>
              <w:tc>
                <w:tcPr>
                  <w:tcW w:w="399" w:type="dxa"/>
                  <w:noWrap w:val="0"/>
                  <w:vAlign w:val="center"/>
                </w:tcPr>
                <w:p w14:paraId="7213538A">
                  <w:pPr>
                    <w:pStyle w:val="42"/>
                    <w:keepNext w:val="0"/>
                    <w:keepLines w:val="0"/>
                    <w:suppressLineNumbers w:val="0"/>
                    <w:spacing w:before="0" w:beforeAutospacing="0" w:after="0" w:afterAutospacing="0"/>
                    <w:ind w:left="0" w:right="0"/>
                    <w:jc w:val="center"/>
                    <w:rPr>
                      <w:rFonts w:hint="default"/>
                      <w:color w:val="auto"/>
                      <w:sz w:val="21"/>
                      <w:szCs w:val="21"/>
                      <w:u w:val="none"/>
                    </w:rPr>
                  </w:pPr>
                  <w:r>
                    <w:rPr>
                      <w:rFonts w:hint="default"/>
                      <w:color w:val="auto"/>
                      <w:sz w:val="21"/>
                      <w:szCs w:val="21"/>
                      <w:u w:val="none"/>
                    </w:rPr>
                    <w:t>Z</w:t>
                  </w:r>
                </w:p>
              </w:tc>
              <w:tc>
                <w:tcPr>
                  <w:tcW w:w="1806" w:type="dxa"/>
                  <w:noWrap w:val="0"/>
                  <w:vAlign w:val="center"/>
                </w:tcPr>
                <w:p w14:paraId="4F6527D0">
                  <w:pPr>
                    <w:pStyle w:val="42"/>
                    <w:keepNext w:val="0"/>
                    <w:keepLines w:val="0"/>
                    <w:suppressLineNumbers w:val="0"/>
                    <w:spacing w:before="0" w:beforeAutospacing="0" w:after="0" w:afterAutospacing="0"/>
                    <w:ind w:left="0" w:right="0"/>
                    <w:jc w:val="center"/>
                    <w:rPr>
                      <w:rFonts w:hint="default"/>
                      <w:color w:val="auto"/>
                      <w:sz w:val="21"/>
                      <w:szCs w:val="21"/>
                      <w:u w:val="none"/>
                    </w:rPr>
                  </w:pPr>
                  <w:r>
                    <w:rPr>
                      <w:rFonts w:hint="default"/>
                      <w:color w:val="auto"/>
                      <w:sz w:val="21"/>
                      <w:szCs w:val="21"/>
                      <w:u w:val="none"/>
                    </w:rPr>
                    <w:t>（声压级/距声源距离）/（dB(A)/m）</w:t>
                  </w:r>
                </w:p>
              </w:tc>
              <w:tc>
                <w:tcPr>
                  <w:tcW w:w="1440" w:type="dxa"/>
                  <w:noWrap w:val="0"/>
                  <w:vAlign w:val="center"/>
                </w:tcPr>
                <w:p w14:paraId="5CDCDF0A">
                  <w:pPr>
                    <w:pStyle w:val="42"/>
                    <w:keepNext w:val="0"/>
                    <w:keepLines w:val="0"/>
                    <w:suppressLineNumbers w:val="0"/>
                    <w:spacing w:before="0" w:beforeAutospacing="0" w:after="0" w:afterAutospacing="0"/>
                    <w:ind w:left="0" w:right="0"/>
                    <w:jc w:val="center"/>
                    <w:rPr>
                      <w:rFonts w:hint="default"/>
                      <w:color w:val="auto"/>
                      <w:sz w:val="21"/>
                      <w:szCs w:val="21"/>
                      <w:u w:val="none"/>
                    </w:rPr>
                  </w:pPr>
                  <w:r>
                    <w:rPr>
                      <w:rFonts w:hint="default"/>
                      <w:color w:val="auto"/>
                      <w:sz w:val="21"/>
                      <w:szCs w:val="21"/>
                      <w:u w:val="none"/>
                    </w:rPr>
                    <w:t>声功率级/dB(A)</w:t>
                  </w:r>
                </w:p>
              </w:tc>
              <w:tc>
                <w:tcPr>
                  <w:tcW w:w="975" w:type="dxa"/>
                  <w:vMerge w:val="continue"/>
                  <w:noWrap w:val="0"/>
                  <w:vAlign w:val="center"/>
                </w:tcPr>
                <w:p w14:paraId="51C9BFA9">
                  <w:pPr>
                    <w:pStyle w:val="42"/>
                    <w:keepNext w:val="0"/>
                    <w:keepLines w:val="0"/>
                    <w:suppressLineNumbers w:val="0"/>
                    <w:spacing w:before="0" w:beforeAutospacing="0" w:after="0" w:afterAutospacing="0"/>
                    <w:ind w:left="0" w:right="0"/>
                    <w:jc w:val="center"/>
                    <w:rPr>
                      <w:rFonts w:hint="default"/>
                      <w:color w:val="auto"/>
                      <w:sz w:val="21"/>
                      <w:szCs w:val="21"/>
                      <w:u w:val="none"/>
                    </w:rPr>
                  </w:pPr>
                </w:p>
              </w:tc>
              <w:tc>
                <w:tcPr>
                  <w:tcW w:w="911" w:type="dxa"/>
                  <w:vMerge w:val="continue"/>
                  <w:noWrap w:val="0"/>
                  <w:vAlign w:val="center"/>
                </w:tcPr>
                <w:p w14:paraId="16CEC633">
                  <w:pPr>
                    <w:pStyle w:val="42"/>
                    <w:keepNext w:val="0"/>
                    <w:keepLines w:val="0"/>
                    <w:suppressLineNumbers w:val="0"/>
                    <w:spacing w:before="0" w:beforeAutospacing="0" w:after="0" w:afterAutospacing="0"/>
                    <w:ind w:left="0" w:right="0"/>
                    <w:jc w:val="center"/>
                    <w:rPr>
                      <w:rFonts w:hint="default"/>
                      <w:color w:val="auto"/>
                      <w:sz w:val="21"/>
                      <w:szCs w:val="21"/>
                      <w:u w:val="none"/>
                    </w:rPr>
                  </w:pPr>
                </w:p>
              </w:tc>
            </w:tr>
            <w:tr w14:paraId="0649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 w:type="dxa"/>
                  <w:noWrap w:val="0"/>
                  <w:vAlign w:val="center"/>
                </w:tcPr>
                <w:p w14:paraId="1AD5F0B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1</w:t>
                  </w:r>
                </w:p>
              </w:tc>
              <w:tc>
                <w:tcPr>
                  <w:tcW w:w="1149" w:type="dxa"/>
                  <w:noWrap w:val="0"/>
                  <w:vAlign w:val="center"/>
                </w:tcPr>
                <w:p w14:paraId="2F9F1D4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风机</w:t>
                  </w:r>
                </w:p>
              </w:tc>
              <w:tc>
                <w:tcPr>
                  <w:tcW w:w="615" w:type="dxa"/>
                  <w:noWrap w:val="0"/>
                  <w:vAlign w:val="center"/>
                </w:tcPr>
                <w:p w14:paraId="4656A98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12</w:t>
                  </w:r>
                </w:p>
              </w:tc>
              <w:tc>
                <w:tcPr>
                  <w:tcW w:w="585" w:type="dxa"/>
                  <w:noWrap w:val="0"/>
                  <w:vAlign w:val="center"/>
                </w:tcPr>
                <w:p w14:paraId="746BE6D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10</w:t>
                  </w:r>
                </w:p>
              </w:tc>
              <w:tc>
                <w:tcPr>
                  <w:tcW w:w="399" w:type="dxa"/>
                  <w:noWrap w:val="0"/>
                  <w:vAlign w:val="center"/>
                </w:tcPr>
                <w:p w14:paraId="0EAB719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1</w:t>
                  </w:r>
                </w:p>
              </w:tc>
              <w:tc>
                <w:tcPr>
                  <w:tcW w:w="1806" w:type="dxa"/>
                  <w:noWrap w:val="0"/>
                  <w:vAlign w:val="center"/>
                </w:tcPr>
                <w:p w14:paraId="213D3A8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w:t>
                  </w:r>
                </w:p>
              </w:tc>
              <w:tc>
                <w:tcPr>
                  <w:tcW w:w="1440" w:type="dxa"/>
                  <w:noWrap w:val="0"/>
                  <w:vAlign w:val="center"/>
                </w:tcPr>
                <w:p w14:paraId="1D856B1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85</w:t>
                  </w:r>
                </w:p>
              </w:tc>
              <w:tc>
                <w:tcPr>
                  <w:tcW w:w="975" w:type="dxa"/>
                  <w:noWrap w:val="0"/>
                  <w:vAlign w:val="center"/>
                </w:tcPr>
                <w:p w14:paraId="165D7F0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隔声</w:t>
                  </w:r>
                </w:p>
              </w:tc>
              <w:tc>
                <w:tcPr>
                  <w:tcW w:w="911" w:type="dxa"/>
                  <w:noWrap w:val="0"/>
                  <w:vAlign w:val="center"/>
                </w:tcPr>
                <w:p w14:paraId="2CC8565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24</w:t>
                  </w:r>
                  <w:r>
                    <w:rPr>
                      <w:rFonts w:hint="eastAsia" w:ascii="Times New Roman" w:hAnsi="Times New Roman" w:eastAsia="宋体" w:cs="Times New Roman"/>
                      <w:bCs/>
                      <w:color w:val="auto"/>
                      <w:sz w:val="21"/>
                      <w:szCs w:val="21"/>
                      <w:u w:val="none"/>
                      <w:lang w:val="en-US" w:eastAsia="zh-CN"/>
                    </w:rPr>
                    <w:t>h</w:t>
                  </w:r>
                </w:p>
              </w:tc>
            </w:tr>
          </w:tbl>
          <w:p w14:paraId="081A81B5">
            <w:pPr>
              <w:keepNext w:val="0"/>
              <w:keepLines w:val="0"/>
              <w:suppressLineNumbers w:val="0"/>
              <w:bidi w:val="0"/>
              <w:spacing w:before="0" w:beforeAutospacing="0" w:after="0" w:afterAutospacing="0"/>
              <w:ind w:left="0" w:right="0"/>
              <w:rPr>
                <w:rFonts w:hint="default"/>
                <w:lang w:val="en-US" w:eastAsia="zh-CN"/>
              </w:rPr>
            </w:pPr>
          </w:p>
        </w:tc>
      </w:tr>
    </w:tbl>
    <w:p w14:paraId="5BDFD614">
      <w:p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51911B3"/>
    <w:p w14:paraId="0722DEC9"/>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2752"/>
      </w:tblGrid>
      <w:tr w14:paraId="4473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tcPr>
          <w:p w14:paraId="6E8C5451">
            <w:pPr>
              <w:keepNext w:val="0"/>
              <w:keepLines w:val="0"/>
              <w:suppressLineNumbers w:val="0"/>
              <w:spacing w:before="0" w:beforeAutospacing="0" w:after="0" w:afterAutospacing="0"/>
              <w:ind w:left="0" w:right="0"/>
              <w:rPr>
                <w:rFonts w:hint="default"/>
                <w:color w:val="auto"/>
                <w:vertAlign w:val="baseline"/>
              </w:rPr>
            </w:pPr>
          </w:p>
        </w:tc>
        <w:tc>
          <w:tcPr>
            <w:tcW w:w="12752" w:type="dxa"/>
          </w:tcPr>
          <w:p w14:paraId="5E8B8BCD">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color w:val="auto"/>
                <w:kern w:val="2"/>
                <w:sz w:val="21"/>
                <w:szCs w:val="21"/>
                <w:u w:val="none" w:color="auto"/>
                <w:lang w:val="en-US" w:eastAsia="zh-CN" w:bidi="ar-SA"/>
              </w:rPr>
            </w:pPr>
            <w:r>
              <w:rPr>
                <w:rFonts w:hint="default" w:ascii="Times New Roman" w:hAnsi="Times New Roman" w:eastAsia="宋体" w:cs="Times New Roman"/>
                <w:b/>
                <w:color w:val="auto"/>
                <w:kern w:val="2"/>
                <w:sz w:val="21"/>
                <w:szCs w:val="21"/>
                <w:u w:val="none" w:color="auto"/>
                <w:lang w:val="en-US" w:eastAsia="zh-CN" w:bidi="ar-SA"/>
              </w:rPr>
              <w:t>表</w:t>
            </w:r>
            <w:r>
              <w:rPr>
                <w:rFonts w:hint="eastAsia" w:ascii="Times New Roman" w:hAnsi="Times New Roman" w:eastAsia="宋体" w:cs="Times New Roman"/>
                <w:b/>
                <w:color w:val="auto"/>
                <w:kern w:val="2"/>
                <w:sz w:val="21"/>
                <w:szCs w:val="21"/>
                <w:u w:val="none" w:color="auto"/>
                <w:lang w:val="en-US" w:eastAsia="zh-CN" w:bidi="ar-SA"/>
              </w:rPr>
              <w:t>4</w:t>
            </w:r>
            <w:r>
              <w:rPr>
                <w:rFonts w:hint="eastAsia" w:cs="Times New Roman"/>
                <w:b/>
                <w:color w:val="auto"/>
                <w:kern w:val="2"/>
                <w:sz w:val="21"/>
                <w:szCs w:val="21"/>
                <w:u w:val="none" w:color="auto"/>
                <w:lang w:val="en-US" w:eastAsia="zh-CN" w:bidi="ar-SA"/>
              </w:rPr>
              <w:t xml:space="preserve">-13  </w:t>
            </w:r>
            <w:r>
              <w:rPr>
                <w:rFonts w:hint="eastAsia" w:ascii="Times New Roman" w:hAnsi="Times New Roman" w:eastAsia="宋体" w:cs="Times New Roman"/>
                <w:b/>
                <w:color w:val="auto"/>
                <w:kern w:val="2"/>
                <w:sz w:val="21"/>
                <w:szCs w:val="21"/>
                <w:u w:val="none" w:color="auto"/>
                <w:lang w:val="en-US" w:eastAsia="zh-CN" w:bidi="ar-SA"/>
              </w:rPr>
              <w:t xml:space="preserve"> </w:t>
            </w:r>
            <w:r>
              <w:rPr>
                <w:rFonts w:hint="default" w:ascii="Times New Roman" w:hAnsi="Times New Roman" w:eastAsia="宋体" w:cs="Times New Roman"/>
                <w:b/>
                <w:color w:val="auto"/>
                <w:kern w:val="2"/>
                <w:sz w:val="21"/>
                <w:szCs w:val="21"/>
                <w:u w:val="none" w:color="auto"/>
                <w:lang w:val="en-US" w:eastAsia="zh-CN" w:bidi="ar-SA"/>
              </w:rPr>
              <w:t>工业企业噪声源强</w:t>
            </w:r>
          </w:p>
          <w:tbl>
            <w:tblPr>
              <w:tblStyle w:val="33"/>
              <w:tblW w:w="12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0"/>
              <w:gridCol w:w="1485"/>
              <w:gridCol w:w="765"/>
              <w:gridCol w:w="330"/>
              <w:gridCol w:w="600"/>
              <w:gridCol w:w="630"/>
              <w:gridCol w:w="375"/>
              <w:gridCol w:w="540"/>
              <w:gridCol w:w="570"/>
              <w:gridCol w:w="525"/>
              <w:gridCol w:w="585"/>
              <w:gridCol w:w="495"/>
              <w:gridCol w:w="480"/>
              <w:gridCol w:w="435"/>
              <w:gridCol w:w="670"/>
              <w:gridCol w:w="484"/>
              <w:gridCol w:w="586"/>
              <w:gridCol w:w="435"/>
              <w:gridCol w:w="480"/>
              <w:gridCol w:w="405"/>
              <w:gridCol w:w="450"/>
              <w:gridCol w:w="681"/>
            </w:tblGrid>
            <w:tr w14:paraId="6AAE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7" w:hRule="atLeast"/>
                <w:jc w:val="center"/>
              </w:trPr>
              <w:tc>
                <w:tcPr>
                  <w:tcW w:w="530" w:type="dxa"/>
                  <w:vMerge w:val="restart"/>
                  <w:shd w:val="clear" w:color="auto" w:fill="auto"/>
                  <w:vAlign w:val="center"/>
                </w:tcPr>
                <w:p w14:paraId="68B70B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序号</w:t>
                  </w:r>
                </w:p>
              </w:tc>
              <w:tc>
                <w:tcPr>
                  <w:tcW w:w="1485" w:type="dxa"/>
                  <w:vMerge w:val="restart"/>
                  <w:shd w:val="clear" w:color="auto" w:fill="auto"/>
                  <w:vAlign w:val="center"/>
                </w:tcPr>
                <w:p w14:paraId="125576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声源名称</w:t>
                  </w:r>
                </w:p>
              </w:tc>
              <w:tc>
                <w:tcPr>
                  <w:tcW w:w="765" w:type="dxa"/>
                  <w:vMerge w:val="restart"/>
                  <w:shd w:val="clear" w:color="auto" w:fill="auto"/>
                  <w:vAlign w:val="center"/>
                </w:tcPr>
                <w:p w14:paraId="7B8011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声源源强</w:t>
                  </w:r>
                </w:p>
                <w:p w14:paraId="671B3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功率级/dB(A)</w:t>
                  </w:r>
                </w:p>
              </w:tc>
              <w:tc>
                <w:tcPr>
                  <w:tcW w:w="330" w:type="dxa"/>
                  <w:vMerge w:val="restart"/>
                  <w:shd w:val="clear" w:color="auto" w:fill="auto"/>
                  <w:vAlign w:val="center"/>
                </w:tcPr>
                <w:p w14:paraId="218E20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措施</w:t>
                  </w:r>
                </w:p>
              </w:tc>
              <w:tc>
                <w:tcPr>
                  <w:tcW w:w="1605" w:type="dxa"/>
                  <w:gridSpan w:val="3"/>
                  <w:shd w:val="clear" w:color="auto" w:fill="auto"/>
                  <w:vAlign w:val="center"/>
                </w:tcPr>
                <w:p w14:paraId="188A3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lang w:val="en-US" w:eastAsia="zh-CN"/>
                    </w:rPr>
                  </w:pPr>
                  <w:r>
                    <w:rPr>
                      <w:rFonts w:hint="eastAsia" w:ascii="Times New Roman" w:hAnsi="Times New Roman" w:eastAsia="宋体" w:cs="Times New Roman"/>
                      <w:i w:val="0"/>
                      <w:iCs w:val="0"/>
                      <w:color w:val="auto"/>
                      <w:kern w:val="0"/>
                      <w:sz w:val="18"/>
                      <w:szCs w:val="18"/>
                      <w:u w:val="none"/>
                      <w:lang w:val="en-US" w:eastAsia="zh-CN" w:bidi="ar"/>
                    </w:rPr>
                    <w:t>空间相对位置m</w:t>
                  </w:r>
                </w:p>
              </w:tc>
              <w:tc>
                <w:tcPr>
                  <w:tcW w:w="2220" w:type="dxa"/>
                  <w:gridSpan w:val="4"/>
                  <w:shd w:val="clear" w:color="auto" w:fill="auto"/>
                  <w:vAlign w:val="center"/>
                </w:tcPr>
                <w:p w14:paraId="28E468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室内边界距离m</w:t>
                  </w:r>
                </w:p>
              </w:tc>
              <w:tc>
                <w:tcPr>
                  <w:tcW w:w="2080" w:type="dxa"/>
                  <w:gridSpan w:val="4"/>
                  <w:shd w:val="clear" w:color="auto" w:fill="auto"/>
                  <w:vAlign w:val="center"/>
                </w:tcPr>
                <w:p w14:paraId="5BAB4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室内边界声级dB(A)</w:t>
                  </w:r>
                </w:p>
              </w:tc>
              <w:tc>
                <w:tcPr>
                  <w:tcW w:w="484" w:type="dxa"/>
                  <w:vMerge w:val="restart"/>
                  <w:shd w:val="clear" w:color="auto" w:fill="auto"/>
                  <w:vAlign w:val="center"/>
                </w:tcPr>
                <w:p w14:paraId="07C411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持续时间</w:t>
                  </w:r>
                </w:p>
              </w:tc>
              <w:tc>
                <w:tcPr>
                  <w:tcW w:w="586" w:type="dxa"/>
                  <w:vMerge w:val="restart"/>
                  <w:shd w:val="clear" w:color="auto" w:fill="auto"/>
                  <w:vAlign w:val="center"/>
                </w:tcPr>
                <w:p w14:paraId="71697E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olor w:val="auto"/>
                      <w:sz w:val="18"/>
                      <w:szCs w:val="18"/>
                    </w:rPr>
                    <w:t>筑物插入损失 /dB(A)</w:t>
                  </w:r>
                </w:p>
              </w:tc>
              <w:tc>
                <w:tcPr>
                  <w:tcW w:w="2451" w:type="dxa"/>
                  <w:gridSpan w:val="5"/>
                  <w:shd w:val="clear" w:color="auto" w:fill="auto"/>
                  <w:vAlign w:val="center"/>
                </w:tcPr>
                <w:p w14:paraId="251C1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建筑物外噪声</w:t>
                  </w:r>
                </w:p>
              </w:tc>
            </w:tr>
            <w:tr w14:paraId="7F2F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30" w:type="dxa"/>
                  <w:vMerge w:val="continue"/>
                  <w:shd w:val="clear" w:color="auto" w:fill="auto"/>
                  <w:vAlign w:val="center"/>
                </w:tcPr>
                <w:p w14:paraId="18607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1485" w:type="dxa"/>
                  <w:vMerge w:val="continue"/>
                  <w:shd w:val="clear" w:color="auto" w:fill="auto"/>
                  <w:vAlign w:val="center"/>
                </w:tcPr>
                <w:p w14:paraId="4D121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765" w:type="dxa"/>
                  <w:vMerge w:val="continue"/>
                  <w:shd w:val="clear" w:color="auto" w:fill="auto"/>
                  <w:vAlign w:val="center"/>
                </w:tcPr>
                <w:p w14:paraId="21748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330" w:type="dxa"/>
                  <w:vMerge w:val="continue"/>
                  <w:shd w:val="clear" w:color="auto" w:fill="auto"/>
                  <w:vAlign w:val="center"/>
                </w:tcPr>
                <w:p w14:paraId="52CFD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600" w:type="dxa"/>
                  <w:vMerge w:val="restart"/>
                  <w:shd w:val="clear" w:color="auto" w:fill="auto"/>
                  <w:vAlign w:val="center"/>
                </w:tcPr>
                <w:p w14:paraId="62FA3E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eastAsia="宋体"/>
                      <w:color w:val="auto"/>
                      <w:sz w:val="18"/>
                      <w:szCs w:val="18"/>
                      <w:lang w:val="en-US" w:eastAsia="zh-CN"/>
                    </w:rPr>
                  </w:pPr>
                  <w:r>
                    <w:rPr>
                      <w:rFonts w:hint="eastAsia"/>
                      <w:color w:val="auto"/>
                      <w:sz w:val="18"/>
                      <w:szCs w:val="18"/>
                      <w:lang w:val="en-US" w:eastAsia="zh-CN"/>
                    </w:rPr>
                    <w:t>X</w:t>
                  </w:r>
                </w:p>
              </w:tc>
              <w:tc>
                <w:tcPr>
                  <w:tcW w:w="630" w:type="dxa"/>
                  <w:vMerge w:val="restart"/>
                  <w:shd w:val="clear" w:color="auto" w:fill="auto"/>
                  <w:vAlign w:val="center"/>
                </w:tcPr>
                <w:p w14:paraId="3321B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eastAsia="宋体"/>
                      <w:color w:val="auto"/>
                      <w:sz w:val="18"/>
                      <w:szCs w:val="18"/>
                      <w:lang w:val="en-US" w:eastAsia="zh-CN"/>
                    </w:rPr>
                  </w:pPr>
                  <w:r>
                    <w:rPr>
                      <w:rFonts w:hint="eastAsia"/>
                      <w:color w:val="auto"/>
                      <w:sz w:val="18"/>
                      <w:szCs w:val="18"/>
                      <w:lang w:val="en-US" w:eastAsia="zh-CN"/>
                    </w:rPr>
                    <w:t>Y</w:t>
                  </w:r>
                </w:p>
              </w:tc>
              <w:tc>
                <w:tcPr>
                  <w:tcW w:w="375" w:type="dxa"/>
                  <w:vMerge w:val="restart"/>
                  <w:shd w:val="clear" w:color="auto" w:fill="auto"/>
                  <w:vAlign w:val="center"/>
                </w:tcPr>
                <w:p w14:paraId="1F3A1B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eastAsia="宋体"/>
                      <w:color w:val="auto"/>
                      <w:sz w:val="18"/>
                      <w:szCs w:val="18"/>
                      <w:lang w:val="en-US" w:eastAsia="zh-CN"/>
                    </w:rPr>
                  </w:pPr>
                  <w:r>
                    <w:rPr>
                      <w:rFonts w:hint="eastAsia"/>
                      <w:color w:val="auto"/>
                      <w:sz w:val="18"/>
                      <w:szCs w:val="18"/>
                      <w:lang w:val="en-US" w:eastAsia="zh-CN"/>
                    </w:rPr>
                    <w:t>Z</w:t>
                  </w:r>
                </w:p>
              </w:tc>
              <w:tc>
                <w:tcPr>
                  <w:tcW w:w="540" w:type="dxa"/>
                  <w:vMerge w:val="restart"/>
                  <w:shd w:val="clear" w:color="auto" w:fill="auto"/>
                  <w:vAlign w:val="center"/>
                </w:tcPr>
                <w:p w14:paraId="7A19A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eastAsia="宋体"/>
                      <w:color w:val="auto"/>
                      <w:sz w:val="18"/>
                      <w:szCs w:val="18"/>
                      <w:lang w:val="en-US" w:eastAsia="zh-CN"/>
                    </w:rPr>
                  </w:pPr>
                  <w:r>
                    <w:rPr>
                      <w:rFonts w:hint="eastAsia"/>
                      <w:color w:val="auto"/>
                      <w:sz w:val="18"/>
                      <w:szCs w:val="18"/>
                      <w:lang w:val="en-US" w:eastAsia="zh-CN"/>
                    </w:rPr>
                    <w:t>东</w:t>
                  </w:r>
                </w:p>
              </w:tc>
              <w:tc>
                <w:tcPr>
                  <w:tcW w:w="570" w:type="dxa"/>
                  <w:vMerge w:val="restart"/>
                  <w:shd w:val="clear" w:color="auto" w:fill="auto"/>
                  <w:vAlign w:val="center"/>
                </w:tcPr>
                <w:p w14:paraId="54E9E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eastAsia="宋体"/>
                      <w:color w:val="auto"/>
                      <w:sz w:val="18"/>
                      <w:szCs w:val="18"/>
                      <w:lang w:val="en-US" w:eastAsia="zh-CN"/>
                    </w:rPr>
                  </w:pPr>
                  <w:r>
                    <w:rPr>
                      <w:rFonts w:hint="eastAsia"/>
                      <w:color w:val="auto"/>
                      <w:sz w:val="18"/>
                      <w:szCs w:val="18"/>
                      <w:lang w:val="en-US" w:eastAsia="zh-CN"/>
                    </w:rPr>
                    <w:t>南</w:t>
                  </w:r>
                </w:p>
              </w:tc>
              <w:tc>
                <w:tcPr>
                  <w:tcW w:w="525" w:type="dxa"/>
                  <w:vMerge w:val="restart"/>
                  <w:shd w:val="clear" w:color="auto" w:fill="auto"/>
                  <w:vAlign w:val="center"/>
                </w:tcPr>
                <w:p w14:paraId="2A477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eastAsia="宋体"/>
                      <w:color w:val="auto"/>
                      <w:sz w:val="18"/>
                      <w:szCs w:val="18"/>
                      <w:lang w:val="en-US" w:eastAsia="zh-CN"/>
                    </w:rPr>
                  </w:pPr>
                  <w:r>
                    <w:rPr>
                      <w:rFonts w:hint="eastAsia"/>
                      <w:color w:val="auto"/>
                      <w:sz w:val="18"/>
                      <w:szCs w:val="18"/>
                      <w:lang w:val="en-US" w:eastAsia="zh-CN"/>
                    </w:rPr>
                    <w:t>西</w:t>
                  </w:r>
                </w:p>
              </w:tc>
              <w:tc>
                <w:tcPr>
                  <w:tcW w:w="585" w:type="dxa"/>
                  <w:vMerge w:val="restart"/>
                  <w:shd w:val="clear" w:color="auto" w:fill="auto"/>
                  <w:vAlign w:val="center"/>
                </w:tcPr>
                <w:p w14:paraId="143FC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eastAsia="宋体"/>
                      <w:color w:val="auto"/>
                      <w:sz w:val="18"/>
                      <w:szCs w:val="18"/>
                      <w:lang w:val="en-US" w:eastAsia="zh-CN"/>
                    </w:rPr>
                  </w:pPr>
                  <w:r>
                    <w:rPr>
                      <w:rFonts w:hint="eastAsia"/>
                      <w:color w:val="auto"/>
                      <w:sz w:val="18"/>
                      <w:szCs w:val="18"/>
                      <w:lang w:val="en-US" w:eastAsia="zh-CN"/>
                    </w:rPr>
                    <w:t>北</w:t>
                  </w:r>
                </w:p>
              </w:tc>
              <w:tc>
                <w:tcPr>
                  <w:tcW w:w="495" w:type="dxa"/>
                  <w:vMerge w:val="restart"/>
                  <w:shd w:val="clear" w:color="auto" w:fill="auto"/>
                  <w:vAlign w:val="center"/>
                </w:tcPr>
                <w:p w14:paraId="308EB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东</w:t>
                  </w:r>
                </w:p>
              </w:tc>
              <w:tc>
                <w:tcPr>
                  <w:tcW w:w="480" w:type="dxa"/>
                  <w:vMerge w:val="restart"/>
                  <w:shd w:val="clear" w:color="auto" w:fill="auto"/>
                  <w:vAlign w:val="center"/>
                </w:tcPr>
                <w:p w14:paraId="600CB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南</w:t>
                  </w:r>
                </w:p>
              </w:tc>
              <w:tc>
                <w:tcPr>
                  <w:tcW w:w="435" w:type="dxa"/>
                  <w:vMerge w:val="restart"/>
                  <w:shd w:val="clear" w:color="auto" w:fill="auto"/>
                  <w:vAlign w:val="center"/>
                </w:tcPr>
                <w:p w14:paraId="56687E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西</w:t>
                  </w:r>
                </w:p>
              </w:tc>
              <w:tc>
                <w:tcPr>
                  <w:tcW w:w="670" w:type="dxa"/>
                  <w:vMerge w:val="restart"/>
                  <w:shd w:val="clear" w:color="auto" w:fill="auto"/>
                  <w:vAlign w:val="center"/>
                </w:tcPr>
                <w:p w14:paraId="10640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北</w:t>
                  </w:r>
                </w:p>
              </w:tc>
              <w:tc>
                <w:tcPr>
                  <w:tcW w:w="484" w:type="dxa"/>
                  <w:vMerge w:val="continue"/>
                  <w:shd w:val="clear" w:color="auto" w:fill="auto"/>
                  <w:vAlign w:val="center"/>
                </w:tcPr>
                <w:p w14:paraId="6716C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586" w:type="dxa"/>
                  <w:vMerge w:val="continue"/>
                  <w:shd w:val="clear" w:color="auto" w:fill="auto"/>
                  <w:vAlign w:val="center"/>
                </w:tcPr>
                <w:p w14:paraId="79531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1770" w:type="dxa"/>
                  <w:gridSpan w:val="4"/>
                  <w:shd w:val="clear" w:color="auto" w:fill="auto"/>
                  <w:vAlign w:val="center"/>
                </w:tcPr>
                <w:p w14:paraId="6A46A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r>
                    <w:rPr>
                      <w:rFonts w:hint="eastAsia"/>
                      <w:color w:val="auto"/>
                      <w:sz w:val="18"/>
                      <w:szCs w:val="18"/>
                    </w:rPr>
                    <w:t>声压级/dB(A)</w:t>
                  </w:r>
                </w:p>
              </w:tc>
              <w:tc>
                <w:tcPr>
                  <w:tcW w:w="681" w:type="dxa"/>
                  <w:vMerge w:val="restart"/>
                  <w:shd w:val="clear" w:color="auto" w:fill="auto"/>
                  <w:vAlign w:val="center"/>
                </w:tcPr>
                <w:p w14:paraId="713C55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r>
                    <w:rPr>
                      <w:rFonts w:hint="eastAsia"/>
                      <w:color w:val="auto"/>
                      <w:sz w:val="18"/>
                      <w:szCs w:val="18"/>
                    </w:rPr>
                    <w:t>建筑物外距离m</w:t>
                  </w:r>
                </w:p>
              </w:tc>
            </w:tr>
            <w:tr w14:paraId="4FD6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530" w:type="dxa"/>
                  <w:vMerge w:val="continue"/>
                  <w:shd w:val="clear" w:color="auto" w:fill="auto"/>
                  <w:vAlign w:val="center"/>
                </w:tcPr>
                <w:p w14:paraId="4502B3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1485" w:type="dxa"/>
                  <w:vMerge w:val="continue"/>
                  <w:shd w:val="clear" w:color="auto" w:fill="auto"/>
                  <w:vAlign w:val="center"/>
                </w:tcPr>
                <w:p w14:paraId="61E52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765" w:type="dxa"/>
                  <w:vMerge w:val="continue"/>
                  <w:shd w:val="clear" w:color="auto" w:fill="auto"/>
                  <w:vAlign w:val="center"/>
                </w:tcPr>
                <w:p w14:paraId="4C2F5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330" w:type="dxa"/>
                  <w:vMerge w:val="continue"/>
                  <w:shd w:val="clear" w:color="auto" w:fill="auto"/>
                  <w:vAlign w:val="center"/>
                </w:tcPr>
                <w:p w14:paraId="57A098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600" w:type="dxa"/>
                  <w:vMerge w:val="continue"/>
                  <w:shd w:val="clear" w:color="auto" w:fill="auto"/>
                  <w:vAlign w:val="center"/>
                </w:tcPr>
                <w:p w14:paraId="3F6A5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630" w:type="dxa"/>
                  <w:vMerge w:val="continue"/>
                  <w:shd w:val="clear" w:color="auto" w:fill="auto"/>
                  <w:vAlign w:val="center"/>
                </w:tcPr>
                <w:p w14:paraId="7C6C73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375" w:type="dxa"/>
                  <w:vMerge w:val="continue"/>
                  <w:shd w:val="clear" w:color="auto" w:fill="auto"/>
                  <w:vAlign w:val="center"/>
                </w:tcPr>
                <w:p w14:paraId="15ED9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540" w:type="dxa"/>
                  <w:vMerge w:val="continue"/>
                  <w:shd w:val="clear" w:color="auto" w:fill="auto"/>
                  <w:vAlign w:val="center"/>
                </w:tcPr>
                <w:p w14:paraId="499693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570" w:type="dxa"/>
                  <w:vMerge w:val="continue"/>
                  <w:shd w:val="clear" w:color="auto" w:fill="auto"/>
                  <w:vAlign w:val="center"/>
                </w:tcPr>
                <w:p w14:paraId="0C2CE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525" w:type="dxa"/>
                  <w:vMerge w:val="continue"/>
                  <w:shd w:val="clear" w:color="auto" w:fill="auto"/>
                  <w:vAlign w:val="center"/>
                </w:tcPr>
                <w:p w14:paraId="731A3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585" w:type="dxa"/>
                  <w:vMerge w:val="continue"/>
                  <w:shd w:val="clear" w:color="auto" w:fill="auto"/>
                  <w:vAlign w:val="center"/>
                </w:tcPr>
                <w:p w14:paraId="72E611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495" w:type="dxa"/>
                  <w:vMerge w:val="continue"/>
                  <w:shd w:val="clear" w:color="auto" w:fill="auto"/>
                  <w:vAlign w:val="center"/>
                </w:tcPr>
                <w:p w14:paraId="6E6C4D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480" w:type="dxa"/>
                  <w:vMerge w:val="continue"/>
                  <w:shd w:val="clear" w:color="auto" w:fill="auto"/>
                  <w:vAlign w:val="center"/>
                </w:tcPr>
                <w:p w14:paraId="31141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435" w:type="dxa"/>
                  <w:vMerge w:val="continue"/>
                  <w:shd w:val="clear" w:color="auto" w:fill="auto"/>
                  <w:vAlign w:val="center"/>
                </w:tcPr>
                <w:p w14:paraId="3A7DF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670" w:type="dxa"/>
                  <w:vMerge w:val="continue"/>
                  <w:shd w:val="clear" w:color="auto" w:fill="auto"/>
                  <w:vAlign w:val="center"/>
                </w:tcPr>
                <w:p w14:paraId="5D4D2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484" w:type="dxa"/>
                  <w:vMerge w:val="continue"/>
                  <w:shd w:val="clear" w:color="auto" w:fill="auto"/>
                  <w:vAlign w:val="center"/>
                </w:tcPr>
                <w:p w14:paraId="2C270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586" w:type="dxa"/>
                  <w:vMerge w:val="continue"/>
                  <w:shd w:val="clear" w:color="auto" w:fill="auto"/>
                  <w:vAlign w:val="center"/>
                </w:tcPr>
                <w:p w14:paraId="56470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c>
                <w:tcPr>
                  <w:tcW w:w="435" w:type="dxa"/>
                  <w:shd w:val="clear" w:color="auto" w:fill="auto"/>
                  <w:vAlign w:val="center"/>
                </w:tcPr>
                <w:p w14:paraId="2F53D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r>
                    <w:rPr>
                      <w:rFonts w:hint="eastAsia"/>
                      <w:color w:val="auto"/>
                      <w:sz w:val="18"/>
                      <w:szCs w:val="18"/>
                      <w:lang w:val="en-US" w:eastAsia="zh-CN"/>
                    </w:rPr>
                    <w:t>东</w:t>
                  </w:r>
                </w:p>
              </w:tc>
              <w:tc>
                <w:tcPr>
                  <w:tcW w:w="480" w:type="dxa"/>
                  <w:shd w:val="clear" w:color="auto" w:fill="auto"/>
                  <w:vAlign w:val="center"/>
                </w:tcPr>
                <w:p w14:paraId="35740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r>
                    <w:rPr>
                      <w:rFonts w:hint="eastAsia"/>
                      <w:color w:val="auto"/>
                      <w:sz w:val="18"/>
                      <w:szCs w:val="18"/>
                      <w:lang w:val="en-US" w:eastAsia="zh-CN"/>
                    </w:rPr>
                    <w:t>南</w:t>
                  </w:r>
                </w:p>
              </w:tc>
              <w:tc>
                <w:tcPr>
                  <w:tcW w:w="405" w:type="dxa"/>
                  <w:shd w:val="clear" w:color="auto" w:fill="auto"/>
                  <w:vAlign w:val="center"/>
                </w:tcPr>
                <w:p w14:paraId="58D05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r>
                    <w:rPr>
                      <w:rFonts w:hint="eastAsia"/>
                      <w:color w:val="auto"/>
                      <w:sz w:val="18"/>
                      <w:szCs w:val="18"/>
                      <w:lang w:val="en-US" w:eastAsia="zh-CN"/>
                    </w:rPr>
                    <w:t>西</w:t>
                  </w:r>
                </w:p>
              </w:tc>
              <w:tc>
                <w:tcPr>
                  <w:tcW w:w="450" w:type="dxa"/>
                  <w:shd w:val="clear" w:color="auto" w:fill="auto"/>
                  <w:vAlign w:val="center"/>
                </w:tcPr>
                <w:p w14:paraId="6CFCA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r>
                    <w:rPr>
                      <w:rFonts w:hint="eastAsia"/>
                      <w:color w:val="auto"/>
                      <w:sz w:val="18"/>
                      <w:szCs w:val="18"/>
                      <w:lang w:val="en-US" w:eastAsia="zh-CN"/>
                    </w:rPr>
                    <w:t>北</w:t>
                  </w:r>
                </w:p>
              </w:tc>
              <w:tc>
                <w:tcPr>
                  <w:tcW w:w="681" w:type="dxa"/>
                  <w:vMerge w:val="continue"/>
                  <w:shd w:val="clear" w:color="auto" w:fill="auto"/>
                  <w:vAlign w:val="center"/>
                </w:tcPr>
                <w:p w14:paraId="01FAA1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olor w:val="auto"/>
                      <w:sz w:val="18"/>
                      <w:szCs w:val="18"/>
                    </w:rPr>
                  </w:pPr>
                </w:p>
              </w:tc>
            </w:tr>
            <w:tr w14:paraId="35C7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D450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485" w:type="dxa"/>
                  <w:shd w:val="clear" w:color="auto" w:fill="auto"/>
                  <w:vAlign w:val="center"/>
                </w:tcPr>
                <w:p w14:paraId="267A0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1#高频处理机</w:t>
                  </w:r>
                </w:p>
              </w:tc>
              <w:tc>
                <w:tcPr>
                  <w:tcW w:w="765" w:type="dxa"/>
                  <w:shd w:val="clear" w:color="auto" w:fill="auto"/>
                  <w:vAlign w:val="center"/>
                </w:tcPr>
                <w:p w14:paraId="5668E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restart"/>
                  <w:shd w:val="clear" w:color="auto" w:fill="auto"/>
                  <w:vAlign w:val="center"/>
                </w:tcPr>
                <w:p w14:paraId="19714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减振、隔声</w:t>
                  </w:r>
                </w:p>
              </w:tc>
              <w:tc>
                <w:tcPr>
                  <w:tcW w:w="600" w:type="dxa"/>
                  <w:shd w:val="clear" w:color="auto" w:fill="auto"/>
                  <w:vAlign w:val="center"/>
                </w:tcPr>
                <w:p w14:paraId="23BA0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630" w:type="dxa"/>
                  <w:shd w:val="clear" w:color="auto" w:fill="auto"/>
                  <w:vAlign w:val="center"/>
                </w:tcPr>
                <w:p w14:paraId="009C2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w:t>
                  </w:r>
                </w:p>
              </w:tc>
              <w:tc>
                <w:tcPr>
                  <w:tcW w:w="375" w:type="dxa"/>
                  <w:shd w:val="clear" w:color="auto" w:fill="auto"/>
                  <w:vAlign w:val="center"/>
                </w:tcPr>
                <w:p w14:paraId="788DC3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CB075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70" w:type="dxa"/>
                  <w:shd w:val="clear" w:color="auto" w:fill="auto"/>
                  <w:vAlign w:val="center"/>
                </w:tcPr>
                <w:p w14:paraId="12813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158 </w:t>
                  </w:r>
                </w:p>
              </w:tc>
              <w:tc>
                <w:tcPr>
                  <w:tcW w:w="525" w:type="dxa"/>
                  <w:shd w:val="clear" w:color="auto" w:fill="auto"/>
                  <w:vAlign w:val="center"/>
                </w:tcPr>
                <w:p w14:paraId="38D2AF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585" w:type="dxa"/>
                  <w:shd w:val="clear" w:color="auto" w:fill="auto"/>
                  <w:vAlign w:val="center"/>
                </w:tcPr>
                <w:p w14:paraId="460023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 </w:t>
                  </w:r>
                </w:p>
              </w:tc>
              <w:tc>
                <w:tcPr>
                  <w:tcW w:w="495" w:type="dxa"/>
                  <w:shd w:val="clear" w:color="auto" w:fill="auto"/>
                  <w:vAlign w:val="center"/>
                </w:tcPr>
                <w:p w14:paraId="51A1E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4B7F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F94F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1CF199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restart"/>
                  <w:shd w:val="clear" w:color="auto" w:fill="auto"/>
                  <w:vAlign w:val="center"/>
                </w:tcPr>
                <w:p w14:paraId="13365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lang w:val="en-US"/>
                    </w:rPr>
                  </w:pPr>
                  <w:r>
                    <w:rPr>
                      <w:rFonts w:hint="eastAsia" w:cs="Times New Roman"/>
                      <w:i w:val="0"/>
                      <w:iCs w:val="0"/>
                      <w:color w:val="auto"/>
                      <w:kern w:val="0"/>
                      <w:sz w:val="18"/>
                      <w:szCs w:val="18"/>
                      <w:u w:val="none"/>
                      <w:lang w:val="en-US" w:eastAsia="zh-CN" w:bidi="ar"/>
                    </w:rPr>
                    <w:t>24</w:t>
                  </w:r>
                </w:p>
              </w:tc>
              <w:tc>
                <w:tcPr>
                  <w:tcW w:w="586" w:type="dxa"/>
                  <w:shd w:val="clear" w:color="auto" w:fill="auto"/>
                  <w:vAlign w:val="center"/>
                </w:tcPr>
                <w:p w14:paraId="502C6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0E610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7BD3D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AC51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46158F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5C90C9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35A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B3F6B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485" w:type="dxa"/>
                  <w:shd w:val="clear" w:color="auto" w:fill="auto"/>
                  <w:noWrap/>
                  <w:vAlign w:val="center"/>
                </w:tcPr>
                <w:p w14:paraId="0B606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2#高频处理机</w:t>
                  </w:r>
                </w:p>
              </w:tc>
              <w:tc>
                <w:tcPr>
                  <w:tcW w:w="765" w:type="dxa"/>
                  <w:shd w:val="clear" w:color="auto" w:fill="auto"/>
                  <w:vAlign w:val="center"/>
                </w:tcPr>
                <w:p w14:paraId="39F7F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7B748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7AE9D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630" w:type="dxa"/>
                  <w:shd w:val="clear" w:color="auto" w:fill="auto"/>
                  <w:vAlign w:val="center"/>
                </w:tcPr>
                <w:p w14:paraId="385DED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75" w:type="dxa"/>
                  <w:shd w:val="clear" w:color="auto" w:fill="auto"/>
                  <w:vAlign w:val="center"/>
                </w:tcPr>
                <w:p w14:paraId="1E223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B9D80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70" w:type="dxa"/>
                  <w:shd w:val="clear" w:color="auto" w:fill="auto"/>
                  <w:vAlign w:val="center"/>
                </w:tcPr>
                <w:p w14:paraId="02F968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135 </w:t>
                  </w:r>
                </w:p>
              </w:tc>
              <w:tc>
                <w:tcPr>
                  <w:tcW w:w="525" w:type="dxa"/>
                  <w:shd w:val="clear" w:color="auto" w:fill="auto"/>
                  <w:vAlign w:val="center"/>
                </w:tcPr>
                <w:p w14:paraId="64DB4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585" w:type="dxa"/>
                  <w:shd w:val="clear" w:color="auto" w:fill="auto"/>
                  <w:vAlign w:val="center"/>
                </w:tcPr>
                <w:p w14:paraId="304D69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95" w:type="dxa"/>
                  <w:shd w:val="clear" w:color="auto" w:fill="auto"/>
                  <w:vAlign w:val="center"/>
                </w:tcPr>
                <w:p w14:paraId="42CA0D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EA3BE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98802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5A9A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1816B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6FB4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9388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8C3A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7DD2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99071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11396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C56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150E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485" w:type="dxa"/>
                  <w:shd w:val="clear" w:color="auto" w:fill="auto"/>
                  <w:vAlign w:val="center"/>
                </w:tcPr>
                <w:p w14:paraId="7BD65A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3#高频处理机</w:t>
                  </w:r>
                </w:p>
              </w:tc>
              <w:tc>
                <w:tcPr>
                  <w:tcW w:w="765" w:type="dxa"/>
                  <w:shd w:val="clear" w:color="auto" w:fill="auto"/>
                  <w:vAlign w:val="center"/>
                </w:tcPr>
                <w:p w14:paraId="799C6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7E07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BF54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5373A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p>
              </w:tc>
              <w:tc>
                <w:tcPr>
                  <w:tcW w:w="375" w:type="dxa"/>
                  <w:shd w:val="clear" w:color="auto" w:fill="auto"/>
                  <w:vAlign w:val="center"/>
                </w:tcPr>
                <w:p w14:paraId="5D4B8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C6346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6D318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155 </w:t>
                  </w:r>
                </w:p>
              </w:tc>
              <w:tc>
                <w:tcPr>
                  <w:tcW w:w="525" w:type="dxa"/>
                  <w:shd w:val="clear" w:color="auto" w:fill="auto"/>
                  <w:vAlign w:val="center"/>
                </w:tcPr>
                <w:p w14:paraId="3B2BB0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74B7C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495" w:type="dxa"/>
                  <w:shd w:val="clear" w:color="auto" w:fill="auto"/>
                  <w:vAlign w:val="center"/>
                </w:tcPr>
                <w:p w14:paraId="0188AD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366B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ABFA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1E69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484" w:type="dxa"/>
                  <w:vMerge w:val="continue"/>
                  <w:shd w:val="clear" w:color="auto" w:fill="auto"/>
                  <w:vAlign w:val="center"/>
                </w:tcPr>
                <w:p w14:paraId="5C13C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58BD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F7D2E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123AF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3D2B5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4781C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681" w:type="dxa"/>
                  <w:shd w:val="clear" w:color="auto" w:fill="auto"/>
                  <w:vAlign w:val="center"/>
                </w:tcPr>
                <w:p w14:paraId="2E0BB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92A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6D15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485" w:type="dxa"/>
                  <w:shd w:val="clear" w:color="auto" w:fill="auto"/>
                  <w:vAlign w:val="center"/>
                </w:tcPr>
                <w:p w14:paraId="6FFDE9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4#高频处理机</w:t>
                  </w:r>
                </w:p>
              </w:tc>
              <w:tc>
                <w:tcPr>
                  <w:tcW w:w="765" w:type="dxa"/>
                  <w:shd w:val="clear" w:color="auto" w:fill="auto"/>
                  <w:vAlign w:val="center"/>
                </w:tcPr>
                <w:p w14:paraId="60DC5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2011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60DDF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cs="Times New Roman"/>
                      <w:i w:val="0"/>
                      <w:iCs w:val="0"/>
                      <w:color w:val="auto"/>
                      <w:kern w:val="0"/>
                      <w:sz w:val="18"/>
                      <w:szCs w:val="18"/>
                      <w:u w:val="none"/>
                      <w:lang w:val="en-US" w:eastAsia="zh-CN" w:bidi="ar"/>
                    </w:rPr>
                    <w:t>4</w:t>
                  </w:r>
                </w:p>
              </w:tc>
              <w:tc>
                <w:tcPr>
                  <w:tcW w:w="630" w:type="dxa"/>
                  <w:shd w:val="clear" w:color="auto" w:fill="auto"/>
                  <w:vAlign w:val="center"/>
                </w:tcPr>
                <w:p w14:paraId="0C1D5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75" w:type="dxa"/>
                  <w:shd w:val="clear" w:color="auto" w:fill="auto"/>
                  <w:vAlign w:val="center"/>
                </w:tcPr>
                <w:p w14:paraId="068BD2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AF9A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28B8E3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135 </w:t>
                  </w:r>
                </w:p>
              </w:tc>
              <w:tc>
                <w:tcPr>
                  <w:tcW w:w="525" w:type="dxa"/>
                  <w:shd w:val="clear" w:color="auto" w:fill="auto"/>
                  <w:vAlign w:val="center"/>
                </w:tcPr>
                <w:p w14:paraId="04830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35AB7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95" w:type="dxa"/>
                  <w:shd w:val="clear" w:color="auto" w:fill="auto"/>
                  <w:vAlign w:val="center"/>
                </w:tcPr>
                <w:p w14:paraId="503B0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4BFD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03402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A856C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7BBDA3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98CF1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6696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9553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EA0C5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A418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2ABDE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984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5FBF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u w:val="none"/>
                      <w:lang w:val="en-US" w:eastAsia="zh-CN" w:bidi="ar-SA"/>
                    </w:rPr>
                  </w:pPr>
                  <w:r>
                    <w:rPr>
                      <w:rFonts w:hint="eastAsia" w:ascii="宋体" w:hAnsi="宋体" w:cs="宋体"/>
                      <w:i w:val="0"/>
                      <w:iCs w:val="0"/>
                      <w:color w:val="auto"/>
                      <w:kern w:val="2"/>
                      <w:sz w:val="18"/>
                      <w:szCs w:val="18"/>
                      <w:u w:val="none"/>
                      <w:lang w:val="en-US" w:eastAsia="zh-CN" w:bidi="ar-SA"/>
                    </w:rPr>
                    <w:t>5</w:t>
                  </w:r>
                </w:p>
              </w:tc>
              <w:tc>
                <w:tcPr>
                  <w:tcW w:w="1485" w:type="dxa"/>
                  <w:shd w:val="clear" w:color="auto" w:fill="auto"/>
                  <w:vAlign w:val="center"/>
                </w:tcPr>
                <w:p w14:paraId="5C6BED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1#校直机</w:t>
                  </w:r>
                </w:p>
              </w:tc>
              <w:tc>
                <w:tcPr>
                  <w:tcW w:w="765" w:type="dxa"/>
                  <w:shd w:val="clear" w:color="auto" w:fill="auto"/>
                  <w:vAlign w:val="center"/>
                </w:tcPr>
                <w:p w14:paraId="6F958C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330" w:type="dxa"/>
                  <w:vMerge w:val="continue"/>
                  <w:shd w:val="clear" w:color="auto" w:fill="auto"/>
                  <w:vAlign w:val="center"/>
                </w:tcPr>
                <w:p w14:paraId="44BF50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C38FA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630" w:type="dxa"/>
                  <w:shd w:val="clear" w:color="auto" w:fill="auto"/>
                  <w:vAlign w:val="center"/>
                </w:tcPr>
                <w:p w14:paraId="3F8861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78</w:t>
                  </w:r>
                </w:p>
              </w:tc>
              <w:tc>
                <w:tcPr>
                  <w:tcW w:w="375" w:type="dxa"/>
                  <w:shd w:val="clear" w:color="auto" w:fill="auto"/>
                  <w:vAlign w:val="center"/>
                </w:tcPr>
                <w:p w14:paraId="424578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9AAB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70" w:type="dxa"/>
                  <w:shd w:val="clear" w:color="auto" w:fill="auto"/>
                  <w:vAlign w:val="center"/>
                </w:tcPr>
                <w:p w14:paraId="23EEE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163 </w:t>
                  </w:r>
                </w:p>
              </w:tc>
              <w:tc>
                <w:tcPr>
                  <w:tcW w:w="525" w:type="dxa"/>
                  <w:shd w:val="clear" w:color="auto" w:fill="auto"/>
                  <w:vAlign w:val="center"/>
                </w:tcPr>
                <w:p w14:paraId="4B032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585" w:type="dxa"/>
                  <w:shd w:val="clear" w:color="auto" w:fill="auto"/>
                  <w:vAlign w:val="center"/>
                </w:tcPr>
                <w:p w14:paraId="3107E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495" w:type="dxa"/>
                  <w:shd w:val="clear" w:color="auto" w:fill="auto"/>
                  <w:vAlign w:val="center"/>
                </w:tcPr>
                <w:p w14:paraId="735D9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80" w:type="dxa"/>
                  <w:shd w:val="clear" w:color="auto" w:fill="auto"/>
                  <w:vAlign w:val="center"/>
                </w:tcPr>
                <w:p w14:paraId="608A06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35" w:type="dxa"/>
                  <w:shd w:val="clear" w:color="auto" w:fill="auto"/>
                  <w:vAlign w:val="center"/>
                </w:tcPr>
                <w:p w14:paraId="18917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70" w:type="dxa"/>
                  <w:shd w:val="clear" w:color="auto" w:fill="auto"/>
                  <w:vAlign w:val="center"/>
                </w:tcPr>
                <w:p w14:paraId="1008B1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0BDBF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E034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DAFF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80" w:type="dxa"/>
                  <w:shd w:val="clear" w:color="auto" w:fill="auto"/>
                  <w:vAlign w:val="center"/>
                </w:tcPr>
                <w:p w14:paraId="35BDA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05" w:type="dxa"/>
                  <w:shd w:val="clear" w:color="auto" w:fill="auto"/>
                  <w:vAlign w:val="center"/>
                </w:tcPr>
                <w:p w14:paraId="073DB9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23 </w:t>
                  </w:r>
                </w:p>
              </w:tc>
              <w:tc>
                <w:tcPr>
                  <w:tcW w:w="450" w:type="dxa"/>
                  <w:shd w:val="clear" w:color="auto" w:fill="auto"/>
                  <w:vAlign w:val="center"/>
                </w:tcPr>
                <w:p w14:paraId="12EE0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EF4C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975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906BC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u w:val="none"/>
                      <w:lang w:val="en-US" w:eastAsia="zh-CN" w:bidi="ar-SA"/>
                    </w:rPr>
                  </w:pPr>
                  <w:r>
                    <w:rPr>
                      <w:rFonts w:hint="eastAsia" w:ascii="宋体" w:hAnsi="宋体" w:cs="宋体"/>
                      <w:i w:val="0"/>
                      <w:iCs w:val="0"/>
                      <w:color w:val="auto"/>
                      <w:kern w:val="2"/>
                      <w:sz w:val="18"/>
                      <w:szCs w:val="18"/>
                      <w:u w:val="none"/>
                      <w:lang w:val="en-US" w:eastAsia="zh-CN" w:bidi="ar-SA"/>
                    </w:rPr>
                    <w:t>6</w:t>
                  </w:r>
                </w:p>
              </w:tc>
              <w:tc>
                <w:tcPr>
                  <w:tcW w:w="1485" w:type="dxa"/>
                  <w:shd w:val="clear" w:color="auto" w:fill="auto"/>
                  <w:vAlign w:val="center"/>
                </w:tcPr>
                <w:p w14:paraId="71A0E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2#校直机</w:t>
                  </w:r>
                </w:p>
              </w:tc>
              <w:tc>
                <w:tcPr>
                  <w:tcW w:w="765" w:type="dxa"/>
                  <w:shd w:val="clear" w:color="auto" w:fill="auto"/>
                  <w:vAlign w:val="center"/>
                </w:tcPr>
                <w:p w14:paraId="582F0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330" w:type="dxa"/>
                  <w:vMerge w:val="continue"/>
                  <w:shd w:val="clear" w:color="auto" w:fill="auto"/>
                  <w:vAlign w:val="center"/>
                </w:tcPr>
                <w:p w14:paraId="6CBDD8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0127F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630" w:type="dxa"/>
                  <w:shd w:val="clear" w:color="auto" w:fill="auto"/>
                  <w:vAlign w:val="center"/>
                </w:tcPr>
                <w:p w14:paraId="3C27F8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w:t>
                  </w:r>
                </w:p>
              </w:tc>
              <w:tc>
                <w:tcPr>
                  <w:tcW w:w="375" w:type="dxa"/>
                  <w:shd w:val="clear" w:color="auto" w:fill="auto"/>
                  <w:vAlign w:val="center"/>
                </w:tcPr>
                <w:p w14:paraId="53B45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527D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70" w:type="dxa"/>
                  <w:shd w:val="clear" w:color="auto" w:fill="auto"/>
                  <w:vAlign w:val="center"/>
                </w:tcPr>
                <w:p w14:paraId="1CAF8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160 </w:t>
                  </w:r>
                </w:p>
              </w:tc>
              <w:tc>
                <w:tcPr>
                  <w:tcW w:w="525" w:type="dxa"/>
                  <w:shd w:val="clear" w:color="auto" w:fill="auto"/>
                  <w:vAlign w:val="center"/>
                </w:tcPr>
                <w:p w14:paraId="06662E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585" w:type="dxa"/>
                  <w:shd w:val="clear" w:color="auto" w:fill="auto"/>
                  <w:vAlign w:val="center"/>
                </w:tcPr>
                <w:p w14:paraId="394C6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 </w:t>
                  </w:r>
                </w:p>
              </w:tc>
              <w:tc>
                <w:tcPr>
                  <w:tcW w:w="495" w:type="dxa"/>
                  <w:shd w:val="clear" w:color="auto" w:fill="auto"/>
                  <w:vAlign w:val="center"/>
                </w:tcPr>
                <w:p w14:paraId="2FECA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80" w:type="dxa"/>
                  <w:shd w:val="clear" w:color="auto" w:fill="auto"/>
                  <w:vAlign w:val="center"/>
                </w:tcPr>
                <w:p w14:paraId="3BDD3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35" w:type="dxa"/>
                  <w:shd w:val="clear" w:color="auto" w:fill="auto"/>
                  <w:vAlign w:val="center"/>
                </w:tcPr>
                <w:p w14:paraId="06391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70" w:type="dxa"/>
                  <w:shd w:val="clear" w:color="auto" w:fill="auto"/>
                  <w:vAlign w:val="center"/>
                </w:tcPr>
                <w:p w14:paraId="02BB78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4" w:type="dxa"/>
                  <w:vMerge w:val="continue"/>
                  <w:shd w:val="clear" w:color="auto" w:fill="auto"/>
                  <w:vAlign w:val="center"/>
                </w:tcPr>
                <w:p w14:paraId="40AF5B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919F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94656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80" w:type="dxa"/>
                  <w:shd w:val="clear" w:color="auto" w:fill="auto"/>
                  <w:vAlign w:val="center"/>
                </w:tcPr>
                <w:p w14:paraId="5DB8A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05" w:type="dxa"/>
                  <w:shd w:val="clear" w:color="auto" w:fill="auto"/>
                  <w:vAlign w:val="center"/>
                </w:tcPr>
                <w:p w14:paraId="1DE6B9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23 </w:t>
                  </w:r>
                </w:p>
              </w:tc>
              <w:tc>
                <w:tcPr>
                  <w:tcW w:w="450" w:type="dxa"/>
                  <w:shd w:val="clear" w:color="auto" w:fill="auto"/>
                  <w:vAlign w:val="center"/>
                </w:tcPr>
                <w:p w14:paraId="1A6F9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681" w:type="dxa"/>
                  <w:shd w:val="clear" w:color="auto" w:fill="auto"/>
                  <w:vAlign w:val="center"/>
                </w:tcPr>
                <w:p w14:paraId="145C9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C3A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3C61A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w:t>
                  </w:r>
                </w:p>
              </w:tc>
              <w:tc>
                <w:tcPr>
                  <w:tcW w:w="1485" w:type="dxa"/>
                  <w:shd w:val="clear" w:color="auto" w:fill="auto"/>
                  <w:vAlign w:val="center"/>
                </w:tcPr>
                <w:p w14:paraId="337C96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3#校直机</w:t>
                  </w:r>
                </w:p>
              </w:tc>
              <w:tc>
                <w:tcPr>
                  <w:tcW w:w="765" w:type="dxa"/>
                  <w:shd w:val="clear" w:color="auto" w:fill="auto"/>
                  <w:vAlign w:val="center"/>
                </w:tcPr>
                <w:p w14:paraId="5E61D0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330" w:type="dxa"/>
                  <w:vMerge w:val="continue"/>
                  <w:shd w:val="clear" w:color="auto" w:fill="auto"/>
                  <w:vAlign w:val="center"/>
                </w:tcPr>
                <w:p w14:paraId="4509F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24AC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630" w:type="dxa"/>
                  <w:shd w:val="clear" w:color="auto" w:fill="auto"/>
                  <w:vAlign w:val="center"/>
                </w:tcPr>
                <w:p w14:paraId="5FF08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w:t>
                  </w:r>
                </w:p>
              </w:tc>
              <w:tc>
                <w:tcPr>
                  <w:tcW w:w="375" w:type="dxa"/>
                  <w:shd w:val="clear" w:color="auto" w:fill="auto"/>
                  <w:vAlign w:val="center"/>
                </w:tcPr>
                <w:p w14:paraId="2AE5BE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FD03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70" w:type="dxa"/>
                  <w:shd w:val="clear" w:color="auto" w:fill="auto"/>
                  <w:vAlign w:val="center"/>
                </w:tcPr>
                <w:p w14:paraId="55A86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157 </w:t>
                  </w:r>
                </w:p>
              </w:tc>
              <w:tc>
                <w:tcPr>
                  <w:tcW w:w="525" w:type="dxa"/>
                  <w:shd w:val="clear" w:color="auto" w:fill="auto"/>
                  <w:vAlign w:val="center"/>
                </w:tcPr>
                <w:p w14:paraId="14FF2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585" w:type="dxa"/>
                  <w:shd w:val="clear" w:color="auto" w:fill="auto"/>
                  <w:vAlign w:val="center"/>
                </w:tcPr>
                <w:p w14:paraId="17966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495" w:type="dxa"/>
                  <w:shd w:val="clear" w:color="auto" w:fill="auto"/>
                  <w:vAlign w:val="center"/>
                </w:tcPr>
                <w:p w14:paraId="4C5D0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80" w:type="dxa"/>
                  <w:shd w:val="clear" w:color="auto" w:fill="auto"/>
                  <w:vAlign w:val="center"/>
                </w:tcPr>
                <w:p w14:paraId="20512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35" w:type="dxa"/>
                  <w:shd w:val="clear" w:color="auto" w:fill="auto"/>
                  <w:vAlign w:val="center"/>
                </w:tcPr>
                <w:p w14:paraId="21A77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70" w:type="dxa"/>
                  <w:shd w:val="clear" w:color="auto" w:fill="auto"/>
                  <w:vAlign w:val="center"/>
                </w:tcPr>
                <w:p w14:paraId="51E926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33F4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720A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0258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80" w:type="dxa"/>
                  <w:shd w:val="clear" w:color="auto" w:fill="auto"/>
                  <w:vAlign w:val="center"/>
                </w:tcPr>
                <w:p w14:paraId="7FA9DD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05" w:type="dxa"/>
                  <w:shd w:val="clear" w:color="auto" w:fill="auto"/>
                  <w:vAlign w:val="center"/>
                </w:tcPr>
                <w:p w14:paraId="2889A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23 </w:t>
                  </w:r>
                </w:p>
              </w:tc>
              <w:tc>
                <w:tcPr>
                  <w:tcW w:w="450" w:type="dxa"/>
                  <w:shd w:val="clear" w:color="auto" w:fill="auto"/>
                  <w:vAlign w:val="center"/>
                </w:tcPr>
                <w:p w14:paraId="2871A1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4F5F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01E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3971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w:t>
                  </w:r>
                </w:p>
              </w:tc>
              <w:tc>
                <w:tcPr>
                  <w:tcW w:w="1485" w:type="dxa"/>
                  <w:shd w:val="clear" w:color="auto" w:fill="auto"/>
                  <w:vAlign w:val="center"/>
                </w:tcPr>
                <w:p w14:paraId="7C310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4#校直机</w:t>
                  </w:r>
                </w:p>
              </w:tc>
              <w:tc>
                <w:tcPr>
                  <w:tcW w:w="765" w:type="dxa"/>
                  <w:shd w:val="clear" w:color="auto" w:fill="auto"/>
                  <w:vAlign w:val="center"/>
                </w:tcPr>
                <w:p w14:paraId="594DC2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330" w:type="dxa"/>
                  <w:vMerge w:val="continue"/>
                  <w:shd w:val="clear" w:color="auto" w:fill="auto"/>
                  <w:vAlign w:val="center"/>
                </w:tcPr>
                <w:p w14:paraId="664301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51C8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630" w:type="dxa"/>
                  <w:shd w:val="clear" w:color="auto" w:fill="auto"/>
                  <w:vAlign w:val="center"/>
                </w:tcPr>
                <w:p w14:paraId="144E9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w:t>
                  </w:r>
                </w:p>
              </w:tc>
              <w:tc>
                <w:tcPr>
                  <w:tcW w:w="375" w:type="dxa"/>
                  <w:shd w:val="clear" w:color="auto" w:fill="auto"/>
                  <w:vAlign w:val="center"/>
                </w:tcPr>
                <w:p w14:paraId="665F4F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E2D61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70" w:type="dxa"/>
                  <w:shd w:val="clear" w:color="auto" w:fill="auto"/>
                  <w:vAlign w:val="center"/>
                </w:tcPr>
                <w:p w14:paraId="78EC0C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154 </w:t>
                  </w:r>
                </w:p>
              </w:tc>
              <w:tc>
                <w:tcPr>
                  <w:tcW w:w="525" w:type="dxa"/>
                  <w:shd w:val="clear" w:color="auto" w:fill="auto"/>
                  <w:vAlign w:val="center"/>
                </w:tcPr>
                <w:p w14:paraId="2091F4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585" w:type="dxa"/>
                  <w:shd w:val="clear" w:color="auto" w:fill="auto"/>
                  <w:vAlign w:val="center"/>
                </w:tcPr>
                <w:p w14:paraId="022020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 </w:t>
                  </w:r>
                </w:p>
              </w:tc>
              <w:tc>
                <w:tcPr>
                  <w:tcW w:w="495" w:type="dxa"/>
                  <w:shd w:val="clear" w:color="auto" w:fill="auto"/>
                  <w:vAlign w:val="center"/>
                </w:tcPr>
                <w:p w14:paraId="0A610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80" w:type="dxa"/>
                  <w:shd w:val="clear" w:color="auto" w:fill="auto"/>
                  <w:vAlign w:val="center"/>
                </w:tcPr>
                <w:p w14:paraId="73B08C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35" w:type="dxa"/>
                  <w:shd w:val="clear" w:color="auto" w:fill="auto"/>
                  <w:vAlign w:val="center"/>
                </w:tcPr>
                <w:p w14:paraId="1BD82A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70" w:type="dxa"/>
                  <w:shd w:val="clear" w:color="auto" w:fill="auto"/>
                  <w:vAlign w:val="center"/>
                </w:tcPr>
                <w:p w14:paraId="7BBB2D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 </w:t>
                  </w:r>
                </w:p>
              </w:tc>
              <w:tc>
                <w:tcPr>
                  <w:tcW w:w="484" w:type="dxa"/>
                  <w:vMerge w:val="continue"/>
                  <w:shd w:val="clear" w:color="auto" w:fill="auto"/>
                  <w:vAlign w:val="center"/>
                </w:tcPr>
                <w:p w14:paraId="312E3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8EAF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AF40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80" w:type="dxa"/>
                  <w:shd w:val="clear" w:color="auto" w:fill="auto"/>
                  <w:vAlign w:val="center"/>
                </w:tcPr>
                <w:p w14:paraId="3DA9D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05" w:type="dxa"/>
                  <w:shd w:val="clear" w:color="auto" w:fill="auto"/>
                  <w:vAlign w:val="center"/>
                </w:tcPr>
                <w:p w14:paraId="0F82D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23 </w:t>
                  </w:r>
                </w:p>
              </w:tc>
              <w:tc>
                <w:tcPr>
                  <w:tcW w:w="450" w:type="dxa"/>
                  <w:shd w:val="clear" w:color="auto" w:fill="auto"/>
                  <w:vAlign w:val="center"/>
                </w:tcPr>
                <w:p w14:paraId="40B97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26 </w:t>
                  </w:r>
                </w:p>
              </w:tc>
              <w:tc>
                <w:tcPr>
                  <w:tcW w:w="681" w:type="dxa"/>
                  <w:shd w:val="clear" w:color="auto" w:fill="auto"/>
                  <w:vAlign w:val="center"/>
                </w:tcPr>
                <w:p w14:paraId="6E77A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756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DEDE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w:t>
                  </w:r>
                </w:p>
              </w:tc>
              <w:tc>
                <w:tcPr>
                  <w:tcW w:w="1485" w:type="dxa"/>
                  <w:shd w:val="clear" w:color="auto" w:fill="auto"/>
                  <w:vAlign w:val="center"/>
                </w:tcPr>
                <w:p w14:paraId="104DC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5#校直机</w:t>
                  </w:r>
                </w:p>
              </w:tc>
              <w:tc>
                <w:tcPr>
                  <w:tcW w:w="765" w:type="dxa"/>
                  <w:shd w:val="clear" w:color="auto" w:fill="auto"/>
                  <w:vAlign w:val="center"/>
                </w:tcPr>
                <w:p w14:paraId="4801E9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330" w:type="dxa"/>
                  <w:vMerge w:val="continue"/>
                  <w:shd w:val="clear" w:color="auto" w:fill="auto"/>
                  <w:vAlign w:val="center"/>
                </w:tcPr>
                <w:p w14:paraId="4DB7E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2258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630" w:type="dxa"/>
                  <w:shd w:val="clear" w:color="auto" w:fill="auto"/>
                  <w:vAlign w:val="center"/>
                </w:tcPr>
                <w:p w14:paraId="22EDC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66</w:t>
                  </w:r>
                </w:p>
              </w:tc>
              <w:tc>
                <w:tcPr>
                  <w:tcW w:w="375" w:type="dxa"/>
                  <w:shd w:val="clear" w:color="auto" w:fill="auto"/>
                  <w:vAlign w:val="center"/>
                </w:tcPr>
                <w:p w14:paraId="7909FE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C1562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70" w:type="dxa"/>
                  <w:shd w:val="clear" w:color="auto" w:fill="auto"/>
                  <w:vAlign w:val="center"/>
                </w:tcPr>
                <w:p w14:paraId="67F90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151 </w:t>
                  </w:r>
                </w:p>
              </w:tc>
              <w:tc>
                <w:tcPr>
                  <w:tcW w:w="525" w:type="dxa"/>
                  <w:shd w:val="clear" w:color="auto" w:fill="auto"/>
                  <w:vAlign w:val="center"/>
                </w:tcPr>
                <w:p w14:paraId="4D7FE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585" w:type="dxa"/>
                  <w:shd w:val="clear" w:color="auto" w:fill="auto"/>
                  <w:vAlign w:val="center"/>
                </w:tcPr>
                <w:p w14:paraId="2F70A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19 </w:t>
                  </w:r>
                </w:p>
              </w:tc>
              <w:tc>
                <w:tcPr>
                  <w:tcW w:w="495" w:type="dxa"/>
                  <w:shd w:val="clear" w:color="auto" w:fill="auto"/>
                  <w:vAlign w:val="center"/>
                </w:tcPr>
                <w:p w14:paraId="06AE0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80" w:type="dxa"/>
                  <w:shd w:val="clear" w:color="auto" w:fill="auto"/>
                  <w:vAlign w:val="center"/>
                </w:tcPr>
                <w:p w14:paraId="6830CE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35" w:type="dxa"/>
                  <w:shd w:val="clear" w:color="auto" w:fill="auto"/>
                  <w:vAlign w:val="center"/>
                </w:tcPr>
                <w:p w14:paraId="766AD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70" w:type="dxa"/>
                  <w:shd w:val="clear" w:color="auto" w:fill="auto"/>
                  <w:vAlign w:val="center"/>
                </w:tcPr>
                <w:p w14:paraId="1F7EF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484" w:type="dxa"/>
                  <w:vMerge w:val="continue"/>
                  <w:shd w:val="clear" w:color="auto" w:fill="auto"/>
                  <w:vAlign w:val="center"/>
                </w:tcPr>
                <w:p w14:paraId="4B5A67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53BE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C9BD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80" w:type="dxa"/>
                  <w:shd w:val="clear" w:color="auto" w:fill="auto"/>
                  <w:vAlign w:val="center"/>
                </w:tcPr>
                <w:p w14:paraId="0A6130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05" w:type="dxa"/>
                  <w:shd w:val="clear" w:color="auto" w:fill="auto"/>
                  <w:vAlign w:val="center"/>
                </w:tcPr>
                <w:p w14:paraId="395AF1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23 </w:t>
                  </w:r>
                </w:p>
              </w:tc>
              <w:tc>
                <w:tcPr>
                  <w:tcW w:w="450" w:type="dxa"/>
                  <w:shd w:val="clear" w:color="auto" w:fill="auto"/>
                  <w:vAlign w:val="center"/>
                </w:tcPr>
                <w:p w14:paraId="2E29D4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25 </w:t>
                  </w:r>
                </w:p>
              </w:tc>
              <w:tc>
                <w:tcPr>
                  <w:tcW w:w="681" w:type="dxa"/>
                  <w:shd w:val="clear" w:color="auto" w:fill="auto"/>
                  <w:vAlign w:val="center"/>
                </w:tcPr>
                <w:p w14:paraId="72392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E34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5FA7C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w:t>
                  </w:r>
                </w:p>
              </w:tc>
              <w:tc>
                <w:tcPr>
                  <w:tcW w:w="1485" w:type="dxa"/>
                  <w:shd w:val="clear" w:color="auto" w:fill="auto"/>
                  <w:vAlign w:val="center"/>
                </w:tcPr>
                <w:p w14:paraId="5B5B08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6#校直机</w:t>
                  </w:r>
                </w:p>
              </w:tc>
              <w:tc>
                <w:tcPr>
                  <w:tcW w:w="765" w:type="dxa"/>
                  <w:shd w:val="clear" w:color="auto" w:fill="auto"/>
                  <w:vAlign w:val="center"/>
                </w:tcPr>
                <w:p w14:paraId="54F37C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330" w:type="dxa"/>
                  <w:vMerge w:val="continue"/>
                  <w:shd w:val="clear" w:color="auto" w:fill="auto"/>
                  <w:vAlign w:val="center"/>
                </w:tcPr>
                <w:p w14:paraId="78425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4828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630" w:type="dxa"/>
                  <w:shd w:val="clear" w:color="auto" w:fill="auto"/>
                  <w:vAlign w:val="center"/>
                </w:tcPr>
                <w:p w14:paraId="43642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63</w:t>
                  </w:r>
                </w:p>
              </w:tc>
              <w:tc>
                <w:tcPr>
                  <w:tcW w:w="375" w:type="dxa"/>
                  <w:shd w:val="clear" w:color="auto" w:fill="auto"/>
                  <w:vAlign w:val="center"/>
                </w:tcPr>
                <w:p w14:paraId="589CC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6B0D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70" w:type="dxa"/>
                  <w:shd w:val="clear" w:color="auto" w:fill="auto"/>
                  <w:vAlign w:val="center"/>
                </w:tcPr>
                <w:p w14:paraId="44583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148 </w:t>
                  </w:r>
                </w:p>
              </w:tc>
              <w:tc>
                <w:tcPr>
                  <w:tcW w:w="525" w:type="dxa"/>
                  <w:shd w:val="clear" w:color="auto" w:fill="auto"/>
                  <w:vAlign w:val="center"/>
                </w:tcPr>
                <w:p w14:paraId="4D60F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585" w:type="dxa"/>
                  <w:shd w:val="clear" w:color="auto" w:fill="auto"/>
                  <w:vAlign w:val="center"/>
                </w:tcPr>
                <w:p w14:paraId="78CAAB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95" w:type="dxa"/>
                  <w:shd w:val="clear" w:color="auto" w:fill="auto"/>
                  <w:vAlign w:val="center"/>
                </w:tcPr>
                <w:p w14:paraId="64D2AE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80" w:type="dxa"/>
                  <w:shd w:val="clear" w:color="auto" w:fill="auto"/>
                  <w:vAlign w:val="center"/>
                </w:tcPr>
                <w:p w14:paraId="203D0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35" w:type="dxa"/>
                  <w:shd w:val="clear" w:color="auto" w:fill="auto"/>
                  <w:vAlign w:val="center"/>
                </w:tcPr>
                <w:p w14:paraId="070B3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70" w:type="dxa"/>
                  <w:shd w:val="clear" w:color="auto" w:fill="auto"/>
                  <w:vAlign w:val="center"/>
                </w:tcPr>
                <w:p w14:paraId="07DDC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484" w:type="dxa"/>
                  <w:vMerge w:val="continue"/>
                  <w:shd w:val="clear" w:color="auto" w:fill="auto"/>
                  <w:vAlign w:val="center"/>
                </w:tcPr>
                <w:p w14:paraId="735D4E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746D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435" w:type="dxa"/>
                  <w:shd w:val="clear" w:color="auto" w:fill="auto"/>
                  <w:vAlign w:val="center"/>
                </w:tcPr>
                <w:p w14:paraId="2611C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21 </w:t>
                  </w:r>
                </w:p>
              </w:tc>
              <w:tc>
                <w:tcPr>
                  <w:tcW w:w="480" w:type="dxa"/>
                  <w:shd w:val="clear" w:color="auto" w:fill="auto"/>
                  <w:vAlign w:val="center"/>
                </w:tcPr>
                <w:p w14:paraId="0C58E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21 </w:t>
                  </w:r>
                </w:p>
              </w:tc>
              <w:tc>
                <w:tcPr>
                  <w:tcW w:w="405" w:type="dxa"/>
                  <w:shd w:val="clear" w:color="auto" w:fill="auto"/>
                  <w:vAlign w:val="center"/>
                </w:tcPr>
                <w:p w14:paraId="63602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450" w:type="dxa"/>
                  <w:shd w:val="clear" w:color="auto" w:fill="auto"/>
                  <w:vAlign w:val="center"/>
                </w:tcPr>
                <w:p w14:paraId="1A0520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23 </w:t>
                  </w:r>
                </w:p>
              </w:tc>
              <w:tc>
                <w:tcPr>
                  <w:tcW w:w="681" w:type="dxa"/>
                  <w:shd w:val="clear" w:color="auto" w:fill="auto"/>
                  <w:vAlign w:val="center"/>
                </w:tcPr>
                <w:p w14:paraId="4396C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6D6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E84D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w:t>
                  </w:r>
                </w:p>
              </w:tc>
              <w:tc>
                <w:tcPr>
                  <w:tcW w:w="1485" w:type="dxa"/>
                  <w:shd w:val="clear" w:color="auto" w:fill="auto"/>
                  <w:vAlign w:val="center"/>
                </w:tcPr>
                <w:p w14:paraId="44B68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7#校直机</w:t>
                  </w:r>
                </w:p>
              </w:tc>
              <w:tc>
                <w:tcPr>
                  <w:tcW w:w="765" w:type="dxa"/>
                  <w:shd w:val="clear" w:color="auto" w:fill="auto"/>
                  <w:vAlign w:val="center"/>
                </w:tcPr>
                <w:p w14:paraId="7FC420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330" w:type="dxa"/>
                  <w:vMerge w:val="continue"/>
                  <w:shd w:val="clear" w:color="auto" w:fill="auto"/>
                  <w:vAlign w:val="center"/>
                </w:tcPr>
                <w:p w14:paraId="658E4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5994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630" w:type="dxa"/>
                  <w:shd w:val="clear" w:color="auto" w:fill="auto"/>
                  <w:vAlign w:val="center"/>
                </w:tcPr>
                <w:p w14:paraId="4D6E4A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375" w:type="dxa"/>
                  <w:shd w:val="clear" w:color="auto" w:fill="auto"/>
                  <w:vAlign w:val="center"/>
                </w:tcPr>
                <w:p w14:paraId="1C898C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9A66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70" w:type="dxa"/>
                  <w:shd w:val="clear" w:color="auto" w:fill="auto"/>
                  <w:vAlign w:val="center"/>
                </w:tcPr>
                <w:p w14:paraId="6C3AE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145 </w:t>
                  </w:r>
                </w:p>
              </w:tc>
              <w:tc>
                <w:tcPr>
                  <w:tcW w:w="525" w:type="dxa"/>
                  <w:shd w:val="clear" w:color="auto" w:fill="auto"/>
                  <w:vAlign w:val="center"/>
                </w:tcPr>
                <w:p w14:paraId="1AF463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585" w:type="dxa"/>
                  <w:shd w:val="clear" w:color="auto" w:fill="auto"/>
                  <w:vAlign w:val="center"/>
                </w:tcPr>
                <w:p w14:paraId="7580A3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25 </w:t>
                  </w:r>
                </w:p>
              </w:tc>
              <w:tc>
                <w:tcPr>
                  <w:tcW w:w="495" w:type="dxa"/>
                  <w:shd w:val="clear" w:color="auto" w:fill="auto"/>
                  <w:vAlign w:val="center"/>
                </w:tcPr>
                <w:p w14:paraId="3323EC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80" w:type="dxa"/>
                  <w:shd w:val="clear" w:color="auto" w:fill="auto"/>
                  <w:vAlign w:val="center"/>
                </w:tcPr>
                <w:p w14:paraId="002764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35" w:type="dxa"/>
                  <w:shd w:val="clear" w:color="auto" w:fill="auto"/>
                  <w:vAlign w:val="center"/>
                </w:tcPr>
                <w:p w14:paraId="7EF19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70" w:type="dxa"/>
                  <w:shd w:val="clear" w:color="auto" w:fill="auto"/>
                  <w:vAlign w:val="center"/>
                </w:tcPr>
                <w:p w14:paraId="1A2BB1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484" w:type="dxa"/>
                  <w:vMerge w:val="continue"/>
                  <w:shd w:val="clear" w:color="auto" w:fill="auto"/>
                  <w:vAlign w:val="center"/>
                </w:tcPr>
                <w:p w14:paraId="17AEB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8799E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435" w:type="dxa"/>
                  <w:shd w:val="clear" w:color="auto" w:fill="auto"/>
                  <w:vAlign w:val="center"/>
                </w:tcPr>
                <w:p w14:paraId="16CD9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480" w:type="dxa"/>
                  <w:shd w:val="clear" w:color="auto" w:fill="auto"/>
                  <w:vAlign w:val="center"/>
                </w:tcPr>
                <w:p w14:paraId="511EA0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405" w:type="dxa"/>
                  <w:shd w:val="clear" w:color="auto" w:fill="auto"/>
                  <w:vAlign w:val="center"/>
                </w:tcPr>
                <w:p w14:paraId="79C23E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21 </w:t>
                  </w:r>
                </w:p>
              </w:tc>
              <w:tc>
                <w:tcPr>
                  <w:tcW w:w="450" w:type="dxa"/>
                  <w:shd w:val="clear" w:color="auto" w:fill="auto"/>
                  <w:vAlign w:val="center"/>
                </w:tcPr>
                <w:p w14:paraId="42A5C0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681" w:type="dxa"/>
                  <w:shd w:val="clear" w:color="auto" w:fill="auto"/>
                  <w:vAlign w:val="center"/>
                </w:tcPr>
                <w:p w14:paraId="56DB4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D83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4E8A0F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w:t>
                  </w:r>
                </w:p>
              </w:tc>
              <w:tc>
                <w:tcPr>
                  <w:tcW w:w="1485" w:type="dxa"/>
                  <w:shd w:val="clear" w:color="auto" w:fill="auto"/>
                  <w:vAlign w:val="center"/>
                </w:tcPr>
                <w:p w14:paraId="40F465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8#校直机</w:t>
                  </w:r>
                </w:p>
              </w:tc>
              <w:tc>
                <w:tcPr>
                  <w:tcW w:w="765" w:type="dxa"/>
                  <w:shd w:val="clear" w:color="auto" w:fill="auto"/>
                  <w:vAlign w:val="center"/>
                </w:tcPr>
                <w:p w14:paraId="38DDD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330" w:type="dxa"/>
                  <w:vMerge w:val="continue"/>
                  <w:shd w:val="clear" w:color="auto" w:fill="auto"/>
                  <w:vAlign w:val="center"/>
                </w:tcPr>
                <w:p w14:paraId="1D107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FE3E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630" w:type="dxa"/>
                  <w:shd w:val="clear" w:color="auto" w:fill="auto"/>
                  <w:vAlign w:val="center"/>
                </w:tcPr>
                <w:p w14:paraId="2C7DA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w:t>
                  </w:r>
                </w:p>
              </w:tc>
              <w:tc>
                <w:tcPr>
                  <w:tcW w:w="375" w:type="dxa"/>
                  <w:shd w:val="clear" w:color="auto" w:fill="auto"/>
                  <w:vAlign w:val="center"/>
                </w:tcPr>
                <w:p w14:paraId="34800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053C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70" w:type="dxa"/>
                  <w:shd w:val="clear" w:color="auto" w:fill="auto"/>
                  <w:vAlign w:val="center"/>
                </w:tcPr>
                <w:p w14:paraId="3B6DFA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142 </w:t>
                  </w:r>
                </w:p>
              </w:tc>
              <w:tc>
                <w:tcPr>
                  <w:tcW w:w="525" w:type="dxa"/>
                  <w:shd w:val="clear" w:color="auto" w:fill="auto"/>
                  <w:vAlign w:val="center"/>
                </w:tcPr>
                <w:p w14:paraId="7FBCB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585" w:type="dxa"/>
                  <w:shd w:val="clear" w:color="auto" w:fill="auto"/>
                  <w:vAlign w:val="center"/>
                </w:tcPr>
                <w:p w14:paraId="29C02A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95" w:type="dxa"/>
                  <w:shd w:val="clear" w:color="auto" w:fill="auto"/>
                  <w:vAlign w:val="center"/>
                </w:tcPr>
                <w:p w14:paraId="0C6A0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80" w:type="dxa"/>
                  <w:shd w:val="clear" w:color="auto" w:fill="auto"/>
                  <w:vAlign w:val="center"/>
                </w:tcPr>
                <w:p w14:paraId="392A31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35" w:type="dxa"/>
                  <w:shd w:val="clear" w:color="auto" w:fill="auto"/>
                  <w:vAlign w:val="center"/>
                </w:tcPr>
                <w:p w14:paraId="28BA8E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70" w:type="dxa"/>
                  <w:shd w:val="clear" w:color="auto" w:fill="auto"/>
                  <w:vAlign w:val="center"/>
                </w:tcPr>
                <w:p w14:paraId="3BF6D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484" w:type="dxa"/>
                  <w:vMerge w:val="continue"/>
                  <w:shd w:val="clear" w:color="auto" w:fill="auto"/>
                  <w:vAlign w:val="center"/>
                </w:tcPr>
                <w:p w14:paraId="599F8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A92D6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435" w:type="dxa"/>
                  <w:shd w:val="clear" w:color="auto" w:fill="auto"/>
                  <w:vAlign w:val="center"/>
                </w:tcPr>
                <w:p w14:paraId="70198D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19 </w:t>
                  </w:r>
                </w:p>
              </w:tc>
              <w:tc>
                <w:tcPr>
                  <w:tcW w:w="480" w:type="dxa"/>
                  <w:shd w:val="clear" w:color="auto" w:fill="auto"/>
                  <w:vAlign w:val="center"/>
                </w:tcPr>
                <w:p w14:paraId="3F86C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19 </w:t>
                  </w:r>
                </w:p>
              </w:tc>
              <w:tc>
                <w:tcPr>
                  <w:tcW w:w="405" w:type="dxa"/>
                  <w:shd w:val="clear" w:color="auto" w:fill="auto"/>
                  <w:vAlign w:val="center"/>
                </w:tcPr>
                <w:p w14:paraId="65EC1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450" w:type="dxa"/>
                  <w:shd w:val="clear" w:color="auto" w:fill="auto"/>
                  <w:vAlign w:val="center"/>
                </w:tcPr>
                <w:p w14:paraId="7ADCE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21 </w:t>
                  </w:r>
                </w:p>
              </w:tc>
              <w:tc>
                <w:tcPr>
                  <w:tcW w:w="681" w:type="dxa"/>
                  <w:shd w:val="clear" w:color="auto" w:fill="auto"/>
                  <w:vAlign w:val="center"/>
                </w:tcPr>
                <w:p w14:paraId="524AF6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6A9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4637B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w:t>
                  </w:r>
                </w:p>
              </w:tc>
              <w:tc>
                <w:tcPr>
                  <w:tcW w:w="1485" w:type="dxa"/>
                  <w:shd w:val="clear" w:color="auto" w:fill="auto"/>
                  <w:vAlign w:val="center"/>
                </w:tcPr>
                <w:p w14:paraId="00056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9#校直机</w:t>
                  </w:r>
                </w:p>
              </w:tc>
              <w:tc>
                <w:tcPr>
                  <w:tcW w:w="765" w:type="dxa"/>
                  <w:shd w:val="clear" w:color="auto" w:fill="auto"/>
                  <w:vAlign w:val="center"/>
                </w:tcPr>
                <w:p w14:paraId="360FA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330" w:type="dxa"/>
                  <w:vMerge w:val="continue"/>
                  <w:shd w:val="clear" w:color="auto" w:fill="auto"/>
                  <w:vAlign w:val="center"/>
                </w:tcPr>
                <w:p w14:paraId="6F2CFC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0CA8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630" w:type="dxa"/>
                  <w:shd w:val="clear" w:color="auto" w:fill="auto"/>
                  <w:vAlign w:val="center"/>
                </w:tcPr>
                <w:p w14:paraId="7E97CC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w:t>
                  </w:r>
                </w:p>
              </w:tc>
              <w:tc>
                <w:tcPr>
                  <w:tcW w:w="375" w:type="dxa"/>
                  <w:shd w:val="clear" w:color="auto" w:fill="auto"/>
                  <w:vAlign w:val="center"/>
                </w:tcPr>
                <w:p w14:paraId="2A444A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97D17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70" w:type="dxa"/>
                  <w:shd w:val="clear" w:color="auto" w:fill="auto"/>
                  <w:vAlign w:val="center"/>
                </w:tcPr>
                <w:p w14:paraId="537A04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139 </w:t>
                  </w:r>
                </w:p>
              </w:tc>
              <w:tc>
                <w:tcPr>
                  <w:tcW w:w="525" w:type="dxa"/>
                  <w:shd w:val="clear" w:color="auto" w:fill="auto"/>
                  <w:vAlign w:val="center"/>
                </w:tcPr>
                <w:p w14:paraId="00F38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585" w:type="dxa"/>
                  <w:shd w:val="clear" w:color="auto" w:fill="auto"/>
                  <w:vAlign w:val="center"/>
                </w:tcPr>
                <w:p w14:paraId="5B57EF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495" w:type="dxa"/>
                  <w:shd w:val="clear" w:color="auto" w:fill="auto"/>
                  <w:vAlign w:val="center"/>
                </w:tcPr>
                <w:p w14:paraId="73CCB6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80" w:type="dxa"/>
                  <w:shd w:val="clear" w:color="auto" w:fill="auto"/>
                  <w:vAlign w:val="center"/>
                </w:tcPr>
                <w:p w14:paraId="5D385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35" w:type="dxa"/>
                  <w:shd w:val="clear" w:color="auto" w:fill="auto"/>
                  <w:vAlign w:val="center"/>
                </w:tcPr>
                <w:p w14:paraId="4E45A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70" w:type="dxa"/>
                  <w:shd w:val="clear" w:color="auto" w:fill="auto"/>
                  <w:vAlign w:val="center"/>
                </w:tcPr>
                <w:p w14:paraId="0EA6F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484" w:type="dxa"/>
                  <w:vMerge w:val="continue"/>
                  <w:shd w:val="clear" w:color="auto" w:fill="auto"/>
                  <w:vAlign w:val="center"/>
                </w:tcPr>
                <w:p w14:paraId="4C69E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C606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435" w:type="dxa"/>
                  <w:shd w:val="clear" w:color="auto" w:fill="auto"/>
                  <w:vAlign w:val="center"/>
                </w:tcPr>
                <w:p w14:paraId="6399E5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18 </w:t>
                  </w:r>
                </w:p>
              </w:tc>
              <w:tc>
                <w:tcPr>
                  <w:tcW w:w="480" w:type="dxa"/>
                  <w:shd w:val="clear" w:color="auto" w:fill="auto"/>
                  <w:vAlign w:val="center"/>
                </w:tcPr>
                <w:p w14:paraId="72085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18 </w:t>
                  </w:r>
                </w:p>
              </w:tc>
              <w:tc>
                <w:tcPr>
                  <w:tcW w:w="405" w:type="dxa"/>
                  <w:shd w:val="clear" w:color="auto" w:fill="auto"/>
                  <w:vAlign w:val="center"/>
                </w:tcPr>
                <w:p w14:paraId="734302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19 </w:t>
                  </w:r>
                </w:p>
              </w:tc>
              <w:tc>
                <w:tcPr>
                  <w:tcW w:w="450" w:type="dxa"/>
                  <w:shd w:val="clear" w:color="auto" w:fill="auto"/>
                  <w:vAlign w:val="center"/>
                </w:tcPr>
                <w:p w14:paraId="1F6F51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19 </w:t>
                  </w:r>
                </w:p>
              </w:tc>
              <w:tc>
                <w:tcPr>
                  <w:tcW w:w="681" w:type="dxa"/>
                  <w:shd w:val="clear" w:color="auto" w:fill="auto"/>
                  <w:vAlign w:val="center"/>
                </w:tcPr>
                <w:p w14:paraId="71470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8B2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A9BD3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w:t>
                  </w:r>
                </w:p>
              </w:tc>
              <w:tc>
                <w:tcPr>
                  <w:tcW w:w="1485" w:type="dxa"/>
                  <w:shd w:val="clear" w:color="auto" w:fill="auto"/>
                  <w:vAlign w:val="center"/>
                </w:tcPr>
                <w:p w14:paraId="3FF67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10#校直机</w:t>
                  </w:r>
                </w:p>
              </w:tc>
              <w:tc>
                <w:tcPr>
                  <w:tcW w:w="765" w:type="dxa"/>
                  <w:shd w:val="clear" w:color="auto" w:fill="auto"/>
                  <w:vAlign w:val="center"/>
                </w:tcPr>
                <w:p w14:paraId="675D35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330" w:type="dxa"/>
                  <w:vMerge w:val="continue"/>
                  <w:shd w:val="clear" w:color="auto" w:fill="auto"/>
                  <w:vAlign w:val="center"/>
                </w:tcPr>
                <w:p w14:paraId="34028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779E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630" w:type="dxa"/>
                  <w:shd w:val="clear" w:color="auto" w:fill="auto"/>
                  <w:vAlign w:val="center"/>
                </w:tcPr>
                <w:p w14:paraId="3607D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375" w:type="dxa"/>
                  <w:shd w:val="clear" w:color="auto" w:fill="auto"/>
                  <w:vAlign w:val="center"/>
                </w:tcPr>
                <w:p w14:paraId="4A5145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A3A0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70" w:type="dxa"/>
                  <w:shd w:val="clear" w:color="auto" w:fill="auto"/>
                  <w:vAlign w:val="center"/>
                </w:tcPr>
                <w:p w14:paraId="7AE29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136 </w:t>
                  </w:r>
                </w:p>
              </w:tc>
              <w:tc>
                <w:tcPr>
                  <w:tcW w:w="525" w:type="dxa"/>
                  <w:shd w:val="clear" w:color="auto" w:fill="auto"/>
                  <w:vAlign w:val="center"/>
                </w:tcPr>
                <w:p w14:paraId="568B7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585" w:type="dxa"/>
                  <w:shd w:val="clear" w:color="auto" w:fill="auto"/>
                  <w:vAlign w:val="center"/>
                </w:tcPr>
                <w:p w14:paraId="32FD8D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34 </w:t>
                  </w:r>
                </w:p>
              </w:tc>
              <w:tc>
                <w:tcPr>
                  <w:tcW w:w="495" w:type="dxa"/>
                  <w:shd w:val="clear" w:color="auto" w:fill="auto"/>
                  <w:vAlign w:val="center"/>
                </w:tcPr>
                <w:p w14:paraId="7E06B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80" w:type="dxa"/>
                  <w:shd w:val="clear" w:color="auto" w:fill="auto"/>
                  <w:vAlign w:val="center"/>
                </w:tcPr>
                <w:p w14:paraId="3B492A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35" w:type="dxa"/>
                  <w:shd w:val="clear" w:color="auto" w:fill="auto"/>
                  <w:vAlign w:val="center"/>
                </w:tcPr>
                <w:p w14:paraId="4645A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70" w:type="dxa"/>
                  <w:shd w:val="clear" w:color="auto" w:fill="auto"/>
                  <w:vAlign w:val="center"/>
                </w:tcPr>
                <w:p w14:paraId="5D5D1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484" w:type="dxa"/>
                  <w:vMerge w:val="continue"/>
                  <w:shd w:val="clear" w:color="auto" w:fill="auto"/>
                  <w:vAlign w:val="center"/>
                </w:tcPr>
                <w:p w14:paraId="294DCC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53BE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435" w:type="dxa"/>
                  <w:shd w:val="clear" w:color="auto" w:fill="auto"/>
                  <w:vAlign w:val="center"/>
                </w:tcPr>
                <w:p w14:paraId="671DF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 </w:t>
                  </w:r>
                </w:p>
              </w:tc>
              <w:tc>
                <w:tcPr>
                  <w:tcW w:w="480" w:type="dxa"/>
                  <w:shd w:val="clear" w:color="auto" w:fill="auto"/>
                  <w:vAlign w:val="center"/>
                </w:tcPr>
                <w:p w14:paraId="63669E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 </w:t>
                  </w:r>
                </w:p>
              </w:tc>
              <w:tc>
                <w:tcPr>
                  <w:tcW w:w="405" w:type="dxa"/>
                  <w:shd w:val="clear" w:color="auto" w:fill="auto"/>
                  <w:vAlign w:val="center"/>
                </w:tcPr>
                <w:p w14:paraId="1C3E1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18 </w:t>
                  </w:r>
                </w:p>
              </w:tc>
              <w:tc>
                <w:tcPr>
                  <w:tcW w:w="450" w:type="dxa"/>
                  <w:shd w:val="clear" w:color="auto" w:fill="auto"/>
                  <w:vAlign w:val="center"/>
                </w:tcPr>
                <w:p w14:paraId="255FFD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18 </w:t>
                  </w:r>
                </w:p>
              </w:tc>
              <w:tc>
                <w:tcPr>
                  <w:tcW w:w="681" w:type="dxa"/>
                  <w:shd w:val="clear" w:color="auto" w:fill="auto"/>
                  <w:vAlign w:val="center"/>
                </w:tcPr>
                <w:p w14:paraId="34961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073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30" w:type="dxa"/>
                  <w:shd w:val="clear" w:color="auto" w:fill="auto"/>
                  <w:vAlign w:val="center"/>
                </w:tcPr>
                <w:p w14:paraId="0DA706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w:t>
                  </w:r>
                </w:p>
              </w:tc>
              <w:tc>
                <w:tcPr>
                  <w:tcW w:w="1485" w:type="dxa"/>
                  <w:shd w:val="clear" w:color="auto" w:fill="auto"/>
                  <w:vAlign w:val="center"/>
                </w:tcPr>
                <w:p w14:paraId="33104B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导轨表面处理机</w:t>
                  </w:r>
                </w:p>
              </w:tc>
              <w:tc>
                <w:tcPr>
                  <w:tcW w:w="765" w:type="dxa"/>
                  <w:shd w:val="clear" w:color="auto" w:fill="auto"/>
                  <w:vAlign w:val="center"/>
                </w:tcPr>
                <w:p w14:paraId="209EE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A861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C6E21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630" w:type="dxa"/>
                  <w:shd w:val="clear" w:color="auto" w:fill="auto"/>
                  <w:vAlign w:val="center"/>
                </w:tcPr>
                <w:p w14:paraId="298EBA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31.5</w:t>
                  </w:r>
                </w:p>
              </w:tc>
              <w:tc>
                <w:tcPr>
                  <w:tcW w:w="375" w:type="dxa"/>
                  <w:shd w:val="clear" w:color="auto" w:fill="auto"/>
                  <w:vAlign w:val="center"/>
                </w:tcPr>
                <w:p w14:paraId="77B5B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E728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570" w:type="dxa"/>
                  <w:shd w:val="clear" w:color="auto" w:fill="auto"/>
                  <w:vAlign w:val="center"/>
                </w:tcPr>
                <w:p w14:paraId="46157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25" w:type="dxa"/>
                  <w:shd w:val="clear" w:color="auto" w:fill="auto"/>
                  <w:vAlign w:val="center"/>
                </w:tcPr>
                <w:p w14:paraId="5B0416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585" w:type="dxa"/>
                  <w:shd w:val="clear" w:color="auto" w:fill="auto"/>
                  <w:vAlign w:val="center"/>
                </w:tcPr>
                <w:p w14:paraId="0D569A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95" w:type="dxa"/>
                  <w:shd w:val="clear" w:color="auto" w:fill="auto"/>
                  <w:vAlign w:val="center"/>
                </w:tcPr>
                <w:p w14:paraId="4764E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76BFDA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F144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2DF0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F300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6D29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CA5B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0D195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32EA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9C46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4A76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97B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0" w:type="dxa"/>
                  <w:shd w:val="clear" w:color="auto" w:fill="auto"/>
                  <w:vAlign w:val="center"/>
                </w:tcPr>
                <w:p w14:paraId="34975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w:t>
                  </w:r>
                </w:p>
              </w:tc>
              <w:tc>
                <w:tcPr>
                  <w:tcW w:w="1485" w:type="dxa"/>
                  <w:shd w:val="clear" w:color="auto" w:fill="auto"/>
                  <w:noWrap/>
                  <w:vAlign w:val="center"/>
                </w:tcPr>
                <w:p w14:paraId="1CB649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数控钻孔机</w:t>
                  </w:r>
                </w:p>
              </w:tc>
              <w:tc>
                <w:tcPr>
                  <w:tcW w:w="765" w:type="dxa"/>
                  <w:shd w:val="clear" w:color="auto" w:fill="auto"/>
                  <w:vAlign w:val="center"/>
                </w:tcPr>
                <w:p w14:paraId="71F4B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803E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D50E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63C82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33.5</w:t>
                  </w:r>
                </w:p>
              </w:tc>
              <w:tc>
                <w:tcPr>
                  <w:tcW w:w="375" w:type="dxa"/>
                  <w:shd w:val="clear" w:color="auto" w:fill="auto"/>
                  <w:vAlign w:val="center"/>
                </w:tcPr>
                <w:p w14:paraId="37081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25003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79 </w:t>
                  </w:r>
                </w:p>
              </w:tc>
              <w:tc>
                <w:tcPr>
                  <w:tcW w:w="570" w:type="dxa"/>
                  <w:shd w:val="clear" w:color="auto" w:fill="auto"/>
                  <w:vAlign w:val="center"/>
                </w:tcPr>
                <w:p w14:paraId="0EB77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119 </w:t>
                  </w:r>
                </w:p>
              </w:tc>
              <w:tc>
                <w:tcPr>
                  <w:tcW w:w="525" w:type="dxa"/>
                  <w:shd w:val="clear" w:color="auto" w:fill="auto"/>
                  <w:vAlign w:val="center"/>
                </w:tcPr>
                <w:p w14:paraId="4DAEE8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85" w:type="dxa"/>
                  <w:shd w:val="clear" w:color="auto" w:fill="auto"/>
                  <w:vAlign w:val="center"/>
                </w:tcPr>
                <w:p w14:paraId="06BA6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495" w:type="dxa"/>
                  <w:shd w:val="clear" w:color="auto" w:fill="auto"/>
                  <w:vAlign w:val="center"/>
                </w:tcPr>
                <w:p w14:paraId="417A62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336FC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DF9D8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670" w:type="dxa"/>
                  <w:shd w:val="clear" w:color="auto" w:fill="auto"/>
                  <w:vAlign w:val="center"/>
                </w:tcPr>
                <w:p w14:paraId="2AB7DF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6D2D6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35601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B050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4CBE5E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1BA49C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50" w:type="dxa"/>
                  <w:shd w:val="clear" w:color="auto" w:fill="auto"/>
                  <w:vAlign w:val="center"/>
                </w:tcPr>
                <w:p w14:paraId="584C1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FE21B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C8C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0" w:type="dxa"/>
                  <w:shd w:val="clear" w:color="auto" w:fill="auto"/>
                  <w:vAlign w:val="center"/>
                </w:tcPr>
                <w:p w14:paraId="0353A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w:t>
                  </w:r>
                </w:p>
              </w:tc>
              <w:tc>
                <w:tcPr>
                  <w:tcW w:w="1485" w:type="dxa"/>
                  <w:shd w:val="clear" w:color="auto" w:fill="auto"/>
                  <w:noWrap/>
                  <w:vAlign w:val="center"/>
                </w:tcPr>
                <w:p w14:paraId="5DA24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数控钻孔机</w:t>
                  </w:r>
                </w:p>
              </w:tc>
              <w:tc>
                <w:tcPr>
                  <w:tcW w:w="765" w:type="dxa"/>
                  <w:shd w:val="clear" w:color="auto" w:fill="auto"/>
                  <w:vAlign w:val="center"/>
                </w:tcPr>
                <w:p w14:paraId="58562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8CB3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996E0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34D19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w:t>
                  </w:r>
                </w:p>
              </w:tc>
              <w:tc>
                <w:tcPr>
                  <w:tcW w:w="375" w:type="dxa"/>
                  <w:shd w:val="clear" w:color="auto" w:fill="auto"/>
                  <w:vAlign w:val="center"/>
                </w:tcPr>
                <w:p w14:paraId="09173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1F22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79 </w:t>
                  </w:r>
                </w:p>
              </w:tc>
              <w:tc>
                <w:tcPr>
                  <w:tcW w:w="570" w:type="dxa"/>
                  <w:shd w:val="clear" w:color="auto" w:fill="auto"/>
                  <w:vAlign w:val="center"/>
                </w:tcPr>
                <w:p w14:paraId="33262B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 </w:t>
                  </w:r>
                </w:p>
              </w:tc>
              <w:tc>
                <w:tcPr>
                  <w:tcW w:w="525" w:type="dxa"/>
                  <w:shd w:val="clear" w:color="auto" w:fill="auto"/>
                  <w:vAlign w:val="center"/>
                </w:tcPr>
                <w:p w14:paraId="3DD2D6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85" w:type="dxa"/>
                  <w:shd w:val="clear" w:color="auto" w:fill="auto"/>
                  <w:vAlign w:val="center"/>
                </w:tcPr>
                <w:p w14:paraId="75A2B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95" w:type="dxa"/>
                  <w:shd w:val="clear" w:color="auto" w:fill="auto"/>
                  <w:vAlign w:val="center"/>
                </w:tcPr>
                <w:p w14:paraId="43BDF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03D18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5FF463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670" w:type="dxa"/>
                  <w:shd w:val="clear" w:color="auto" w:fill="auto"/>
                  <w:vAlign w:val="center"/>
                </w:tcPr>
                <w:p w14:paraId="30297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ACFEC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30EC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487DF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44D851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59186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50" w:type="dxa"/>
                  <w:shd w:val="clear" w:color="auto" w:fill="auto"/>
                  <w:vAlign w:val="center"/>
                </w:tcPr>
                <w:p w14:paraId="0D3574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2D042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A6C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0" w:type="dxa"/>
                  <w:shd w:val="clear" w:color="auto" w:fill="auto"/>
                  <w:vAlign w:val="center"/>
                </w:tcPr>
                <w:p w14:paraId="7D050D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w:t>
                  </w:r>
                </w:p>
              </w:tc>
              <w:tc>
                <w:tcPr>
                  <w:tcW w:w="1485" w:type="dxa"/>
                  <w:shd w:val="clear" w:color="auto" w:fill="auto"/>
                  <w:noWrap/>
                  <w:vAlign w:val="center"/>
                </w:tcPr>
                <w:p w14:paraId="1235C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数控钻孔机</w:t>
                  </w:r>
                </w:p>
              </w:tc>
              <w:tc>
                <w:tcPr>
                  <w:tcW w:w="765" w:type="dxa"/>
                  <w:shd w:val="clear" w:color="auto" w:fill="auto"/>
                  <w:vAlign w:val="center"/>
                </w:tcPr>
                <w:p w14:paraId="1CC983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617386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9A6A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3BB0FA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24.5</w:t>
                  </w:r>
                </w:p>
              </w:tc>
              <w:tc>
                <w:tcPr>
                  <w:tcW w:w="375" w:type="dxa"/>
                  <w:shd w:val="clear" w:color="auto" w:fill="auto"/>
                  <w:vAlign w:val="center"/>
                </w:tcPr>
                <w:p w14:paraId="09AF0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8C02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79 </w:t>
                  </w:r>
                </w:p>
              </w:tc>
              <w:tc>
                <w:tcPr>
                  <w:tcW w:w="570" w:type="dxa"/>
                  <w:shd w:val="clear" w:color="auto" w:fill="auto"/>
                  <w:vAlign w:val="center"/>
                </w:tcPr>
                <w:p w14:paraId="5B9A75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110 </w:t>
                  </w:r>
                </w:p>
              </w:tc>
              <w:tc>
                <w:tcPr>
                  <w:tcW w:w="525" w:type="dxa"/>
                  <w:shd w:val="clear" w:color="auto" w:fill="auto"/>
                  <w:vAlign w:val="center"/>
                </w:tcPr>
                <w:p w14:paraId="36E54B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85" w:type="dxa"/>
                  <w:shd w:val="clear" w:color="auto" w:fill="auto"/>
                  <w:vAlign w:val="center"/>
                </w:tcPr>
                <w:p w14:paraId="3C73C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61 </w:t>
                  </w:r>
                </w:p>
              </w:tc>
              <w:tc>
                <w:tcPr>
                  <w:tcW w:w="495" w:type="dxa"/>
                  <w:shd w:val="clear" w:color="auto" w:fill="auto"/>
                  <w:vAlign w:val="center"/>
                </w:tcPr>
                <w:p w14:paraId="0B3B4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5D163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1B9CBB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670" w:type="dxa"/>
                  <w:shd w:val="clear" w:color="auto" w:fill="auto"/>
                  <w:vAlign w:val="center"/>
                </w:tcPr>
                <w:p w14:paraId="4BE456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32A39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3C30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2549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134EE0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BFFB0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50" w:type="dxa"/>
                  <w:shd w:val="clear" w:color="auto" w:fill="auto"/>
                  <w:vAlign w:val="center"/>
                </w:tcPr>
                <w:p w14:paraId="4A59A9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65186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BF2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0" w:type="dxa"/>
                  <w:shd w:val="clear" w:color="auto" w:fill="auto"/>
                  <w:vAlign w:val="center"/>
                </w:tcPr>
                <w:p w14:paraId="13EB0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w:t>
                  </w:r>
                </w:p>
              </w:tc>
              <w:tc>
                <w:tcPr>
                  <w:tcW w:w="1485" w:type="dxa"/>
                  <w:shd w:val="clear" w:color="auto" w:fill="auto"/>
                  <w:noWrap/>
                  <w:vAlign w:val="center"/>
                </w:tcPr>
                <w:p w14:paraId="7D503D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数控钻孔机</w:t>
                  </w:r>
                </w:p>
              </w:tc>
              <w:tc>
                <w:tcPr>
                  <w:tcW w:w="765" w:type="dxa"/>
                  <w:shd w:val="clear" w:color="auto" w:fill="auto"/>
                  <w:vAlign w:val="center"/>
                </w:tcPr>
                <w:p w14:paraId="3FC63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6B49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A416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780A4F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5" w:type="dxa"/>
                  <w:shd w:val="clear" w:color="auto" w:fill="auto"/>
                  <w:vAlign w:val="center"/>
                </w:tcPr>
                <w:p w14:paraId="07860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D12F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79 </w:t>
                  </w:r>
                </w:p>
              </w:tc>
              <w:tc>
                <w:tcPr>
                  <w:tcW w:w="570" w:type="dxa"/>
                  <w:shd w:val="clear" w:color="auto" w:fill="auto"/>
                  <w:vAlign w:val="center"/>
                </w:tcPr>
                <w:p w14:paraId="1531E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105 </w:t>
                  </w:r>
                </w:p>
              </w:tc>
              <w:tc>
                <w:tcPr>
                  <w:tcW w:w="525" w:type="dxa"/>
                  <w:shd w:val="clear" w:color="auto" w:fill="auto"/>
                  <w:vAlign w:val="center"/>
                </w:tcPr>
                <w:p w14:paraId="34078A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85" w:type="dxa"/>
                  <w:shd w:val="clear" w:color="auto" w:fill="auto"/>
                  <w:vAlign w:val="center"/>
                </w:tcPr>
                <w:p w14:paraId="25272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495" w:type="dxa"/>
                  <w:shd w:val="clear" w:color="auto" w:fill="auto"/>
                  <w:vAlign w:val="center"/>
                </w:tcPr>
                <w:p w14:paraId="465A7B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03BD43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2E114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670" w:type="dxa"/>
                  <w:shd w:val="clear" w:color="auto" w:fill="auto"/>
                  <w:vAlign w:val="center"/>
                </w:tcPr>
                <w:p w14:paraId="1690D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67E16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B98C3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C20F6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588D7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15478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50" w:type="dxa"/>
                  <w:shd w:val="clear" w:color="auto" w:fill="auto"/>
                  <w:vAlign w:val="center"/>
                </w:tcPr>
                <w:p w14:paraId="1A9C3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3359A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BAE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0" w:type="dxa"/>
                  <w:shd w:val="clear" w:color="auto" w:fill="auto"/>
                  <w:vAlign w:val="center"/>
                </w:tcPr>
                <w:p w14:paraId="646DC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w:t>
                  </w:r>
                </w:p>
              </w:tc>
              <w:tc>
                <w:tcPr>
                  <w:tcW w:w="1485" w:type="dxa"/>
                  <w:shd w:val="clear" w:color="auto" w:fill="auto"/>
                  <w:noWrap/>
                  <w:vAlign w:val="center"/>
                </w:tcPr>
                <w:p w14:paraId="4A2D7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数控钻孔机</w:t>
                  </w:r>
                </w:p>
              </w:tc>
              <w:tc>
                <w:tcPr>
                  <w:tcW w:w="765" w:type="dxa"/>
                  <w:shd w:val="clear" w:color="auto" w:fill="auto"/>
                  <w:vAlign w:val="center"/>
                </w:tcPr>
                <w:p w14:paraId="6AD3E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5E41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6DA87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70FA0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15.5</w:t>
                  </w:r>
                </w:p>
              </w:tc>
              <w:tc>
                <w:tcPr>
                  <w:tcW w:w="375" w:type="dxa"/>
                  <w:shd w:val="clear" w:color="auto" w:fill="auto"/>
                  <w:vAlign w:val="center"/>
                </w:tcPr>
                <w:p w14:paraId="4BDB3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011C0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79 </w:t>
                  </w:r>
                </w:p>
              </w:tc>
              <w:tc>
                <w:tcPr>
                  <w:tcW w:w="570" w:type="dxa"/>
                  <w:shd w:val="clear" w:color="auto" w:fill="auto"/>
                  <w:vAlign w:val="center"/>
                </w:tcPr>
                <w:p w14:paraId="495C5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101 </w:t>
                  </w:r>
                </w:p>
              </w:tc>
              <w:tc>
                <w:tcPr>
                  <w:tcW w:w="525" w:type="dxa"/>
                  <w:shd w:val="clear" w:color="auto" w:fill="auto"/>
                  <w:vAlign w:val="center"/>
                </w:tcPr>
                <w:p w14:paraId="72755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85" w:type="dxa"/>
                  <w:shd w:val="clear" w:color="auto" w:fill="auto"/>
                  <w:vAlign w:val="center"/>
                </w:tcPr>
                <w:p w14:paraId="7B1E8A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95" w:type="dxa"/>
                  <w:shd w:val="clear" w:color="auto" w:fill="auto"/>
                  <w:vAlign w:val="center"/>
                </w:tcPr>
                <w:p w14:paraId="3E197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5F4B6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91665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670" w:type="dxa"/>
                  <w:shd w:val="clear" w:color="auto" w:fill="auto"/>
                  <w:vAlign w:val="center"/>
                </w:tcPr>
                <w:p w14:paraId="17720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D1AC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F9B02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1C4C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61D38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56DB9D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50" w:type="dxa"/>
                  <w:shd w:val="clear" w:color="auto" w:fill="auto"/>
                  <w:vAlign w:val="center"/>
                </w:tcPr>
                <w:p w14:paraId="1D6DB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2F646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830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0" w:type="dxa"/>
                  <w:shd w:val="clear" w:color="auto" w:fill="auto"/>
                  <w:vAlign w:val="center"/>
                </w:tcPr>
                <w:p w14:paraId="5350FA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21</w:t>
                  </w:r>
                </w:p>
              </w:tc>
              <w:tc>
                <w:tcPr>
                  <w:tcW w:w="1485" w:type="dxa"/>
                  <w:shd w:val="clear" w:color="auto" w:fill="auto"/>
                  <w:noWrap/>
                  <w:vAlign w:val="center"/>
                </w:tcPr>
                <w:p w14:paraId="69D422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数控钻孔机</w:t>
                  </w:r>
                </w:p>
              </w:tc>
              <w:tc>
                <w:tcPr>
                  <w:tcW w:w="765" w:type="dxa"/>
                  <w:shd w:val="clear" w:color="auto" w:fill="auto"/>
                  <w:vAlign w:val="center"/>
                </w:tcPr>
                <w:p w14:paraId="247EE7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15AB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9B9C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07780F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p>
              </w:tc>
              <w:tc>
                <w:tcPr>
                  <w:tcW w:w="375" w:type="dxa"/>
                  <w:shd w:val="clear" w:color="auto" w:fill="auto"/>
                  <w:vAlign w:val="center"/>
                </w:tcPr>
                <w:p w14:paraId="78D11C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FE620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79 </w:t>
                  </w:r>
                </w:p>
              </w:tc>
              <w:tc>
                <w:tcPr>
                  <w:tcW w:w="570" w:type="dxa"/>
                  <w:shd w:val="clear" w:color="auto" w:fill="auto"/>
                  <w:vAlign w:val="center"/>
                </w:tcPr>
                <w:p w14:paraId="0712CB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96 </w:t>
                  </w:r>
                </w:p>
              </w:tc>
              <w:tc>
                <w:tcPr>
                  <w:tcW w:w="525" w:type="dxa"/>
                  <w:shd w:val="clear" w:color="auto" w:fill="auto"/>
                  <w:vAlign w:val="center"/>
                </w:tcPr>
                <w:p w14:paraId="603FD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85" w:type="dxa"/>
                  <w:shd w:val="clear" w:color="auto" w:fill="auto"/>
                  <w:vAlign w:val="center"/>
                </w:tcPr>
                <w:p w14:paraId="3067C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74 </w:t>
                  </w:r>
                </w:p>
              </w:tc>
              <w:tc>
                <w:tcPr>
                  <w:tcW w:w="495" w:type="dxa"/>
                  <w:shd w:val="clear" w:color="auto" w:fill="auto"/>
                  <w:vAlign w:val="center"/>
                </w:tcPr>
                <w:p w14:paraId="4EF25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5083C2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B6663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670" w:type="dxa"/>
                  <w:shd w:val="clear" w:color="auto" w:fill="auto"/>
                  <w:vAlign w:val="center"/>
                </w:tcPr>
                <w:p w14:paraId="79866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BB8C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9669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0707E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221D3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A8811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50" w:type="dxa"/>
                  <w:shd w:val="clear" w:color="auto" w:fill="auto"/>
                  <w:vAlign w:val="center"/>
                </w:tcPr>
                <w:p w14:paraId="0D520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9FE8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51A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0" w:type="dxa"/>
                  <w:shd w:val="clear" w:color="auto" w:fill="auto"/>
                  <w:vAlign w:val="center"/>
                </w:tcPr>
                <w:p w14:paraId="72422D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w:t>
                  </w:r>
                </w:p>
              </w:tc>
              <w:tc>
                <w:tcPr>
                  <w:tcW w:w="1485" w:type="dxa"/>
                  <w:shd w:val="clear" w:color="auto" w:fill="auto"/>
                  <w:noWrap/>
                  <w:vAlign w:val="center"/>
                </w:tcPr>
                <w:p w14:paraId="6CDBA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数控钻孔机</w:t>
                  </w:r>
                </w:p>
              </w:tc>
              <w:tc>
                <w:tcPr>
                  <w:tcW w:w="765" w:type="dxa"/>
                  <w:shd w:val="clear" w:color="auto" w:fill="auto"/>
                  <w:vAlign w:val="center"/>
                </w:tcPr>
                <w:p w14:paraId="1F43DB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1FED6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9F0F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298B6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375" w:type="dxa"/>
                  <w:shd w:val="clear" w:color="auto" w:fill="auto"/>
                  <w:vAlign w:val="center"/>
                </w:tcPr>
                <w:p w14:paraId="340EE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54BFC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79 </w:t>
                  </w:r>
                </w:p>
              </w:tc>
              <w:tc>
                <w:tcPr>
                  <w:tcW w:w="570" w:type="dxa"/>
                  <w:shd w:val="clear" w:color="auto" w:fill="auto"/>
                  <w:vAlign w:val="center"/>
                </w:tcPr>
                <w:p w14:paraId="309E9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92 </w:t>
                  </w:r>
                </w:p>
              </w:tc>
              <w:tc>
                <w:tcPr>
                  <w:tcW w:w="525" w:type="dxa"/>
                  <w:shd w:val="clear" w:color="auto" w:fill="auto"/>
                  <w:vAlign w:val="center"/>
                </w:tcPr>
                <w:p w14:paraId="4841E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85" w:type="dxa"/>
                  <w:shd w:val="clear" w:color="auto" w:fill="auto"/>
                  <w:vAlign w:val="center"/>
                </w:tcPr>
                <w:p w14:paraId="64E9CE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79 </w:t>
                  </w:r>
                </w:p>
              </w:tc>
              <w:tc>
                <w:tcPr>
                  <w:tcW w:w="495" w:type="dxa"/>
                  <w:shd w:val="clear" w:color="auto" w:fill="auto"/>
                  <w:vAlign w:val="center"/>
                </w:tcPr>
                <w:p w14:paraId="7A5C5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4D94E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120278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670" w:type="dxa"/>
                  <w:shd w:val="clear" w:color="auto" w:fill="auto"/>
                  <w:vAlign w:val="center"/>
                </w:tcPr>
                <w:p w14:paraId="7CE9F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0EADB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8B35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DA437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2AD5D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D491C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50" w:type="dxa"/>
                  <w:shd w:val="clear" w:color="auto" w:fill="auto"/>
                  <w:vAlign w:val="center"/>
                </w:tcPr>
                <w:p w14:paraId="330DC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69A59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7D3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0" w:type="dxa"/>
                  <w:shd w:val="clear" w:color="auto" w:fill="auto"/>
                  <w:vAlign w:val="center"/>
                </w:tcPr>
                <w:p w14:paraId="31943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23</w:t>
                  </w:r>
                </w:p>
              </w:tc>
              <w:tc>
                <w:tcPr>
                  <w:tcW w:w="1485" w:type="dxa"/>
                  <w:shd w:val="clear" w:color="auto" w:fill="auto"/>
                  <w:noWrap/>
                  <w:vAlign w:val="center"/>
                </w:tcPr>
                <w:p w14:paraId="552137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数控钻孔机</w:t>
                  </w:r>
                </w:p>
              </w:tc>
              <w:tc>
                <w:tcPr>
                  <w:tcW w:w="765" w:type="dxa"/>
                  <w:shd w:val="clear" w:color="auto" w:fill="auto"/>
                  <w:vAlign w:val="center"/>
                </w:tcPr>
                <w:p w14:paraId="5F7E4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0C7438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3697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630" w:type="dxa"/>
                  <w:shd w:val="clear" w:color="auto" w:fill="auto"/>
                  <w:vAlign w:val="center"/>
                </w:tcPr>
                <w:p w14:paraId="5A3702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375" w:type="dxa"/>
                  <w:shd w:val="clear" w:color="auto" w:fill="auto"/>
                  <w:vAlign w:val="center"/>
                </w:tcPr>
                <w:p w14:paraId="399F99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74B80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64 </w:t>
                  </w:r>
                </w:p>
              </w:tc>
              <w:tc>
                <w:tcPr>
                  <w:tcW w:w="570" w:type="dxa"/>
                  <w:shd w:val="clear" w:color="auto" w:fill="auto"/>
                  <w:vAlign w:val="center"/>
                </w:tcPr>
                <w:p w14:paraId="5FE43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25" w:type="dxa"/>
                  <w:shd w:val="clear" w:color="auto" w:fill="auto"/>
                  <w:vAlign w:val="center"/>
                </w:tcPr>
                <w:p w14:paraId="74F4B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60 </w:t>
                  </w:r>
                </w:p>
              </w:tc>
              <w:tc>
                <w:tcPr>
                  <w:tcW w:w="585" w:type="dxa"/>
                  <w:shd w:val="clear" w:color="auto" w:fill="auto"/>
                  <w:vAlign w:val="center"/>
                </w:tcPr>
                <w:p w14:paraId="36F47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77 </w:t>
                  </w:r>
                </w:p>
              </w:tc>
              <w:tc>
                <w:tcPr>
                  <w:tcW w:w="495" w:type="dxa"/>
                  <w:shd w:val="clear" w:color="auto" w:fill="auto"/>
                  <w:vAlign w:val="center"/>
                </w:tcPr>
                <w:p w14:paraId="24061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545FD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B1BBD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68EC3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0CC6F1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E3AB3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7318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17BF5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95208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F6A4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4CD1BF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370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0" w:type="dxa"/>
                  <w:shd w:val="clear" w:color="auto" w:fill="auto"/>
                  <w:vAlign w:val="center"/>
                </w:tcPr>
                <w:p w14:paraId="49700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w:t>
                  </w:r>
                </w:p>
              </w:tc>
              <w:tc>
                <w:tcPr>
                  <w:tcW w:w="1485" w:type="dxa"/>
                  <w:shd w:val="clear" w:color="auto" w:fill="auto"/>
                  <w:noWrap/>
                  <w:vAlign w:val="center"/>
                </w:tcPr>
                <w:p w14:paraId="058EE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r>
                    <w:rPr>
                      <w:rFonts w:hint="eastAsia" w:ascii="宋体" w:hAnsi="宋体" w:eastAsia="宋体" w:cs="宋体"/>
                      <w:i w:val="0"/>
                      <w:iCs w:val="0"/>
                      <w:color w:val="auto"/>
                      <w:kern w:val="0"/>
                      <w:sz w:val="18"/>
                      <w:szCs w:val="18"/>
                      <w:u w:val="none"/>
                      <w:lang w:val="en-US" w:eastAsia="zh-CN" w:bidi="ar"/>
                    </w:rPr>
                    <w:t>数控钻孔机</w:t>
                  </w:r>
                </w:p>
              </w:tc>
              <w:tc>
                <w:tcPr>
                  <w:tcW w:w="765" w:type="dxa"/>
                  <w:shd w:val="clear" w:color="auto" w:fill="auto"/>
                  <w:vAlign w:val="center"/>
                </w:tcPr>
                <w:p w14:paraId="52832B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5AB1C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26310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630" w:type="dxa"/>
                  <w:shd w:val="clear" w:color="auto" w:fill="auto"/>
                  <w:vAlign w:val="center"/>
                </w:tcPr>
                <w:p w14:paraId="482CE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12.5</w:t>
                  </w:r>
                </w:p>
              </w:tc>
              <w:tc>
                <w:tcPr>
                  <w:tcW w:w="375" w:type="dxa"/>
                  <w:shd w:val="clear" w:color="auto" w:fill="auto"/>
                  <w:vAlign w:val="center"/>
                </w:tcPr>
                <w:p w14:paraId="6CD88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3562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64 </w:t>
                  </w:r>
                </w:p>
              </w:tc>
              <w:tc>
                <w:tcPr>
                  <w:tcW w:w="570" w:type="dxa"/>
                  <w:shd w:val="clear" w:color="auto" w:fill="auto"/>
                  <w:vAlign w:val="center"/>
                </w:tcPr>
                <w:p w14:paraId="59258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98 </w:t>
                  </w:r>
                </w:p>
              </w:tc>
              <w:tc>
                <w:tcPr>
                  <w:tcW w:w="525" w:type="dxa"/>
                  <w:shd w:val="clear" w:color="auto" w:fill="auto"/>
                  <w:vAlign w:val="center"/>
                </w:tcPr>
                <w:p w14:paraId="30213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60 </w:t>
                  </w:r>
                </w:p>
              </w:tc>
              <w:tc>
                <w:tcPr>
                  <w:tcW w:w="585" w:type="dxa"/>
                  <w:shd w:val="clear" w:color="auto" w:fill="auto"/>
                  <w:vAlign w:val="center"/>
                </w:tcPr>
                <w:p w14:paraId="63FA0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 </w:t>
                  </w:r>
                </w:p>
              </w:tc>
              <w:tc>
                <w:tcPr>
                  <w:tcW w:w="495" w:type="dxa"/>
                  <w:shd w:val="clear" w:color="auto" w:fill="auto"/>
                  <w:vAlign w:val="center"/>
                </w:tcPr>
                <w:p w14:paraId="350164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3C417E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50C5F0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FB7EC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97B2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7A25A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74A4C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6D21C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6E72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68068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106A6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062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30" w:type="dxa"/>
                  <w:shd w:val="clear" w:color="auto" w:fill="auto"/>
                  <w:vAlign w:val="center"/>
                </w:tcPr>
                <w:p w14:paraId="45934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25</w:t>
                  </w:r>
                </w:p>
              </w:tc>
              <w:tc>
                <w:tcPr>
                  <w:tcW w:w="1485" w:type="dxa"/>
                  <w:shd w:val="clear" w:color="auto" w:fill="auto"/>
                  <w:noWrap/>
                  <w:vAlign w:val="center"/>
                </w:tcPr>
                <w:p w14:paraId="5C5F2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高精度立磨</w:t>
                  </w:r>
                </w:p>
              </w:tc>
              <w:tc>
                <w:tcPr>
                  <w:tcW w:w="765" w:type="dxa"/>
                  <w:shd w:val="clear" w:color="auto" w:fill="auto"/>
                  <w:vAlign w:val="center"/>
                </w:tcPr>
                <w:p w14:paraId="2FA11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914FF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9D71A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630" w:type="dxa"/>
                  <w:shd w:val="clear" w:color="auto" w:fill="auto"/>
                  <w:vAlign w:val="center"/>
                </w:tcPr>
                <w:p w14:paraId="5404B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375" w:type="dxa"/>
                  <w:shd w:val="clear" w:color="auto" w:fill="auto"/>
                  <w:vAlign w:val="center"/>
                </w:tcPr>
                <w:p w14:paraId="1EC73C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A96E7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570" w:type="dxa"/>
                  <w:shd w:val="clear" w:color="auto" w:fill="auto"/>
                  <w:vAlign w:val="center"/>
                </w:tcPr>
                <w:p w14:paraId="58D2E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25" w:type="dxa"/>
                  <w:shd w:val="clear" w:color="auto" w:fill="auto"/>
                  <w:vAlign w:val="center"/>
                </w:tcPr>
                <w:p w14:paraId="20A03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67 </w:t>
                  </w:r>
                </w:p>
              </w:tc>
              <w:tc>
                <w:tcPr>
                  <w:tcW w:w="585" w:type="dxa"/>
                  <w:shd w:val="clear" w:color="auto" w:fill="auto"/>
                  <w:vAlign w:val="center"/>
                </w:tcPr>
                <w:p w14:paraId="6B252E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495" w:type="dxa"/>
                  <w:shd w:val="clear" w:color="auto" w:fill="auto"/>
                  <w:vAlign w:val="center"/>
                </w:tcPr>
                <w:p w14:paraId="1D0A1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0156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0D00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946B1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DC27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95F28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BC9BE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84CB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2F19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DA11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353AA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525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DE87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26</w:t>
                  </w:r>
                </w:p>
              </w:tc>
              <w:tc>
                <w:tcPr>
                  <w:tcW w:w="1485" w:type="dxa"/>
                  <w:shd w:val="clear" w:color="auto" w:fill="auto"/>
                  <w:vAlign w:val="center"/>
                </w:tcPr>
                <w:p w14:paraId="448E01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立磨机</w:t>
                  </w:r>
                </w:p>
              </w:tc>
              <w:tc>
                <w:tcPr>
                  <w:tcW w:w="765" w:type="dxa"/>
                  <w:shd w:val="clear" w:color="auto" w:fill="auto"/>
                  <w:vAlign w:val="center"/>
                </w:tcPr>
                <w:p w14:paraId="5FA480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515B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DF0A2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630" w:type="dxa"/>
                  <w:shd w:val="clear" w:color="auto" w:fill="auto"/>
                  <w:vAlign w:val="center"/>
                </w:tcPr>
                <w:p w14:paraId="1B1F5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375" w:type="dxa"/>
                  <w:shd w:val="clear" w:color="auto" w:fill="auto"/>
                  <w:vAlign w:val="center"/>
                </w:tcPr>
                <w:p w14:paraId="26B20A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52B4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570" w:type="dxa"/>
                  <w:shd w:val="clear" w:color="auto" w:fill="auto"/>
                  <w:vAlign w:val="center"/>
                </w:tcPr>
                <w:p w14:paraId="33A3E6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25" w:type="dxa"/>
                  <w:shd w:val="clear" w:color="auto" w:fill="auto"/>
                  <w:vAlign w:val="center"/>
                </w:tcPr>
                <w:p w14:paraId="1EE99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585" w:type="dxa"/>
                  <w:shd w:val="clear" w:color="auto" w:fill="auto"/>
                  <w:vAlign w:val="center"/>
                </w:tcPr>
                <w:p w14:paraId="4F979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495" w:type="dxa"/>
                  <w:shd w:val="clear" w:color="auto" w:fill="auto"/>
                  <w:vAlign w:val="center"/>
                </w:tcPr>
                <w:p w14:paraId="00030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C9A64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9F17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5566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C5258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AE20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D63B5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B986C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2A65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2DEEC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8AB4D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A6F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3AF3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27</w:t>
                  </w:r>
                </w:p>
              </w:tc>
              <w:tc>
                <w:tcPr>
                  <w:tcW w:w="1485" w:type="dxa"/>
                  <w:shd w:val="clear" w:color="auto" w:fill="auto"/>
                  <w:vAlign w:val="center"/>
                </w:tcPr>
                <w:p w14:paraId="578CA1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立磨机</w:t>
                  </w:r>
                </w:p>
              </w:tc>
              <w:tc>
                <w:tcPr>
                  <w:tcW w:w="765" w:type="dxa"/>
                  <w:shd w:val="clear" w:color="auto" w:fill="auto"/>
                  <w:vAlign w:val="center"/>
                </w:tcPr>
                <w:p w14:paraId="02732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AEC6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CF32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630" w:type="dxa"/>
                  <w:shd w:val="clear" w:color="auto" w:fill="auto"/>
                  <w:vAlign w:val="center"/>
                </w:tcPr>
                <w:p w14:paraId="263C4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375" w:type="dxa"/>
                  <w:shd w:val="clear" w:color="auto" w:fill="auto"/>
                  <w:vAlign w:val="center"/>
                </w:tcPr>
                <w:p w14:paraId="388F13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28A0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64 </w:t>
                  </w:r>
                </w:p>
              </w:tc>
              <w:tc>
                <w:tcPr>
                  <w:tcW w:w="570" w:type="dxa"/>
                  <w:shd w:val="clear" w:color="auto" w:fill="auto"/>
                  <w:vAlign w:val="center"/>
                </w:tcPr>
                <w:p w14:paraId="6E3D51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25" w:type="dxa"/>
                  <w:shd w:val="clear" w:color="auto" w:fill="auto"/>
                  <w:vAlign w:val="center"/>
                </w:tcPr>
                <w:p w14:paraId="1EF07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60 </w:t>
                  </w:r>
                </w:p>
              </w:tc>
              <w:tc>
                <w:tcPr>
                  <w:tcW w:w="585" w:type="dxa"/>
                  <w:shd w:val="clear" w:color="auto" w:fill="auto"/>
                  <w:vAlign w:val="center"/>
                </w:tcPr>
                <w:p w14:paraId="32A879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495" w:type="dxa"/>
                  <w:shd w:val="clear" w:color="auto" w:fill="auto"/>
                  <w:vAlign w:val="center"/>
                </w:tcPr>
                <w:p w14:paraId="219134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1EBB4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CD109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EFDFF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24D3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CE1A4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C34D9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0BE5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61B0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4084A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702E0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7E3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E805B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28</w:t>
                  </w:r>
                </w:p>
              </w:tc>
              <w:tc>
                <w:tcPr>
                  <w:tcW w:w="1485" w:type="dxa"/>
                  <w:shd w:val="clear" w:color="auto" w:fill="auto"/>
                  <w:vAlign w:val="center"/>
                </w:tcPr>
                <w:p w14:paraId="05C99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立磨机</w:t>
                  </w:r>
                </w:p>
              </w:tc>
              <w:tc>
                <w:tcPr>
                  <w:tcW w:w="765" w:type="dxa"/>
                  <w:shd w:val="clear" w:color="auto" w:fill="auto"/>
                  <w:vAlign w:val="center"/>
                </w:tcPr>
                <w:p w14:paraId="156E24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DBEC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5B5F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630" w:type="dxa"/>
                  <w:shd w:val="clear" w:color="auto" w:fill="auto"/>
                  <w:vAlign w:val="center"/>
                </w:tcPr>
                <w:p w14:paraId="754EA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375" w:type="dxa"/>
                  <w:shd w:val="clear" w:color="auto" w:fill="auto"/>
                  <w:vAlign w:val="center"/>
                </w:tcPr>
                <w:p w14:paraId="706F1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4B8F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570" w:type="dxa"/>
                  <w:shd w:val="clear" w:color="auto" w:fill="auto"/>
                  <w:vAlign w:val="center"/>
                </w:tcPr>
                <w:p w14:paraId="25864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25" w:type="dxa"/>
                  <w:shd w:val="clear" w:color="auto" w:fill="auto"/>
                  <w:vAlign w:val="center"/>
                </w:tcPr>
                <w:p w14:paraId="10C45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585" w:type="dxa"/>
                  <w:shd w:val="clear" w:color="auto" w:fill="auto"/>
                  <w:vAlign w:val="center"/>
                </w:tcPr>
                <w:p w14:paraId="710BE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495" w:type="dxa"/>
                  <w:shd w:val="clear" w:color="auto" w:fill="auto"/>
                  <w:vAlign w:val="center"/>
                </w:tcPr>
                <w:p w14:paraId="22A60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7F965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A1F7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8D72C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6CDC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69F2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DC03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AA80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6E92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330FA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C68E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62C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F16FC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29</w:t>
                  </w:r>
                </w:p>
              </w:tc>
              <w:tc>
                <w:tcPr>
                  <w:tcW w:w="1485" w:type="dxa"/>
                  <w:shd w:val="clear" w:color="auto" w:fill="auto"/>
                  <w:vAlign w:val="center"/>
                </w:tcPr>
                <w:p w14:paraId="7B2A02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立磨机</w:t>
                  </w:r>
                </w:p>
              </w:tc>
              <w:tc>
                <w:tcPr>
                  <w:tcW w:w="765" w:type="dxa"/>
                  <w:shd w:val="clear" w:color="auto" w:fill="auto"/>
                  <w:vAlign w:val="center"/>
                </w:tcPr>
                <w:p w14:paraId="76E01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E664F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B7BF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630" w:type="dxa"/>
                  <w:shd w:val="clear" w:color="auto" w:fill="auto"/>
                  <w:vAlign w:val="center"/>
                </w:tcPr>
                <w:p w14:paraId="6923F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375" w:type="dxa"/>
                  <w:shd w:val="clear" w:color="auto" w:fill="auto"/>
                  <w:vAlign w:val="center"/>
                </w:tcPr>
                <w:p w14:paraId="412941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4BDC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74 </w:t>
                  </w:r>
                </w:p>
              </w:tc>
              <w:tc>
                <w:tcPr>
                  <w:tcW w:w="570" w:type="dxa"/>
                  <w:shd w:val="clear" w:color="auto" w:fill="auto"/>
                  <w:vAlign w:val="center"/>
                </w:tcPr>
                <w:p w14:paraId="515CA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25" w:type="dxa"/>
                  <w:shd w:val="clear" w:color="auto" w:fill="auto"/>
                  <w:vAlign w:val="center"/>
                </w:tcPr>
                <w:p w14:paraId="2CDDC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585" w:type="dxa"/>
                  <w:shd w:val="clear" w:color="auto" w:fill="auto"/>
                  <w:vAlign w:val="center"/>
                </w:tcPr>
                <w:p w14:paraId="40AA7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495" w:type="dxa"/>
                  <w:shd w:val="clear" w:color="auto" w:fill="auto"/>
                  <w:vAlign w:val="center"/>
                </w:tcPr>
                <w:p w14:paraId="61227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18CB1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D111A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BCC4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DA3B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12B6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81457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DFF8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62448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6FBC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6D80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956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AA40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30</w:t>
                  </w:r>
                </w:p>
              </w:tc>
              <w:tc>
                <w:tcPr>
                  <w:tcW w:w="1485" w:type="dxa"/>
                  <w:shd w:val="clear" w:color="auto" w:fill="auto"/>
                  <w:vAlign w:val="center"/>
                </w:tcPr>
                <w:p w14:paraId="136C9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1#龙门平面磨</w:t>
                  </w:r>
                </w:p>
              </w:tc>
              <w:tc>
                <w:tcPr>
                  <w:tcW w:w="765" w:type="dxa"/>
                  <w:shd w:val="clear" w:color="auto" w:fill="auto"/>
                  <w:vAlign w:val="center"/>
                </w:tcPr>
                <w:p w14:paraId="37FC6F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8223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FB23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56C5CE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375" w:type="dxa"/>
                  <w:shd w:val="clear" w:color="auto" w:fill="auto"/>
                  <w:vAlign w:val="center"/>
                </w:tcPr>
                <w:p w14:paraId="1DB15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976D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78 </w:t>
                  </w:r>
                </w:p>
              </w:tc>
              <w:tc>
                <w:tcPr>
                  <w:tcW w:w="570" w:type="dxa"/>
                  <w:shd w:val="clear" w:color="auto" w:fill="auto"/>
                  <w:vAlign w:val="center"/>
                </w:tcPr>
                <w:p w14:paraId="4C415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25" w:type="dxa"/>
                  <w:shd w:val="clear" w:color="auto" w:fill="auto"/>
                  <w:vAlign w:val="center"/>
                </w:tcPr>
                <w:p w14:paraId="727095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85" w:type="dxa"/>
                  <w:shd w:val="clear" w:color="auto" w:fill="auto"/>
                  <w:vAlign w:val="center"/>
                </w:tcPr>
                <w:p w14:paraId="1D585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495" w:type="dxa"/>
                  <w:shd w:val="clear" w:color="auto" w:fill="auto"/>
                  <w:vAlign w:val="center"/>
                </w:tcPr>
                <w:p w14:paraId="456E17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70A27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9A4F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4D555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7DEE5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3B83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ECF9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F04C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B743D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54DB7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4842B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70A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1D383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31</w:t>
                  </w:r>
                </w:p>
              </w:tc>
              <w:tc>
                <w:tcPr>
                  <w:tcW w:w="1485" w:type="dxa"/>
                  <w:shd w:val="clear" w:color="auto" w:fill="auto"/>
                  <w:vAlign w:val="center"/>
                </w:tcPr>
                <w:p w14:paraId="49D04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2#龙门平面磨</w:t>
                  </w:r>
                </w:p>
              </w:tc>
              <w:tc>
                <w:tcPr>
                  <w:tcW w:w="765" w:type="dxa"/>
                  <w:shd w:val="clear" w:color="auto" w:fill="auto"/>
                  <w:vAlign w:val="center"/>
                </w:tcPr>
                <w:p w14:paraId="73730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414F2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225FC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13604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375" w:type="dxa"/>
                  <w:shd w:val="clear" w:color="auto" w:fill="auto"/>
                  <w:vAlign w:val="center"/>
                </w:tcPr>
                <w:p w14:paraId="2DD5C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4D713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70" w:type="dxa"/>
                  <w:shd w:val="clear" w:color="auto" w:fill="auto"/>
                  <w:vAlign w:val="center"/>
                </w:tcPr>
                <w:p w14:paraId="596196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25" w:type="dxa"/>
                  <w:shd w:val="clear" w:color="auto" w:fill="auto"/>
                  <w:vAlign w:val="center"/>
                </w:tcPr>
                <w:p w14:paraId="7277EE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85" w:type="dxa"/>
                  <w:shd w:val="clear" w:color="auto" w:fill="auto"/>
                  <w:vAlign w:val="center"/>
                </w:tcPr>
                <w:p w14:paraId="00527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495" w:type="dxa"/>
                  <w:shd w:val="clear" w:color="auto" w:fill="auto"/>
                  <w:vAlign w:val="center"/>
                </w:tcPr>
                <w:p w14:paraId="053F84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82D9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324A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587FD5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36B32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4A162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333AD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6970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D635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0EB0D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3B9B2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BE6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4C88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32</w:t>
                  </w:r>
                </w:p>
              </w:tc>
              <w:tc>
                <w:tcPr>
                  <w:tcW w:w="1485" w:type="dxa"/>
                  <w:shd w:val="clear" w:color="auto" w:fill="auto"/>
                  <w:vAlign w:val="center"/>
                </w:tcPr>
                <w:p w14:paraId="24458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3#龙门平面磨</w:t>
                  </w:r>
                </w:p>
              </w:tc>
              <w:tc>
                <w:tcPr>
                  <w:tcW w:w="765" w:type="dxa"/>
                  <w:shd w:val="clear" w:color="auto" w:fill="auto"/>
                  <w:vAlign w:val="center"/>
                </w:tcPr>
                <w:p w14:paraId="6B60E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6BC6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C78C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630" w:type="dxa"/>
                  <w:shd w:val="clear" w:color="auto" w:fill="auto"/>
                  <w:vAlign w:val="center"/>
                </w:tcPr>
                <w:p w14:paraId="038D8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375" w:type="dxa"/>
                  <w:shd w:val="clear" w:color="auto" w:fill="auto"/>
                  <w:vAlign w:val="center"/>
                </w:tcPr>
                <w:p w14:paraId="1014B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724D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86 </w:t>
                  </w:r>
                </w:p>
              </w:tc>
              <w:tc>
                <w:tcPr>
                  <w:tcW w:w="570" w:type="dxa"/>
                  <w:shd w:val="clear" w:color="auto" w:fill="auto"/>
                  <w:vAlign w:val="center"/>
                </w:tcPr>
                <w:p w14:paraId="1F101D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25" w:type="dxa"/>
                  <w:shd w:val="clear" w:color="auto" w:fill="auto"/>
                  <w:vAlign w:val="center"/>
                </w:tcPr>
                <w:p w14:paraId="24347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585" w:type="dxa"/>
                  <w:shd w:val="clear" w:color="auto" w:fill="auto"/>
                  <w:vAlign w:val="center"/>
                </w:tcPr>
                <w:p w14:paraId="36DB8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495" w:type="dxa"/>
                  <w:shd w:val="clear" w:color="auto" w:fill="auto"/>
                  <w:vAlign w:val="center"/>
                </w:tcPr>
                <w:p w14:paraId="42865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7015B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7885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581B0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78A56A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0BB00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5633F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C13FC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BED0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41C77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57B945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0B4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2CC9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33</w:t>
                  </w:r>
                </w:p>
              </w:tc>
              <w:tc>
                <w:tcPr>
                  <w:tcW w:w="1485" w:type="dxa"/>
                  <w:shd w:val="clear" w:color="auto" w:fill="auto"/>
                  <w:vAlign w:val="center"/>
                </w:tcPr>
                <w:p w14:paraId="7E438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4#龙门平面磨</w:t>
                  </w:r>
                </w:p>
              </w:tc>
              <w:tc>
                <w:tcPr>
                  <w:tcW w:w="765" w:type="dxa"/>
                  <w:shd w:val="clear" w:color="auto" w:fill="auto"/>
                  <w:vAlign w:val="center"/>
                </w:tcPr>
                <w:p w14:paraId="0E7186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DF66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A19EE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630" w:type="dxa"/>
                  <w:shd w:val="clear" w:color="auto" w:fill="auto"/>
                  <w:vAlign w:val="center"/>
                </w:tcPr>
                <w:p w14:paraId="40676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375" w:type="dxa"/>
                  <w:shd w:val="clear" w:color="auto" w:fill="auto"/>
                  <w:vAlign w:val="center"/>
                </w:tcPr>
                <w:p w14:paraId="71D35A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2D10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90 </w:t>
                  </w:r>
                </w:p>
              </w:tc>
              <w:tc>
                <w:tcPr>
                  <w:tcW w:w="570" w:type="dxa"/>
                  <w:shd w:val="clear" w:color="auto" w:fill="auto"/>
                  <w:vAlign w:val="center"/>
                </w:tcPr>
                <w:p w14:paraId="0EB7D5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25" w:type="dxa"/>
                  <w:shd w:val="clear" w:color="auto" w:fill="auto"/>
                  <w:vAlign w:val="center"/>
                </w:tcPr>
                <w:p w14:paraId="64DAFB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34 </w:t>
                  </w:r>
                </w:p>
              </w:tc>
              <w:tc>
                <w:tcPr>
                  <w:tcW w:w="585" w:type="dxa"/>
                  <w:shd w:val="clear" w:color="auto" w:fill="auto"/>
                  <w:vAlign w:val="center"/>
                </w:tcPr>
                <w:p w14:paraId="08CA50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495" w:type="dxa"/>
                  <w:shd w:val="clear" w:color="auto" w:fill="auto"/>
                  <w:vAlign w:val="center"/>
                </w:tcPr>
                <w:p w14:paraId="4BE324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5098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FD70C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0EB42D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6E57E4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496C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50FC9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0829D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A28C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1A89A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6242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07A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35B5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34</w:t>
                  </w:r>
                </w:p>
              </w:tc>
              <w:tc>
                <w:tcPr>
                  <w:tcW w:w="1485" w:type="dxa"/>
                  <w:shd w:val="clear" w:color="auto" w:fill="auto"/>
                  <w:vAlign w:val="center"/>
                </w:tcPr>
                <w:p w14:paraId="78B0DC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1C2841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67085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D4F3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070E9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w:t>
                  </w:r>
                </w:p>
              </w:tc>
              <w:tc>
                <w:tcPr>
                  <w:tcW w:w="375" w:type="dxa"/>
                  <w:shd w:val="clear" w:color="auto" w:fill="auto"/>
                  <w:vAlign w:val="center"/>
                </w:tcPr>
                <w:p w14:paraId="35020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E2057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70" w:type="dxa"/>
                  <w:shd w:val="clear" w:color="auto" w:fill="auto"/>
                  <w:vAlign w:val="center"/>
                </w:tcPr>
                <w:p w14:paraId="126288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167 </w:t>
                  </w:r>
                </w:p>
              </w:tc>
              <w:tc>
                <w:tcPr>
                  <w:tcW w:w="525" w:type="dxa"/>
                  <w:shd w:val="clear" w:color="auto" w:fill="auto"/>
                  <w:vAlign w:val="center"/>
                </w:tcPr>
                <w:p w14:paraId="0316E9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85" w:type="dxa"/>
                  <w:shd w:val="clear" w:color="auto" w:fill="auto"/>
                  <w:vAlign w:val="center"/>
                </w:tcPr>
                <w:p w14:paraId="5CD94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495" w:type="dxa"/>
                  <w:shd w:val="clear" w:color="auto" w:fill="auto"/>
                  <w:vAlign w:val="center"/>
                </w:tcPr>
                <w:p w14:paraId="5AD47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A630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0BD9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670" w:type="dxa"/>
                  <w:shd w:val="clear" w:color="auto" w:fill="auto"/>
                  <w:vAlign w:val="center"/>
                </w:tcPr>
                <w:p w14:paraId="25C96B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484" w:type="dxa"/>
                  <w:vMerge w:val="continue"/>
                  <w:shd w:val="clear" w:color="auto" w:fill="auto"/>
                  <w:vAlign w:val="center"/>
                </w:tcPr>
                <w:p w14:paraId="0EE177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C7FC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1426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C10DF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66050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50" w:type="dxa"/>
                  <w:shd w:val="clear" w:color="auto" w:fill="auto"/>
                  <w:vAlign w:val="center"/>
                </w:tcPr>
                <w:p w14:paraId="675C9A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81" w:type="dxa"/>
                  <w:shd w:val="clear" w:color="auto" w:fill="auto"/>
                  <w:vAlign w:val="center"/>
                </w:tcPr>
                <w:p w14:paraId="1E341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04E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A6C1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35</w:t>
                  </w:r>
                </w:p>
              </w:tc>
              <w:tc>
                <w:tcPr>
                  <w:tcW w:w="1485" w:type="dxa"/>
                  <w:shd w:val="clear" w:color="auto" w:fill="auto"/>
                  <w:vAlign w:val="center"/>
                </w:tcPr>
                <w:p w14:paraId="4209E2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1853B7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B2793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05F4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531B05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76</w:t>
                  </w:r>
                </w:p>
              </w:tc>
              <w:tc>
                <w:tcPr>
                  <w:tcW w:w="375" w:type="dxa"/>
                  <w:shd w:val="clear" w:color="auto" w:fill="auto"/>
                  <w:vAlign w:val="center"/>
                </w:tcPr>
                <w:p w14:paraId="2E6B85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38C4F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70" w:type="dxa"/>
                  <w:shd w:val="clear" w:color="auto" w:fill="auto"/>
                  <w:vAlign w:val="center"/>
                </w:tcPr>
                <w:p w14:paraId="43E8C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161 </w:t>
                  </w:r>
                </w:p>
              </w:tc>
              <w:tc>
                <w:tcPr>
                  <w:tcW w:w="525" w:type="dxa"/>
                  <w:shd w:val="clear" w:color="auto" w:fill="auto"/>
                  <w:vAlign w:val="center"/>
                </w:tcPr>
                <w:p w14:paraId="4362C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85" w:type="dxa"/>
                  <w:shd w:val="clear" w:color="auto" w:fill="auto"/>
                  <w:vAlign w:val="center"/>
                </w:tcPr>
                <w:p w14:paraId="005E6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 </w:t>
                  </w:r>
                </w:p>
              </w:tc>
              <w:tc>
                <w:tcPr>
                  <w:tcW w:w="495" w:type="dxa"/>
                  <w:shd w:val="clear" w:color="auto" w:fill="auto"/>
                  <w:vAlign w:val="center"/>
                </w:tcPr>
                <w:p w14:paraId="6448BF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0853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5527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670" w:type="dxa"/>
                  <w:shd w:val="clear" w:color="auto" w:fill="auto"/>
                  <w:vAlign w:val="center"/>
                </w:tcPr>
                <w:p w14:paraId="7DC89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4" w:type="dxa"/>
                  <w:vMerge w:val="continue"/>
                  <w:shd w:val="clear" w:color="auto" w:fill="auto"/>
                  <w:vAlign w:val="center"/>
                </w:tcPr>
                <w:p w14:paraId="0BA5F0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4182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C651B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AE0C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0EB7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50" w:type="dxa"/>
                  <w:shd w:val="clear" w:color="auto" w:fill="auto"/>
                  <w:vAlign w:val="center"/>
                </w:tcPr>
                <w:p w14:paraId="2A274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681" w:type="dxa"/>
                  <w:shd w:val="clear" w:color="auto" w:fill="auto"/>
                  <w:vAlign w:val="center"/>
                </w:tcPr>
                <w:p w14:paraId="1414E7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9DF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818E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36</w:t>
                  </w:r>
                </w:p>
              </w:tc>
              <w:tc>
                <w:tcPr>
                  <w:tcW w:w="1485" w:type="dxa"/>
                  <w:shd w:val="clear" w:color="auto" w:fill="auto"/>
                  <w:vAlign w:val="center"/>
                </w:tcPr>
                <w:p w14:paraId="2E93BB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6352BD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8A130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AD58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7025D3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p>
              </w:tc>
              <w:tc>
                <w:tcPr>
                  <w:tcW w:w="375" w:type="dxa"/>
                  <w:shd w:val="clear" w:color="auto" w:fill="auto"/>
                  <w:vAlign w:val="center"/>
                </w:tcPr>
                <w:p w14:paraId="764BF3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A50D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1DFD75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155 </w:t>
                  </w:r>
                </w:p>
              </w:tc>
              <w:tc>
                <w:tcPr>
                  <w:tcW w:w="525" w:type="dxa"/>
                  <w:shd w:val="clear" w:color="auto" w:fill="auto"/>
                  <w:vAlign w:val="center"/>
                </w:tcPr>
                <w:p w14:paraId="26222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0BF60C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495" w:type="dxa"/>
                  <w:shd w:val="clear" w:color="auto" w:fill="auto"/>
                  <w:vAlign w:val="center"/>
                </w:tcPr>
                <w:p w14:paraId="36C43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968D8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C473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6F67D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484" w:type="dxa"/>
                  <w:vMerge w:val="continue"/>
                  <w:shd w:val="clear" w:color="auto" w:fill="auto"/>
                  <w:vAlign w:val="center"/>
                </w:tcPr>
                <w:p w14:paraId="3C927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91963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2E08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B615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5366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C23D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681" w:type="dxa"/>
                  <w:shd w:val="clear" w:color="auto" w:fill="auto"/>
                  <w:vAlign w:val="center"/>
                </w:tcPr>
                <w:p w14:paraId="53B85F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949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CD1F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37</w:t>
                  </w:r>
                </w:p>
              </w:tc>
              <w:tc>
                <w:tcPr>
                  <w:tcW w:w="1485" w:type="dxa"/>
                  <w:shd w:val="clear" w:color="auto" w:fill="auto"/>
                  <w:vAlign w:val="center"/>
                </w:tcPr>
                <w:p w14:paraId="54948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1723B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8A280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1FB9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1BBF1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64</w:t>
                  </w:r>
                </w:p>
              </w:tc>
              <w:tc>
                <w:tcPr>
                  <w:tcW w:w="375" w:type="dxa"/>
                  <w:shd w:val="clear" w:color="auto" w:fill="auto"/>
                  <w:vAlign w:val="center"/>
                </w:tcPr>
                <w:p w14:paraId="46B2F5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CF6E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02BB8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149 </w:t>
                  </w:r>
                </w:p>
              </w:tc>
              <w:tc>
                <w:tcPr>
                  <w:tcW w:w="525" w:type="dxa"/>
                  <w:shd w:val="clear" w:color="auto" w:fill="auto"/>
                  <w:vAlign w:val="center"/>
                </w:tcPr>
                <w:p w14:paraId="1C829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7A23DC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21 </w:t>
                  </w:r>
                </w:p>
              </w:tc>
              <w:tc>
                <w:tcPr>
                  <w:tcW w:w="495" w:type="dxa"/>
                  <w:shd w:val="clear" w:color="auto" w:fill="auto"/>
                  <w:vAlign w:val="center"/>
                </w:tcPr>
                <w:p w14:paraId="579B2F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7F83B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010AB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49D3A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84" w:type="dxa"/>
                  <w:vMerge w:val="continue"/>
                  <w:shd w:val="clear" w:color="auto" w:fill="auto"/>
                  <w:vAlign w:val="center"/>
                </w:tcPr>
                <w:p w14:paraId="581D1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354E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94519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06725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A2FEC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1AEA4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681" w:type="dxa"/>
                  <w:shd w:val="clear" w:color="auto" w:fill="auto"/>
                  <w:vAlign w:val="center"/>
                </w:tcPr>
                <w:p w14:paraId="65E1C2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140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14E68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38</w:t>
                  </w:r>
                </w:p>
              </w:tc>
              <w:tc>
                <w:tcPr>
                  <w:tcW w:w="1485" w:type="dxa"/>
                  <w:shd w:val="clear" w:color="auto" w:fill="auto"/>
                  <w:vAlign w:val="center"/>
                </w:tcPr>
                <w:p w14:paraId="7D959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42379A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8AFC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A221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6D18E7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w:t>
                  </w:r>
                </w:p>
              </w:tc>
              <w:tc>
                <w:tcPr>
                  <w:tcW w:w="375" w:type="dxa"/>
                  <w:shd w:val="clear" w:color="auto" w:fill="auto"/>
                  <w:vAlign w:val="center"/>
                </w:tcPr>
                <w:p w14:paraId="5402D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1D538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2BD486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143 </w:t>
                  </w:r>
                </w:p>
              </w:tc>
              <w:tc>
                <w:tcPr>
                  <w:tcW w:w="525" w:type="dxa"/>
                  <w:shd w:val="clear" w:color="auto" w:fill="auto"/>
                  <w:vAlign w:val="center"/>
                </w:tcPr>
                <w:p w14:paraId="18020C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1FD997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95" w:type="dxa"/>
                  <w:shd w:val="clear" w:color="auto" w:fill="auto"/>
                  <w:vAlign w:val="center"/>
                </w:tcPr>
                <w:p w14:paraId="7F123F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A36F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8B5F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50FC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4" w:type="dxa"/>
                  <w:vMerge w:val="continue"/>
                  <w:shd w:val="clear" w:color="auto" w:fill="auto"/>
                  <w:vAlign w:val="center"/>
                </w:tcPr>
                <w:p w14:paraId="1CA8C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2D235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D2C8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17B5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CF9E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B612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681" w:type="dxa"/>
                  <w:shd w:val="clear" w:color="auto" w:fill="auto"/>
                  <w:vAlign w:val="center"/>
                </w:tcPr>
                <w:p w14:paraId="18E3A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CE8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6697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39</w:t>
                  </w:r>
                </w:p>
              </w:tc>
              <w:tc>
                <w:tcPr>
                  <w:tcW w:w="1485" w:type="dxa"/>
                  <w:shd w:val="clear" w:color="auto" w:fill="auto"/>
                  <w:vAlign w:val="center"/>
                </w:tcPr>
                <w:p w14:paraId="13F721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12403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B6590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809E5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68277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52</w:t>
                  </w:r>
                </w:p>
              </w:tc>
              <w:tc>
                <w:tcPr>
                  <w:tcW w:w="375" w:type="dxa"/>
                  <w:shd w:val="clear" w:color="auto" w:fill="auto"/>
                  <w:vAlign w:val="center"/>
                </w:tcPr>
                <w:p w14:paraId="49875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C7FAA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7571CE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137 </w:t>
                  </w:r>
                </w:p>
              </w:tc>
              <w:tc>
                <w:tcPr>
                  <w:tcW w:w="525" w:type="dxa"/>
                  <w:shd w:val="clear" w:color="auto" w:fill="auto"/>
                  <w:vAlign w:val="center"/>
                </w:tcPr>
                <w:p w14:paraId="3E1B5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6E446D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95" w:type="dxa"/>
                  <w:shd w:val="clear" w:color="auto" w:fill="auto"/>
                  <w:vAlign w:val="center"/>
                </w:tcPr>
                <w:p w14:paraId="0EA2C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CF3D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7218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FAC9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2A3116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6310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FC53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63FB4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55DC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E6FC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424717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4EA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6115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40</w:t>
                  </w:r>
                </w:p>
              </w:tc>
              <w:tc>
                <w:tcPr>
                  <w:tcW w:w="1485" w:type="dxa"/>
                  <w:shd w:val="clear" w:color="auto" w:fill="auto"/>
                  <w:vAlign w:val="center"/>
                </w:tcPr>
                <w:p w14:paraId="38DA1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497E7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5A1C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58C40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1A07E1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375" w:type="dxa"/>
                  <w:shd w:val="clear" w:color="auto" w:fill="auto"/>
                  <w:vAlign w:val="center"/>
                </w:tcPr>
                <w:p w14:paraId="53BFB6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4031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321A6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131 </w:t>
                  </w:r>
                </w:p>
              </w:tc>
              <w:tc>
                <w:tcPr>
                  <w:tcW w:w="525" w:type="dxa"/>
                  <w:shd w:val="clear" w:color="auto" w:fill="auto"/>
                  <w:vAlign w:val="center"/>
                </w:tcPr>
                <w:p w14:paraId="2672D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29993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39 </w:t>
                  </w:r>
                </w:p>
              </w:tc>
              <w:tc>
                <w:tcPr>
                  <w:tcW w:w="495" w:type="dxa"/>
                  <w:shd w:val="clear" w:color="auto" w:fill="auto"/>
                  <w:vAlign w:val="center"/>
                </w:tcPr>
                <w:p w14:paraId="0047F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E8BCB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4395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0A45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616F83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7137F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199B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5DE5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BB4F5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2ECF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7BAD1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51D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41CB3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41</w:t>
                  </w:r>
                </w:p>
              </w:tc>
              <w:tc>
                <w:tcPr>
                  <w:tcW w:w="1485" w:type="dxa"/>
                  <w:shd w:val="clear" w:color="auto" w:fill="auto"/>
                  <w:vAlign w:val="center"/>
                </w:tcPr>
                <w:p w14:paraId="094185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52F579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01B0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FD7E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729F0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75" w:type="dxa"/>
                  <w:shd w:val="clear" w:color="auto" w:fill="auto"/>
                  <w:vAlign w:val="center"/>
                </w:tcPr>
                <w:p w14:paraId="06A2A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55788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054EE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125 </w:t>
                  </w:r>
                </w:p>
              </w:tc>
              <w:tc>
                <w:tcPr>
                  <w:tcW w:w="525" w:type="dxa"/>
                  <w:shd w:val="clear" w:color="auto" w:fill="auto"/>
                  <w:vAlign w:val="center"/>
                </w:tcPr>
                <w:p w14:paraId="406B2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26FC6F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495" w:type="dxa"/>
                  <w:shd w:val="clear" w:color="auto" w:fill="auto"/>
                  <w:vAlign w:val="center"/>
                </w:tcPr>
                <w:p w14:paraId="2E7216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1D105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FF66B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50D2E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708962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6EF5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ECFD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7AC3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8B24B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1A2F3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77086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1FF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4D0BF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42</w:t>
                  </w:r>
                </w:p>
              </w:tc>
              <w:tc>
                <w:tcPr>
                  <w:tcW w:w="1485" w:type="dxa"/>
                  <w:shd w:val="clear" w:color="auto" w:fill="auto"/>
                  <w:vAlign w:val="center"/>
                </w:tcPr>
                <w:p w14:paraId="592892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0777C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505F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D6BF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007EE6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375" w:type="dxa"/>
                  <w:shd w:val="clear" w:color="auto" w:fill="auto"/>
                  <w:vAlign w:val="center"/>
                </w:tcPr>
                <w:p w14:paraId="04EDF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75DD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648FE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119 </w:t>
                  </w:r>
                </w:p>
              </w:tc>
              <w:tc>
                <w:tcPr>
                  <w:tcW w:w="525" w:type="dxa"/>
                  <w:shd w:val="clear" w:color="auto" w:fill="auto"/>
                  <w:vAlign w:val="center"/>
                </w:tcPr>
                <w:p w14:paraId="138652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3F635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95" w:type="dxa"/>
                  <w:shd w:val="clear" w:color="auto" w:fill="auto"/>
                  <w:vAlign w:val="center"/>
                </w:tcPr>
                <w:p w14:paraId="71251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1F11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D901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5A212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696AFE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3A5C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5A46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D8954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6E26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0DCB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29BF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9D7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60538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43</w:t>
                  </w:r>
                </w:p>
              </w:tc>
              <w:tc>
                <w:tcPr>
                  <w:tcW w:w="1485" w:type="dxa"/>
                  <w:shd w:val="clear" w:color="auto" w:fill="auto"/>
                  <w:vAlign w:val="center"/>
                </w:tcPr>
                <w:p w14:paraId="4DE90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6E909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2359C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2E514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112961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375" w:type="dxa"/>
                  <w:shd w:val="clear" w:color="auto" w:fill="auto"/>
                  <w:vAlign w:val="center"/>
                </w:tcPr>
                <w:p w14:paraId="4EBF77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AC555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460E4D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25" w:type="dxa"/>
                  <w:shd w:val="clear" w:color="auto" w:fill="auto"/>
                  <w:vAlign w:val="center"/>
                </w:tcPr>
                <w:p w14:paraId="6A813A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7B1F29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95" w:type="dxa"/>
                  <w:shd w:val="clear" w:color="auto" w:fill="auto"/>
                  <w:vAlign w:val="center"/>
                </w:tcPr>
                <w:p w14:paraId="67392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7007E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4799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157E5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48A01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009D0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F035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AE49A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F5AD5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A5EB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EBF2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80F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D59AD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44</w:t>
                  </w:r>
                </w:p>
              </w:tc>
              <w:tc>
                <w:tcPr>
                  <w:tcW w:w="1485" w:type="dxa"/>
                  <w:shd w:val="clear" w:color="auto" w:fill="auto"/>
                  <w:vAlign w:val="center"/>
                </w:tcPr>
                <w:p w14:paraId="6A194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754643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248D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90FE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714314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375" w:type="dxa"/>
                  <w:shd w:val="clear" w:color="auto" w:fill="auto"/>
                  <w:vAlign w:val="center"/>
                </w:tcPr>
                <w:p w14:paraId="121C2A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4BD7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4663A5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107 </w:t>
                  </w:r>
                </w:p>
              </w:tc>
              <w:tc>
                <w:tcPr>
                  <w:tcW w:w="525" w:type="dxa"/>
                  <w:shd w:val="clear" w:color="auto" w:fill="auto"/>
                  <w:vAlign w:val="center"/>
                </w:tcPr>
                <w:p w14:paraId="1F5DC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0A7872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95" w:type="dxa"/>
                  <w:shd w:val="clear" w:color="auto" w:fill="auto"/>
                  <w:vAlign w:val="center"/>
                </w:tcPr>
                <w:p w14:paraId="353F3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32025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B990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ACF7B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4FE36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7D8AB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B6A2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96D0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6748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4267B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013E3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FD8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0EF94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45</w:t>
                  </w:r>
                </w:p>
              </w:tc>
              <w:tc>
                <w:tcPr>
                  <w:tcW w:w="1485" w:type="dxa"/>
                  <w:shd w:val="clear" w:color="auto" w:fill="auto"/>
                  <w:vAlign w:val="center"/>
                </w:tcPr>
                <w:p w14:paraId="07816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4DDECB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9C657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2D4E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57D9E3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375" w:type="dxa"/>
                  <w:shd w:val="clear" w:color="auto" w:fill="auto"/>
                  <w:vAlign w:val="center"/>
                </w:tcPr>
                <w:p w14:paraId="28744F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3D64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711A6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101 </w:t>
                  </w:r>
                </w:p>
              </w:tc>
              <w:tc>
                <w:tcPr>
                  <w:tcW w:w="525" w:type="dxa"/>
                  <w:shd w:val="clear" w:color="auto" w:fill="auto"/>
                  <w:vAlign w:val="center"/>
                </w:tcPr>
                <w:p w14:paraId="02EA8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1DFDE1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69 </w:t>
                  </w:r>
                </w:p>
              </w:tc>
              <w:tc>
                <w:tcPr>
                  <w:tcW w:w="495" w:type="dxa"/>
                  <w:shd w:val="clear" w:color="auto" w:fill="auto"/>
                  <w:vAlign w:val="center"/>
                </w:tcPr>
                <w:p w14:paraId="1E489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FE8E1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75DB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093A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46FDA0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4DA3F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AFA5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F132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5E2D3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4B33B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2565D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682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820D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46</w:t>
                  </w:r>
                </w:p>
              </w:tc>
              <w:tc>
                <w:tcPr>
                  <w:tcW w:w="1485" w:type="dxa"/>
                  <w:shd w:val="clear" w:color="auto" w:fill="auto"/>
                  <w:vAlign w:val="center"/>
                </w:tcPr>
                <w:p w14:paraId="78D5F4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576D8B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5FBE1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FF43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333B2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5" w:type="dxa"/>
                  <w:shd w:val="clear" w:color="auto" w:fill="auto"/>
                  <w:vAlign w:val="center"/>
                </w:tcPr>
                <w:p w14:paraId="76EF4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96C8E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2C6BA0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 </w:t>
                  </w:r>
                </w:p>
              </w:tc>
              <w:tc>
                <w:tcPr>
                  <w:tcW w:w="525" w:type="dxa"/>
                  <w:shd w:val="clear" w:color="auto" w:fill="auto"/>
                  <w:vAlign w:val="center"/>
                </w:tcPr>
                <w:p w14:paraId="13048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01C88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75 </w:t>
                  </w:r>
                </w:p>
              </w:tc>
              <w:tc>
                <w:tcPr>
                  <w:tcW w:w="495" w:type="dxa"/>
                  <w:shd w:val="clear" w:color="auto" w:fill="auto"/>
                  <w:vAlign w:val="center"/>
                </w:tcPr>
                <w:p w14:paraId="70C358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1D6535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4EBCE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2E3FA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E1C31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40DEF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7B23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CC247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637A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4C265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02045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506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F8D2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47</w:t>
                  </w:r>
                </w:p>
              </w:tc>
              <w:tc>
                <w:tcPr>
                  <w:tcW w:w="1485" w:type="dxa"/>
                  <w:shd w:val="clear" w:color="auto" w:fill="auto"/>
                  <w:vAlign w:val="center"/>
                </w:tcPr>
                <w:p w14:paraId="2ABA59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07658D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1E60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853FB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59ADFA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375" w:type="dxa"/>
                  <w:shd w:val="clear" w:color="auto" w:fill="auto"/>
                  <w:vAlign w:val="center"/>
                </w:tcPr>
                <w:p w14:paraId="788A36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23D01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2407FB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89 </w:t>
                  </w:r>
                </w:p>
              </w:tc>
              <w:tc>
                <w:tcPr>
                  <w:tcW w:w="525" w:type="dxa"/>
                  <w:shd w:val="clear" w:color="auto" w:fill="auto"/>
                  <w:vAlign w:val="center"/>
                </w:tcPr>
                <w:p w14:paraId="4966F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653CE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 </w:t>
                  </w:r>
                </w:p>
              </w:tc>
              <w:tc>
                <w:tcPr>
                  <w:tcW w:w="495" w:type="dxa"/>
                  <w:shd w:val="clear" w:color="auto" w:fill="auto"/>
                  <w:vAlign w:val="center"/>
                </w:tcPr>
                <w:p w14:paraId="5AEE27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E7BC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8A62E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C15FD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38BE02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06620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ABB96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A12D6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7F0A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B0DE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5E1A8E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212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FBD17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48</w:t>
                  </w:r>
                </w:p>
              </w:tc>
              <w:tc>
                <w:tcPr>
                  <w:tcW w:w="1485" w:type="dxa"/>
                  <w:shd w:val="clear" w:color="auto" w:fill="auto"/>
                  <w:vAlign w:val="center"/>
                </w:tcPr>
                <w:p w14:paraId="722DC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6B21A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5F80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203E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5AD79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375" w:type="dxa"/>
                  <w:shd w:val="clear" w:color="auto" w:fill="auto"/>
                  <w:vAlign w:val="center"/>
                </w:tcPr>
                <w:p w14:paraId="32E85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A1B0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529C7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83 </w:t>
                  </w:r>
                </w:p>
              </w:tc>
              <w:tc>
                <w:tcPr>
                  <w:tcW w:w="525" w:type="dxa"/>
                  <w:shd w:val="clear" w:color="auto" w:fill="auto"/>
                  <w:vAlign w:val="center"/>
                </w:tcPr>
                <w:p w14:paraId="776B3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5F99F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495" w:type="dxa"/>
                  <w:shd w:val="clear" w:color="auto" w:fill="auto"/>
                  <w:vAlign w:val="center"/>
                </w:tcPr>
                <w:p w14:paraId="382BD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A5E0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1D80E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92397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124D1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E53A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FBFBB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D26E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3E85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EAB0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F275A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F5E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FD5D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49</w:t>
                  </w:r>
                </w:p>
              </w:tc>
              <w:tc>
                <w:tcPr>
                  <w:tcW w:w="1485" w:type="dxa"/>
                  <w:shd w:val="clear" w:color="auto" w:fill="auto"/>
                  <w:vAlign w:val="center"/>
                </w:tcPr>
                <w:p w14:paraId="68C868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7E133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C205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C472C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382D6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375" w:type="dxa"/>
                  <w:shd w:val="clear" w:color="auto" w:fill="auto"/>
                  <w:vAlign w:val="center"/>
                </w:tcPr>
                <w:p w14:paraId="4F4942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7475C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279DA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77 </w:t>
                  </w:r>
                </w:p>
              </w:tc>
              <w:tc>
                <w:tcPr>
                  <w:tcW w:w="525" w:type="dxa"/>
                  <w:shd w:val="clear" w:color="auto" w:fill="auto"/>
                  <w:vAlign w:val="center"/>
                </w:tcPr>
                <w:p w14:paraId="6C132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0E655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495" w:type="dxa"/>
                  <w:shd w:val="clear" w:color="auto" w:fill="auto"/>
                  <w:vAlign w:val="center"/>
                </w:tcPr>
                <w:p w14:paraId="4FE650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6399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4B531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62F6C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3C340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0194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B8298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D9A7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5CC8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9F9F3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9FB05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96E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6556A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50</w:t>
                  </w:r>
                </w:p>
              </w:tc>
              <w:tc>
                <w:tcPr>
                  <w:tcW w:w="1485" w:type="dxa"/>
                  <w:shd w:val="clear" w:color="auto" w:fill="auto"/>
                  <w:vAlign w:val="center"/>
                </w:tcPr>
                <w:p w14:paraId="3EB51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3A02C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9BE6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5662E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2B15C6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375" w:type="dxa"/>
                  <w:shd w:val="clear" w:color="auto" w:fill="auto"/>
                  <w:vAlign w:val="center"/>
                </w:tcPr>
                <w:p w14:paraId="7D714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9BA4C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747C99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71 </w:t>
                  </w:r>
                </w:p>
              </w:tc>
              <w:tc>
                <w:tcPr>
                  <w:tcW w:w="525" w:type="dxa"/>
                  <w:shd w:val="clear" w:color="auto" w:fill="auto"/>
                  <w:vAlign w:val="center"/>
                </w:tcPr>
                <w:p w14:paraId="4C6B6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11DDD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99 </w:t>
                  </w:r>
                </w:p>
              </w:tc>
              <w:tc>
                <w:tcPr>
                  <w:tcW w:w="495" w:type="dxa"/>
                  <w:shd w:val="clear" w:color="auto" w:fill="auto"/>
                  <w:vAlign w:val="center"/>
                </w:tcPr>
                <w:p w14:paraId="6037D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2C68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E3BE6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764AA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74970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8EDC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641A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344E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5487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7957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BDEE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E0C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A2FE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51</w:t>
                  </w:r>
                </w:p>
              </w:tc>
              <w:tc>
                <w:tcPr>
                  <w:tcW w:w="1485" w:type="dxa"/>
                  <w:shd w:val="clear" w:color="auto" w:fill="auto"/>
                  <w:vAlign w:val="center"/>
                </w:tcPr>
                <w:p w14:paraId="1E80D7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339A9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BBEE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4D0C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12F2B6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5" w:type="dxa"/>
                  <w:shd w:val="clear" w:color="auto" w:fill="auto"/>
                  <w:vAlign w:val="center"/>
                </w:tcPr>
                <w:p w14:paraId="5B2AB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51534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487E66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525" w:type="dxa"/>
                  <w:shd w:val="clear" w:color="auto" w:fill="auto"/>
                  <w:vAlign w:val="center"/>
                </w:tcPr>
                <w:p w14:paraId="01CD9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43B13B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105 </w:t>
                  </w:r>
                </w:p>
              </w:tc>
              <w:tc>
                <w:tcPr>
                  <w:tcW w:w="495" w:type="dxa"/>
                  <w:shd w:val="clear" w:color="auto" w:fill="auto"/>
                  <w:vAlign w:val="center"/>
                </w:tcPr>
                <w:p w14:paraId="0F2C7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174A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A21B9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94285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0D3A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1708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0BBA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396B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DF92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72F6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8381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EEA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FE635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52</w:t>
                  </w:r>
                </w:p>
              </w:tc>
              <w:tc>
                <w:tcPr>
                  <w:tcW w:w="1485" w:type="dxa"/>
                  <w:shd w:val="clear" w:color="auto" w:fill="auto"/>
                  <w:vAlign w:val="center"/>
                </w:tcPr>
                <w:p w14:paraId="218AA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398AA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B827B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2A8B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5BB0B0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375" w:type="dxa"/>
                  <w:shd w:val="clear" w:color="auto" w:fill="auto"/>
                  <w:vAlign w:val="center"/>
                </w:tcPr>
                <w:p w14:paraId="3BFF43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29B0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5A14A4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525" w:type="dxa"/>
                  <w:shd w:val="clear" w:color="auto" w:fill="auto"/>
                  <w:vAlign w:val="center"/>
                </w:tcPr>
                <w:p w14:paraId="06A683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33ED6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495" w:type="dxa"/>
                  <w:shd w:val="clear" w:color="auto" w:fill="auto"/>
                  <w:vAlign w:val="center"/>
                </w:tcPr>
                <w:p w14:paraId="03F22E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9AB7E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B2672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3181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55359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B6C19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DF138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58C2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96401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5EC73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D640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586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FC5AB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53</w:t>
                  </w:r>
                </w:p>
              </w:tc>
              <w:tc>
                <w:tcPr>
                  <w:tcW w:w="1485" w:type="dxa"/>
                  <w:shd w:val="clear" w:color="auto" w:fill="auto"/>
                  <w:vAlign w:val="center"/>
                </w:tcPr>
                <w:p w14:paraId="77E09D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090E26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9761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70C1A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030F5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375" w:type="dxa"/>
                  <w:shd w:val="clear" w:color="auto" w:fill="auto"/>
                  <w:vAlign w:val="center"/>
                </w:tcPr>
                <w:p w14:paraId="66840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3B9BB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17C59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525" w:type="dxa"/>
                  <w:shd w:val="clear" w:color="auto" w:fill="auto"/>
                  <w:vAlign w:val="center"/>
                </w:tcPr>
                <w:p w14:paraId="7C8006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489FF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495" w:type="dxa"/>
                  <w:shd w:val="clear" w:color="auto" w:fill="auto"/>
                  <w:vAlign w:val="center"/>
                </w:tcPr>
                <w:p w14:paraId="400F84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7B75D0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49454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84A05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7A5813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D3A9F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3A5B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22FA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643D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7536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83FA2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1D1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F04B3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54</w:t>
                  </w:r>
                </w:p>
              </w:tc>
              <w:tc>
                <w:tcPr>
                  <w:tcW w:w="1485" w:type="dxa"/>
                  <w:shd w:val="clear" w:color="auto" w:fill="auto"/>
                  <w:vAlign w:val="center"/>
                </w:tcPr>
                <w:p w14:paraId="7A2E15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13B4FA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2A84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9D0B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42CEE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375" w:type="dxa"/>
                  <w:shd w:val="clear" w:color="auto" w:fill="auto"/>
                  <w:vAlign w:val="center"/>
                </w:tcPr>
                <w:p w14:paraId="3F1336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99BB9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4F263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 </w:t>
                  </w:r>
                </w:p>
              </w:tc>
              <w:tc>
                <w:tcPr>
                  <w:tcW w:w="525" w:type="dxa"/>
                  <w:shd w:val="clear" w:color="auto" w:fill="auto"/>
                  <w:vAlign w:val="center"/>
                </w:tcPr>
                <w:p w14:paraId="19A8DD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03C6ED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123 </w:t>
                  </w:r>
                </w:p>
              </w:tc>
              <w:tc>
                <w:tcPr>
                  <w:tcW w:w="495" w:type="dxa"/>
                  <w:shd w:val="clear" w:color="auto" w:fill="auto"/>
                  <w:vAlign w:val="center"/>
                </w:tcPr>
                <w:p w14:paraId="13602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8881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35" w:type="dxa"/>
                  <w:shd w:val="clear" w:color="auto" w:fill="auto"/>
                  <w:vAlign w:val="center"/>
                </w:tcPr>
                <w:p w14:paraId="5BED1E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39B2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758356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0025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DB459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7526B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05" w:type="dxa"/>
                  <w:shd w:val="clear" w:color="auto" w:fill="auto"/>
                  <w:vAlign w:val="center"/>
                </w:tcPr>
                <w:p w14:paraId="77FF3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D229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B8C6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2B8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6254C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55</w:t>
                  </w:r>
                </w:p>
              </w:tc>
              <w:tc>
                <w:tcPr>
                  <w:tcW w:w="1485" w:type="dxa"/>
                  <w:shd w:val="clear" w:color="auto" w:fill="auto"/>
                  <w:vAlign w:val="center"/>
                </w:tcPr>
                <w:p w14:paraId="0BA03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4B513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4F82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4D89D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013E47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p>
              </w:tc>
              <w:tc>
                <w:tcPr>
                  <w:tcW w:w="375" w:type="dxa"/>
                  <w:shd w:val="clear" w:color="auto" w:fill="auto"/>
                  <w:vAlign w:val="center"/>
                </w:tcPr>
                <w:p w14:paraId="537670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1C3DB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1F214A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41 </w:t>
                  </w:r>
                </w:p>
              </w:tc>
              <w:tc>
                <w:tcPr>
                  <w:tcW w:w="525" w:type="dxa"/>
                  <w:shd w:val="clear" w:color="auto" w:fill="auto"/>
                  <w:vAlign w:val="center"/>
                </w:tcPr>
                <w:p w14:paraId="27122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47DC86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129 </w:t>
                  </w:r>
                </w:p>
              </w:tc>
              <w:tc>
                <w:tcPr>
                  <w:tcW w:w="495" w:type="dxa"/>
                  <w:shd w:val="clear" w:color="auto" w:fill="auto"/>
                  <w:vAlign w:val="center"/>
                </w:tcPr>
                <w:p w14:paraId="77D9D7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4D79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35" w:type="dxa"/>
                  <w:shd w:val="clear" w:color="auto" w:fill="auto"/>
                  <w:vAlign w:val="center"/>
                </w:tcPr>
                <w:p w14:paraId="617C1E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DC8E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88F15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AA89B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E41B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8CAA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05" w:type="dxa"/>
                  <w:shd w:val="clear" w:color="auto" w:fill="auto"/>
                  <w:vAlign w:val="center"/>
                </w:tcPr>
                <w:p w14:paraId="74D088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315F5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F48C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259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6BC38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56</w:t>
                  </w:r>
                </w:p>
              </w:tc>
              <w:tc>
                <w:tcPr>
                  <w:tcW w:w="1485" w:type="dxa"/>
                  <w:shd w:val="clear" w:color="auto" w:fill="auto"/>
                  <w:vAlign w:val="center"/>
                </w:tcPr>
                <w:p w14:paraId="437026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1AB12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BF9E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3E34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7D6ED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75" w:type="dxa"/>
                  <w:shd w:val="clear" w:color="auto" w:fill="auto"/>
                  <w:vAlign w:val="center"/>
                </w:tcPr>
                <w:p w14:paraId="02B5FE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F12DC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7A9EF5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525" w:type="dxa"/>
                  <w:shd w:val="clear" w:color="auto" w:fill="auto"/>
                  <w:vAlign w:val="center"/>
                </w:tcPr>
                <w:p w14:paraId="6ED57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03CE6C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135 </w:t>
                  </w:r>
                </w:p>
              </w:tc>
              <w:tc>
                <w:tcPr>
                  <w:tcW w:w="495" w:type="dxa"/>
                  <w:shd w:val="clear" w:color="auto" w:fill="auto"/>
                  <w:vAlign w:val="center"/>
                </w:tcPr>
                <w:p w14:paraId="43BD9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DABCB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35" w:type="dxa"/>
                  <w:shd w:val="clear" w:color="auto" w:fill="auto"/>
                  <w:vAlign w:val="center"/>
                </w:tcPr>
                <w:p w14:paraId="02914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47E5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6389D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9F903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B3007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3D77D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05" w:type="dxa"/>
                  <w:shd w:val="clear" w:color="auto" w:fill="auto"/>
                  <w:vAlign w:val="center"/>
                </w:tcPr>
                <w:p w14:paraId="25854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A763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DDC7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DBE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8DE6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57</w:t>
                  </w:r>
                </w:p>
              </w:tc>
              <w:tc>
                <w:tcPr>
                  <w:tcW w:w="1485" w:type="dxa"/>
                  <w:shd w:val="clear" w:color="auto" w:fill="auto"/>
                  <w:vAlign w:val="center"/>
                </w:tcPr>
                <w:p w14:paraId="39EFBE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30552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D3E3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245D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4F5640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w:t>
                  </w:r>
                </w:p>
              </w:tc>
              <w:tc>
                <w:tcPr>
                  <w:tcW w:w="375" w:type="dxa"/>
                  <w:shd w:val="clear" w:color="auto" w:fill="auto"/>
                  <w:vAlign w:val="center"/>
                </w:tcPr>
                <w:p w14:paraId="6156B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017BC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5C07A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525" w:type="dxa"/>
                  <w:shd w:val="clear" w:color="auto" w:fill="auto"/>
                  <w:vAlign w:val="center"/>
                </w:tcPr>
                <w:p w14:paraId="14847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4B61E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141 </w:t>
                  </w:r>
                </w:p>
              </w:tc>
              <w:tc>
                <w:tcPr>
                  <w:tcW w:w="495" w:type="dxa"/>
                  <w:shd w:val="clear" w:color="auto" w:fill="auto"/>
                  <w:vAlign w:val="center"/>
                </w:tcPr>
                <w:p w14:paraId="047D2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D2209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35" w:type="dxa"/>
                  <w:shd w:val="clear" w:color="auto" w:fill="auto"/>
                  <w:vAlign w:val="center"/>
                </w:tcPr>
                <w:p w14:paraId="16FB8B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1B2C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38CD2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649F9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EB364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B120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05" w:type="dxa"/>
                  <w:shd w:val="clear" w:color="auto" w:fill="auto"/>
                  <w:vAlign w:val="center"/>
                </w:tcPr>
                <w:p w14:paraId="30DD0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4339C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66848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B5E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F723B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58</w:t>
                  </w:r>
                </w:p>
              </w:tc>
              <w:tc>
                <w:tcPr>
                  <w:tcW w:w="1485" w:type="dxa"/>
                  <w:shd w:val="clear" w:color="auto" w:fill="auto"/>
                  <w:vAlign w:val="center"/>
                </w:tcPr>
                <w:p w14:paraId="438E3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r>
                    <w:rPr>
                      <w:rFonts w:hint="eastAsia" w:ascii="宋体" w:hAnsi="宋体" w:eastAsia="宋体" w:cs="宋体"/>
                      <w:i w:val="0"/>
                      <w:iCs w:val="0"/>
                      <w:color w:val="auto"/>
                      <w:kern w:val="0"/>
                      <w:sz w:val="18"/>
                      <w:szCs w:val="18"/>
                      <w:u w:val="none"/>
                      <w:lang w:val="en-US" w:eastAsia="zh-CN" w:bidi="ar"/>
                    </w:rPr>
                    <w:t>#轨道球道磨</w:t>
                  </w:r>
                </w:p>
              </w:tc>
              <w:tc>
                <w:tcPr>
                  <w:tcW w:w="765" w:type="dxa"/>
                  <w:shd w:val="clear" w:color="auto" w:fill="auto"/>
                  <w:vAlign w:val="center"/>
                </w:tcPr>
                <w:p w14:paraId="2FAAD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D02E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1C90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07812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w:t>
                  </w:r>
                </w:p>
              </w:tc>
              <w:tc>
                <w:tcPr>
                  <w:tcW w:w="375" w:type="dxa"/>
                  <w:shd w:val="clear" w:color="auto" w:fill="auto"/>
                  <w:vAlign w:val="center"/>
                </w:tcPr>
                <w:p w14:paraId="2CF27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5170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70" w:type="dxa"/>
                  <w:shd w:val="clear" w:color="auto" w:fill="auto"/>
                  <w:vAlign w:val="center"/>
                </w:tcPr>
                <w:p w14:paraId="53F9D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23 </w:t>
                  </w:r>
                </w:p>
              </w:tc>
              <w:tc>
                <w:tcPr>
                  <w:tcW w:w="525" w:type="dxa"/>
                  <w:shd w:val="clear" w:color="auto" w:fill="auto"/>
                  <w:vAlign w:val="center"/>
                </w:tcPr>
                <w:p w14:paraId="4E051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85" w:type="dxa"/>
                  <w:shd w:val="clear" w:color="auto" w:fill="auto"/>
                  <w:vAlign w:val="center"/>
                </w:tcPr>
                <w:p w14:paraId="024562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147 </w:t>
                  </w:r>
                </w:p>
              </w:tc>
              <w:tc>
                <w:tcPr>
                  <w:tcW w:w="495" w:type="dxa"/>
                  <w:shd w:val="clear" w:color="auto" w:fill="auto"/>
                  <w:vAlign w:val="center"/>
                </w:tcPr>
                <w:p w14:paraId="055A9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D845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35" w:type="dxa"/>
                  <w:shd w:val="clear" w:color="auto" w:fill="auto"/>
                  <w:vAlign w:val="center"/>
                </w:tcPr>
                <w:p w14:paraId="3EA520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C5701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AC64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D9635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B649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680C3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05" w:type="dxa"/>
                  <w:shd w:val="clear" w:color="auto" w:fill="auto"/>
                  <w:vAlign w:val="center"/>
                </w:tcPr>
                <w:p w14:paraId="25291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F151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E6BC3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E84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29D8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59</w:t>
                  </w:r>
                </w:p>
              </w:tc>
              <w:tc>
                <w:tcPr>
                  <w:tcW w:w="1485" w:type="dxa"/>
                  <w:shd w:val="clear" w:color="auto" w:fill="auto"/>
                  <w:vAlign w:val="center"/>
                </w:tcPr>
                <w:p w14:paraId="7D2BA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7C874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C390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7B32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47686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w:t>
                  </w:r>
                </w:p>
              </w:tc>
              <w:tc>
                <w:tcPr>
                  <w:tcW w:w="375" w:type="dxa"/>
                  <w:shd w:val="clear" w:color="auto" w:fill="auto"/>
                  <w:vAlign w:val="center"/>
                </w:tcPr>
                <w:p w14:paraId="02E61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3773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25659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167 </w:t>
                  </w:r>
                </w:p>
              </w:tc>
              <w:tc>
                <w:tcPr>
                  <w:tcW w:w="525" w:type="dxa"/>
                  <w:shd w:val="clear" w:color="auto" w:fill="auto"/>
                  <w:vAlign w:val="center"/>
                </w:tcPr>
                <w:p w14:paraId="01D761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1A29EB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495" w:type="dxa"/>
                  <w:shd w:val="clear" w:color="auto" w:fill="auto"/>
                  <w:vAlign w:val="center"/>
                </w:tcPr>
                <w:p w14:paraId="62175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77014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5296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76E8C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484" w:type="dxa"/>
                  <w:vMerge w:val="continue"/>
                  <w:shd w:val="clear" w:color="auto" w:fill="auto"/>
                  <w:vAlign w:val="center"/>
                </w:tcPr>
                <w:p w14:paraId="200DCC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722B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98C1C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8995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E1CBE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43FF9B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81" w:type="dxa"/>
                  <w:shd w:val="clear" w:color="auto" w:fill="auto"/>
                  <w:vAlign w:val="center"/>
                </w:tcPr>
                <w:p w14:paraId="1A98E9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485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5E43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60</w:t>
                  </w:r>
                </w:p>
              </w:tc>
              <w:tc>
                <w:tcPr>
                  <w:tcW w:w="1485" w:type="dxa"/>
                  <w:shd w:val="clear" w:color="auto" w:fill="auto"/>
                  <w:vAlign w:val="center"/>
                </w:tcPr>
                <w:p w14:paraId="78E1CA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39FE9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A60C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8A57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42F2C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76</w:t>
                  </w:r>
                </w:p>
              </w:tc>
              <w:tc>
                <w:tcPr>
                  <w:tcW w:w="375" w:type="dxa"/>
                  <w:shd w:val="clear" w:color="auto" w:fill="auto"/>
                  <w:vAlign w:val="center"/>
                </w:tcPr>
                <w:p w14:paraId="6CB66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A004C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71C44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161 </w:t>
                  </w:r>
                </w:p>
              </w:tc>
              <w:tc>
                <w:tcPr>
                  <w:tcW w:w="525" w:type="dxa"/>
                  <w:shd w:val="clear" w:color="auto" w:fill="auto"/>
                  <w:vAlign w:val="center"/>
                </w:tcPr>
                <w:p w14:paraId="3103DD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780395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 </w:t>
                  </w:r>
                </w:p>
              </w:tc>
              <w:tc>
                <w:tcPr>
                  <w:tcW w:w="495" w:type="dxa"/>
                  <w:shd w:val="clear" w:color="auto" w:fill="auto"/>
                  <w:vAlign w:val="center"/>
                </w:tcPr>
                <w:p w14:paraId="22837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BE137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12D9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1365F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4" w:type="dxa"/>
                  <w:vMerge w:val="continue"/>
                  <w:shd w:val="clear" w:color="auto" w:fill="auto"/>
                  <w:vAlign w:val="center"/>
                </w:tcPr>
                <w:p w14:paraId="5A124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8411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0D5D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49D7B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80482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05131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681" w:type="dxa"/>
                  <w:shd w:val="clear" w:color="auto" w:fill="auto"/>
                  <w:vAlign w:val="center"/>
                </w:tcPr>
                <w:p w14:paraId="3A4B2B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DF6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116C9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61</w:t>
                  </w:r>
                </w:p>
              </w:tc>
              <w:tc>
                <w:tcPr>
                  <w:tcW w:w="1485" w:type="dxa"/>
                  <w:shd w:val="clear" w:color="auto" w:fill="auto"/>
                  <w:vAlign w:val="center"/>
                </w:tcPr>
                <w:p w14:paraId="2D4209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0DD896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A61B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D146E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0B7FAD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p>
              </w:tc>
              <w:tc>
                <w:tcPr>
                  <w:tcW w:w="375" w:type="dxa"/>
                  <w:shd w:val="clear" w:color="auto" w:fill="auto"/>
                  <w:vAlign w:val="center"/>
                </w:tcPr>
                <w:p w14:paraId="45F07B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00CE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51F67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155 </w:t>
                  </w:r>
                </w:p>
              </w:tc>
              <w:tc>
                <w:tcPr>
                  <w:tcW w:w="525" w:type="dxa"/>
                  <w:shd w:val="clear" w:color="auto" w:fill="auto"/>
                  <w:vAlign w:val="center"/>
                </w:tcPr>
                <w:p w14:paraId="4EE31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295349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495" w:type="dxa"/>
                  <w:shd w:val="clear" w:color="auto" w:fill="auto"/>
                  <w:vAlign w:val="center"/>
                </w:tcPr>
                <w:p w14:paraId="56C06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6DE77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06A4E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318B93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484" w:type="dxa"/>
                  <w:vMerge w:val="continue"/>
                  <w:shd w:val="clear" w:color="auto" w:fill="auto"/>
                  <w:vAlign w:val="center"/>
                </w:tcPr>
                <w:p w14:paraId="138A7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D1E2E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F3CA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8CE44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F6C3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04989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681" w:type="dxa"/>
                  <w:shd w:val="clear" w:color="auto" w:fill="auto"/>
                  <w:vAlign w:val="center"/>
                </w:tcPr>
                <w:p w14:paraId="6FB6D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F35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048B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62</w:t>
                  </w:r>
                </w:p>
              </w:tc>
              <w:tc>
                <w:tcPr>
                  <w:tcW w:w="1485" w:type="dxa"/>
                  <w:shd w:val="clear" w:color="auto" w:fill="auto"/>
                  <w:vAlign w:val="center"/>
                </w:tcPr>
                <w:p w14:paraId="554C88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10F15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E70C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9CC3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68AC7E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64</w:t>
                  </w:r>
                </w:p>
              </w:tc>
              <w:tc>
                <w:tcPr>
                  <w:tcW w:w="375" w:type="dxa"/>
                  <w:shd w:val="clear" w:color="auto" w:fill="auto"/>
                  <w:vAlign w:val="center"/>
                </w:tcPr>
                <w:p w14:paraId="736D1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E45C4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4C4E3F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149 </w:t>
                  </w:r>
                </w:p>
              </w:tc>
              <w:tc>
                <w:tcPr>
                  <w:tcW w:w="525" w:type="dxa"/>
                  <w:shd w:val="clear" w:color="auto" w:fill="auto"/>
                  <w:vAlign w:val="center"/>
                </w:tcPr>
                <w:p w14:paraId="09AC7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1E47F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21 </w:t>
                  </w:r>
                </w:p>
              </w:tc>
              <w:tc>
                <w:tcPr>
                  <w:tcW w:w="495" w:type="dxa"/>
                  <w:shd w:val="clear" w:color="auto" w:fill="auto"/>
                  <w:vAlign w:val="center"/>
                </w:tcPr>
                <w:p w14:paraId="7694EE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305A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CA4D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5A82DE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84" w:type="dxa"/>
                  <w:vMerge w:val="continue"/>
                  <w:shd w:val="clear" w:color="auto" w:fill="auto"/>
                  <w:vAlign w:val="center"/>
                </w:tcPr>
                <w:p w14:paraId="0561B0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F2424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48E3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0195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40455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1B9DB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681" w:type="dxa"/>
                  <w:shd w:val="clear" w:color="auto" w:fill="auto"/>
                  <w:vAlign w:val="center"/>
                </w:tcPr>
                <w:p w14:paraId="41C12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C10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BD818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63</w:t>
                  </w:r>
                </w:p>
              </w:tc>
              <w:tc>
                <w:tcPr>
                  <w:tcW w:w="1485" w:type="dxa"/>
                  <w:shd w:val="clear" w:color="auto" w:fill="auto"/>
                  <w:vAlign w:val="center"/>
                </w:tcPr>
                <w:p w14:paraId="42225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1CA5D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A1B2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04EC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56FA77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w:t>
                  </w:r>
                </w:p>
              </w:tc>
              <w:tc>
                <w:tcPr>
                  <w:tcW w:w="375" w:type="dxa"/>
                  <w:shd w:val="clear" w:color="auto" w:fill="auto"/>
                  <w:vAlign w:val="center"/>
                </w:tcPr>
                <w:p w14:paraId="10A561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F8DEF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29F819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143 </w:t>
                  </w:r>
                </w:p>
              </w:tc>
              <w:tc>
                <w:tcPr>
                  <w:tcW w:w="525" w:type="dxa"/>
                  <w:shd w:val="clear" w:color="auto" w:fill="auto"/>
                  <w:vAlign w:val="center"/>
                </w:tcPr>
                <w:p w14:paraId="698262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37EE47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95" w:type="dxa"/>
                  <w:shd w:val="clear" w:color="auto" w:fill="auto"/>
                  <w:vAlign w:val="center"/>
                </w:tcPr>
                <w:p w14:paraId="5F820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848BE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96FF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45CFE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4" w:type="dxa"/>
                  <w:vMerge w:val="continue"/>
                  <w:shd w:val="clear" w:color="auto" w:fill="auto"/>
                  <w:vAlign w:val="center"/>
                </w:tcPr>
                <w:p w14:paraId="4759E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2E9F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8FD0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D78A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80CC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001A69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681" w:type="dxa"/>
                  <w:shd w:val="clear" w:color="auto" w:fill="auto"/>
                  <w:vAlign w:val="center"/>
                </w:tcPr>
                <w:p w14:paraId="10A56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381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2B41A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64</w:t>
                  </w:r>
                </w:p>
              </w:tc>
              <w:tc>
                <w:tcPr>
                  <w:tcW w:w="1485" w:type="dxa"/>
                  <w:shd w:val="clear" w:color="auto" w:fill="auto"/>
                  <w:vAlign w:val="center"/>
                </w:tcPr>
                <w:p w14:paraId="3705D1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5ACC0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4561C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CBE8C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5CFDD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52</w:t>
                  </w:r>
                </w:p>
              </w:tc>
              <w:tc>
                <w:tcPr>
                  <w:tcW w:w="375" w:type="dxa"/>
                  <w:shd w:val="clear" w:color="auto" w:fill="auto"/>
                  <w:vAlign w:val="center"/>
                </w:tcPr>
                <w:p w14:paraId="3D3B6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74C11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20885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137 </w:t>
                  </w:r>
                </w:p>
              </w:tc>
              <w:tc>
                <w:tcPr>
                  <w:tcW w:w="525" w:type="dxa"/>
                  <w:shd w:val="clear" w:color="auto" w:fill="auto"/>
                  <w:vAlign w:val="center"/>
                </w:tcPr>
                <w:p w14:paraId="64E8E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0A546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95" w:type="dxa"/>
                  <w:shd w:val="clear" w:color="auto" w:fill="auto"/>
                  <w:vAlign w:val="center"/>
                </w:tcPr>
                <w:p w14:paraId="399FC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5BA7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D0F8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24283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355C9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42513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31E9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37653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3A81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080DA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0958F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6A8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FA7B9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65</w:t>
                  </w:r>
                </w:p>
              </w:tc>
              <w:tc>
                <w:tcPr>
                  <w:tcW w:w="1485" w:type="dxa"/>
                  <w:shd w:val="clear" w:color="auto" w:fill="auto"/>
                  <w:vAlign w:val="center"/>
                </w:tcPr>
                <w:p w14:paraId="6D3E39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48A7EC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268B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F96C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09B1E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375" w:type="dxa"/>
                  <w:shd w:val="clear" w:color="auto" w:fill="auto"/>
                  <w:vAlign w:val="center"/>
                </w:tcPr>
                <w:p w14:paraId="23B1B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F268A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2C546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131 </w:t>
                  </w:r>
                </w:p>
              </w:tc>
              <w:tc>
                <w:tcPr>
                  <w:tcW w:w="525" w:type="dxa"/>
                  <w:shd w:val="clear" w:color="auto" w:fill="auto"/>
                  <w:vAlign w:val="center"/>
                </w:tcPr>
                <w:p w14:paraId="2339C0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2F907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39 </w:t>
                  </w:r>
                </w:p>
              </w:tc>
              <w:tc>
                <w:tcPr>
                  <w:tcW w:w="495" w:type="dxa"/>
                  <w:shd w:val="clear" w:color="auto" w:fill="auto"/>
                  <w:vAlign w:val="center"/>
                </w:tcPr>
                <w:p w14:paraId="12371D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7AA48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BBCF0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68D71E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1F1387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3963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F9AA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7BE3A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918E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682C2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5DD3C8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104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2DDB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66</w:t>
                  </w:r>
                </w:p>
              </w:tc>
              <w:tc>
                <w:tcPr>
                  <w:tcW w:w="1485" w:type="dxa"/>
                  <w:shd w:val="clear" w:color="auto" w:fill="auto"/>
                  <w:vAlign w:val="center"/>
                </w:tcPr>
                <w:p w14:paraId="28F0E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6243B2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EF65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BFF8E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23AC1B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75" w:type="dxa"/>
                  <w:shd w:val="clear" w:color="auto" w:fill="auto"/>
                  <w:vAlign w:val="center"/>
                </w:tcPr>
                <w:p w14:paraId="0AD02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7DEA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46B768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125 </w:t>
                  </w:r>
                </w:p>
              </w:tc>
              <w:tc>
                <w:tcPr>
                  <w:tcW w:w="525" w:type="dxa"/>
                  <w:shd w:val="clear" w:color="auto" w:fill="auto"/>
                  <w:vAlign w:val="center"/>
                </w:tcPr>
                <w:p w14:paraId="6F711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0C620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495" w:type="dxa"/>
                  <w:shd w:val="clear" w:color="auto" w:fill="auto"/>
                  <w:vAlign w:val="center"/>
                </w:tcPr>
                <w:p w14:paraId="142783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4E2C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E6B1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70817F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637D8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5389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A9A5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325EC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F8D9B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7F80D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5FB1D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6E6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4F94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67</w:t>
                  </w:r>
                </w:p>
              </w:tc>
              <w:tc>
                <w:tcPr>
                  <w:tcW w:w="1485" w:type="dxa"/>
                  <w:shd w:val="clear" w:color="auto" w:fill="auto"/>
                  <w:vAlign w:val="center"/>
                </w:tcPr>
                <w:p w14:paraId="610E6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122A0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F954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9215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6C3FD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375" w:type="dxa"/>
                  <w:shd w:val="clear" w:color="auto" w:fill="auto"/>
                  <w:vAlign w:val="center"/>
                </w:tcPr>
                <w:p w14:paraId="06A9E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0B80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6BD61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119 </w:t>
                  </w:r>
                </w:p>
              </w:tc>
              <w:tc>
                <w:tcPr>
                  <w:tcW w:w="525" w:type="dxa"/>
                  <w:shd w:val="clear" w:color="auto" w:fill="auto"/>
                  <w:vAlign w:val="center"/>
                </w:tcPr>
                <w:p w14:paraId="67048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2930BD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95" w:type="dxa"/>
                  <w:shd w:val="clear" w:color="auto" w:fill="auto"/>
                  <w:vAlign w:val="center"/>
                </w:tcPr>
                <w:p w14:paraId="3FCDE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36E9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87C6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03136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ADC4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909C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7A6FE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5285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2C07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5CFF6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FBEA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A58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14AD1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68</w:t>
                  </w:r>
                </w:p>
              </w:tc>
              <w:tc>
                <w:tcPr>
                  <w:tcW w:w="1485" w:type="dxa"/>
                  <w:shd w:val="clear" w:color="auto" w:fill="auto"/>
                  <w:vAlign w:val="center"/>
                </w:tcPr>
                <w:p w14:paraId="1D32FD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7DC70A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C828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2DDC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34881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375" w:type="dxa"/>
                  <w:shd w:val="clear" w:color="auto" w:fill="auto"/>
                  <w:vAlign w:val="center"/>
                </w:tcPr>
                <w:p w14:paraId="0BF93A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D4B3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66A3C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25" w:type="dxa"/>
                  <w:shd w:val="clear" w:color="auto" w:fill="auto"/>
                  <w:vAlign w:val="center"/>
                </w:tcPr>
                <w:p w14:paraId="18C4A9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24A588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95" w:type="dxa"/>
                  <w:shd w:val="clear" w:color="auto" w:fill="auto"/>
                  <w:vAlign w:val="center"/>
                </w:tcPr>
                <w:p w14:paraId="6D9411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57F58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24286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354203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4B19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E638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27A61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024C0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1F118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618B0F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E970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CF3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67A5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69</w:t>
                  </w:r>
                </w:p>
              </w:tc>
              <w:tc>
                <w:tcPr>
                  <w:tcW w:w="1485" w:type="dxa"/>
                  <w:shd w:val="clear" w:color="auto" w:fill="auto"/>
                  <w:vAlign w:val="center"/>
                </w:tcPr>
                <w:p w14:paraId="101AE1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19ACF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E1C11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2C26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0CE98F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375" w:type="dxa"/>
                  <w:shd w:val="clear" w:color="auto" w:fill="auto"/>
                  <w:vAlign w:val="center"/>
                </w:tcPr>
                <w:p w14:paraId="41D45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78A0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2E9D3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107 </w:t>
                  </w:r>
                </w:p>
              </w:tc>
              <w:tc>
                <w:tcPr>
                  <w:tcW w:w="525" w:type="dxa"/>
                  <w:shd w:val="clear" w:color="auto" w:fill="auto"/>
                  <w:vAlign w:val="center"/>
                </w:tcPr>
                <w:p w14:paraId="62626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1281D7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95" w:type="dxa"/>
                  <w:shd w:val="clear" w:color="auto" w:fill="auto"/>
                  <w:vAlign w:val="center"/>
                </w:tcPr>
                <w:p w14:paraId="2163C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18C2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C274D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48A4D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8392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AE60F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ED7E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07EB4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F6BFB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4B35C0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A245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1D0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D1A0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70</w:t>
                  </w:r>
                </w:p>
              </w:tc>
              <w:tc>
                <w:tcPr>
                  <w:tcW w:w="1485" w:type="dxa"/>
                  <w:shd w:val="clear" w:color="auto" w:fill="auto"/>
                  <w:vAlign w:val="center"/>
                </w:tcPr>
                <w:p w14:paraId="657A9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0B1F2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40C5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9E5B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28BC0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375" w:type="dxa"/>
                  <w:shd w:val="clear" w:color="auto" w:fill="auto"/>
                  <w:vAlign w:val="center"/>
                </w:tcPr>
                <w:p w14:paraId="72C8B4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C32D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378BFB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101 </w:t>
                  </w:r>
                </w:p>
              </w:tc>
              <w:tc>
                <w:tcPr>
                  <w:tcW w:w="525" w:type="dxa"/>
                  <w:shd w:val="clear" w:color="auto" w:fill="auto"/>
                  <w:vAlign w:val="center"/>
                </w:tcPr>
                <w:p w14:paraId="568938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48159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69 </w:t>
                  </w:r>
                </w:p>
              </w:tc>
              <w:tc>
                <w:tcPr>
                  <w:tcW w:w="495" w:type="dxa"/>
                  <w:shd w:val="clear" w:color="auto" w:fill="auto"/>
                  <w:vAlign w:val="center"/>
                </w:tcPr>
                <w:p w14:paraId="027432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0DF64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B5E6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2EE28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27331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672C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CF25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97A9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17CB5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59905C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A64B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A7A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5364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71</w:t>
                  </w:r>
                </w:p>
              </w:tc>
              <w:tc>
                <w:tcPr>
                  <w:tcW w:w="1485" w:type="dxa"/>
                  <w:shd w:val="clear" w:color="auto" w:fill="auto"/>
                  <w:vAlign w:val="center"/>
                </w:tcPr>
                <w:p w14:paraId="0CB21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0B4A5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3A48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F2F66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27E09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5" w:type="dxa"/>
                  <w:shd w:val="clear" w:color="auto" w:fill="auto"/>
                  <w:vAlign w:val="center"/>
                </w:tcPr>
                <w:p w14:paraId="05E868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5650A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1749F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 </w:t>
                  </w:r>
                </w:p>
              </w:tc>
              <w:tc>
                <w:tcPr>
                  <w:tcW w:w="525" w:type="dxa"/>
                  <w:shd w:val="clear" w:color="auto" w:fill="auto"/>
                  <w:vAlign w:val="center"/>
                </w:tcPr>
                <w:p w14:paraId="673528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2D930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75 </w:t>
                  </w:r>
                </w:p>
              </w:tc>
              <w:tc>
                <w:tcPr>
                  <w:tcW w:w="495" w:type="dxa"/>
                  <w:shd w:val="clear" w:color="auto" w:fill="auto"/>
                  <w:vAlign w:val="center"/>
                </w:tcPr>
                <w:p w14:paraId="0909A6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C2A35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37DD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220AA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9E46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9DB0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D00D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63EF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B5494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0BF73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FD46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95C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8DFF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72</w:t>
                  </w:r>
                </w:p>
              </w:tc>
              <w:tc>
                <w:tcPr>
                  <w:tcW w:w="1485" w:type="dxa"/>
                  <w:shd w:val="clear" w:color="auto" w:fill="auto"/>
                  <w:vAlign w:val="center"/>
                </w:tcPr>
                <w:p w14:paraId="1C5F20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6C00BF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CED4A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D2A1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49FB4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375" w:type="dxa"/>
                  <w:shd w:val="clear" w:color="auto" w:fill="auto"/>
                  <w:vAlign w:val="center"/>
                </w:tcPr>
                <w:p w14:paraId="573E3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6513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1B36F8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89 </w:t>
                  </w:r>
                </w:p>
              </w:tc>
              <w:tc>
                <w:tcPr>
                  <w:tcW w:w="525" w:type="dxa"/>
                  <w:shd w:val="clear" w:color="auto" w:fill="auto"/>
                  <w:vAlign w:val="center"/>
                </w:tcPr>
                <w:p w14:paraId="2F4426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0853F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 </w:t>
                  </w:r>
                </w:p>
              </w:tc>
              <w:tc>
                <w:tcPr>
                  <w:tcW w:w="495" w:type="dxa"/>
                  <w:shd w:val="clear" w:color="auto" w:fill="auto"/>
                  <w:vAlign w:val="center"/>
                </w:tcPr>
                <w:p w14:paraId="2CB005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B481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E9A70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082B0F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EF940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2EF9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1823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9F6A4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B2920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7CE48B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33D52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712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1826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73</w:t>
                  </w:r>
                </w:p>
              </w:tc>
              <w:tc>
                <w:tcPr>
                  <w:tcW w:w="1485" w:type="dxa"/>
                  <w:shd w:val="clear" w:color="auto" w:fill="auto"/>
                  <w:vAlign w:val="center"/>
                </w:tcPr>
                <w:p w14:paraId="76FAF7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057A7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AB10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25516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53724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375" w:type="dxa"/>
                  <w:shd w:val="clear" w:color="auto" w:fill="auto"/>
                  <w:vAlign w:val="center"/>
                </w:tcPr>
                <w:p w14:paraId="7EF92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8DA55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5B126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83 </w:t>
                  </w:r>
                </w:p>
              </w:tc>
              <w:tc>
                <w:tcPr>
                  <w:tcW w:w="525" w:type="dxa"/>
                  <w:shd w:val="clear" w:color="auto" w:fill="auto"/>
                  <w:vAlign w:val="center"/>
                </w:tcPr>
                <w:p w14:paraId="6E7A4E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25C4C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495" w:type="dxa"/>
                  <w:shd w:val="clear" w:color="auto" w:fill="auto"/>
                  <w:vAlign w:val="center"/>
                </w:tcPr>
                <w:p w14:paraId="47ECB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F9644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10183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7C0EB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C5808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5269B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8259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F5C4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86538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4C430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D99B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C06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4D31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74</w:t>
                  </w:r>
                </w:p>
              </w:tc>
              <w:tc>
                <w:tcPr>
                  <w:tcW w:w="1485" w:type="dxa"/>
                  <w:shd w:val="clear" w:color="auto" w:fill="auto"/>
                  <w:vAlign w:val="center"/>
                </w:tcPr>
                <w:p w14:paraId="15870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69880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6EB5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42317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0F38A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375" w:type="dxa"/>
                  <w:shd w:val="clear" w:color="auto" w:fill="auto"/>
                  <w:vAlign w:val="center"/>
                </w:tcPr>
                <w:p w14:paraId="2A4BA7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4BC7A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1844D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77 </w:t>
                  </w:r>
                </w:p>
              </w:tc>
              <w:tc>
                <w:tcPr>
                  <w:tcW w:w="525" w:type="dxa"/>
                  <w:shd w:val="clear" w:color="auto" w:fill="auto"/>
                  <w:vAlign w:val="center"/>
                </w:tcPr>
                <w:p w14:paraId="69CA8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12B54A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495" w:type="dxa"/>
                  <w:shd w:val="clear" w:color="auto" w:fill="auto"/>
                  <w:vAlign w:val="center"/>
                </w:tcPr>
                <w:p w14:paraId="52534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1E0F3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E005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2FFAC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233F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0DEF0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3E2AB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B674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B2788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6C1F2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D547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C88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AA20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75</w:t>
                  </w:r>
                </w:p>
              </w:tc>
              <w:tc>
                <w:tcPr>
                  <w:tcW w:w="1485" w:type="dxa"/>
                  <w:shd w:val="clear" w:color="auto" w:fill="auto"/>
                  <w:vAlign w:val="center"/>
                </w:tcPr>
                <w:p w14:paraId="4F6D52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27340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0572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4CB35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3F314B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375" w:type="dxa"/>
                  <w:shd w:val="clear" w:color="auto" w:fill="auto"/>
                  <w:vAlign w:val="center"/>
                </w:tcPr>
                <w:p w14:paraId="04E76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8A23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419DA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71 </w:t>
                  </w:r>
                </w:p>
              </w:tc>
              <w:tc>
                <w:tcPr>
                  <w:tcW w:w="525" w:type="dxa"/>
                  <w:shd w:val="clear" w:color="auto" w:fill="auto"/>
                  <w:vAlign w:val="center"/>
                </w:tcPr>
                <w:p w14:paraId="3E9B59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3C2581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99 </w:t>
                  </w:r>
                </w:p>
              </w:tc>
              <w:tc>
                <w:tcPr>
                  <w:tcW w:w="495" w:type="dxa"/>
                  <w:shd w:val="clear" w:color="auto" w:fill="auto"/>
                  <w:vAlign w:val="center"/>
                </w:tcPr>
                <w:p w14:paraId="3E823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CB82C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9F0D4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56A58C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EAB5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8303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E0774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F8E96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F893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55AF3F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D384B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041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7977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76</w:t>
                  </w:r>
                </w:p>
              </w:tc>
              <w:tc>
                <w:tcPr>
                  <w:tcW w:w="1485" w:type="dxa"/>
                  <w:shd w:val="clear" w:color="auto" w:fill="auto"/>
                  <w:vAlign w:val="center"/>
                </w:tcPr>
                <w:p w14:paraId="3EAE7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21216A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663B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D5B3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725672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5" w:type="dxa"/>
                  <w:shd w:val="clear" w:color="auto" w:fill="auto"/>
                  <w:vAlign w:val="center"/>
                </w:tcPr>
                <w:p w14:paraId="01FF6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0F47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17760F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525" w:type="dxa"/>
                  <w:shd w:val="clear" w:color="auto" w:fill="auto"/>
                  <w:vAlign w:val="center"/>
                </w:tcPr>
                <w:p w14:paraId="03ACA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036D9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105 </w:t>
                  </w:r>
                </w:p>
              </w:tc>
              <w:tc>
                <w:tcPr>
                  <w:tcW w:w="495" w:type="dxa"/>
                  <w:shd w:val="clear" w:color="auto" w:fill="auto"/>
                  <w:vAlign w:val="center"/>
                </w:tcPr>
                <w:p w14:paraId="2BB16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F940A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38A2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560563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3C0F0F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4DA4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721AD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172B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FE75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519F5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47C8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8A0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7044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77</w:t>
                  </w:r>
                </w:p>
              </w:tc>
              <w:tc>
                <w:tcPr>
                  <w:tcW w:w="1485" w:type="dxa"/>
                  <w:shd w:val="clear" w:color="auto" w:fill="auto"/>
                  <w:vAlign w:val="center"/>
                </w:tcPr>
                <w:p w14:paraId="0F6C3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1191C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6B595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431C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7BD62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375" w:type="dxa"/>
                  <w:shd w:val="clear" w:color="auto" w:fill="auto"/>
                  <w:vAlign w:val="center"/>
                </w:tcPr>
                <w:p w14:paraId="24B3A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FEE18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1264F4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525" w:type="dxa"/>
                  <w:shd w:val="clear" w:color="auto" w:fill="auto"/>
                  <w:vAlign w:val="center"/>
                </w:tcPr>
                <w:p w14:paraId="5522D0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2CBDF0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495" w:type="dxa"/>
                  <w:shd w:val="clear" w:color="auto" w:fill="auto"/>
                  <w:vAlign w:val="center"/>
                </w:tcPr>
                <w:p w14:paraId="089F6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4101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D9E8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08E29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E2313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E42DE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84FC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F82D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A9ABE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392E8A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8BF8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866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47969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78</w:t>
                  </w:r>
                </w:p>
              </w:tc>
              <w:tc>
                <w:tcPr>
                  <w:tcW w:w="1485" w:type="dxa"/>
                  <w:shd w:val="clear" w:color="auto" w:fill="auto"/>
                  <w:vAlign w:val="center"/>
                </w:tcPr>
                <w:p w14:paraId="0B565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4A902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1C8DC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53EF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134996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375" w:type="dxa"/>
                  <w:shd w:val="clear" w:color="auto" w:fill="auto"/>
                  <w:vAlign w:val="center"/>
                </w:tcPr>
                <w:p w14:paraId="4D575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873B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627B5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525" w:type="dxa"/>
                  <w:shd w:val="clear" w:color="auto" w:fill="auto"/>
                  <w:vAlign w:val="center"/>
                </w:tcPr>
                <w:p w14:paraId="5EC18E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2BB70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495" w:type="dxa"/>
                  <w:shd w:val="clear" w:color="auto" w:fill="auto"/>
                  <w:vAlign w:val="center"/>
                </w:tcPr>
                <w:p w14:paraId="04651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46A7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D273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6EDFC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44D8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EEE5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DD81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3044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693B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6B8FCE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5978D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96D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4BEFD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79</w:t>
                  </w:r>
                </w:p>
              </w:tc>
              <w:tc>
                <w:tcPr>
                  <w:tcW w:w="1485" w:type="dxa"/>
                  <w:shd w:val="clear" w:color="auto" w:fill="auto"/>
                  <w:vAlign w:val="center"/>
                </w:tcPr>
                <w:p w14:paraId="4022B9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59E0A7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DEA1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7579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6DE587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375" w:type="dxa"/>
                  <w:shd w:val="clear" w:color="auto" w:fill="auto"/>
                  <w:vAlign w:val="center"/>
                </w:tcPr>
                <w:p w14:paraId="653034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C8DF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065A3C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 </w:t>
                  </w:r>
                </w:p>
              </w:tc>
              <w:tc>
                <w:tcPr>
                  <w:tcW w:w="525" w:type="dxa"/>
                  <w:shd w:val="clear" w:color="auto" w:fill="auto"/>
                  <w:vAlign w:val="center"/>
                </w:tcPr>
                <w:p w14:paraId="550349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0C9CD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123 </w:t>
                  </w:r>
                </w:p>
              </w:tc>
              <w:tc>
                <w:tcPr>
                  <w:tcW w:w="495" w:type="dxa"/>
                  <w:shd w:val="clear" w:color="auto" w:fill="auto"/>
                  <w:vAlign w:val="center"/>
                </w:tcPr>
                <w:p w14:paraId="6A03C3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12285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35" w:type="dxa"/>
                  <w:shd w:val="clear" w:color="auto" w:fill="auto"/>
                  <w:vAlign w:val="center"/>
                </w:tcPr>
                <w:p w14:paraId="741F97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57F54D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4DCC4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E5BD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66ED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20FA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05" w:type="dxa"/>
                  <w:shd w:val="clear" w:color="auto" w:fill="auto"/>
                  <w:vAlign w:val="center"/>
                </w:tcPr>
                <w:p w14:paraId="076C1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212EA2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E183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9AB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C29F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80</w:t>
                  </w:r>
                </w:p>
              </w:tc>
              <w:tc>
                <w:tcPr>
                  <w:tcW w:w="1485" w:type="dxa"/>
                  <w:shd w:val="clear" w:color="auto" w:fill="auto"/>
                  <w:vAlign w:val="center"/>
                </w:tcPr>
                <w:p w14:paraId="21C90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22E56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3DFA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A363C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19DC1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p>
              </w:tc>
              <w:tc>
                <w:tcPr>
                  <w:tcW w:w="375" w:type="dxa"/>
                  <w:shd w:val="clear" w:color="auto" w:fill="auto"/>
                  <w:vAlign w:val="center"/>
                </w:tcPr>
                <w:p w14:paraId="7C5D3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12A1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519628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41 </w:t>
                  </w:r>
                </w:p>
              </w:tc>
              <w:tc>
                <w:tcPr>
                  <w:tcW w:w="525" w:type="dxa"/>
                  <w:shd w:val="clear" w:color="auto" w:fill="auto"/>
                  <w:vAlign w:val="center"/>
                </w:tcPr>
                <w:p w14:paraId="1AE54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7FAE2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129 </w:t>
                  </w:r>
                </w:p>
              </w:tc>
              <w:tc>
                <w:tcPr>
                  <w:tcW w:w="495" w:type="dxa"/>
                  <w:shd w:val="clear" w:color="auto" w:fill="auto"/>
                  <w:vAlign w:val="center"/>
                </w:tcPr>
                <w:p w14:paraId="1CCC0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1FCDD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35" w:type="dxa"/>
                  <w:shd w:val="clear" w:color="auto" w:fill="auto"/>
                  <w:vAlign w:val="center"/>
                </w:tcPr>
                <w:p w14:paraId="519F8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447BBE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29AF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5DA71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4E3E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1B04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05" w:type="dxa"/>
                  <w:shd w:val="clear" w:color="auto" w:fill="auto"/>
                  <w:vAlign w:val="center"/>
                </w:tcPr>
                <w:p w14:paraId="500950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1DC75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AB5D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311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1DD5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81</w:t>
                  </w:r>
                </w:p>
              </w:tc>
              <w:tc>
                <w:tcPr>
                  <w:tcW w:w="1485" w:type="dxa"/>
                  <w:shd w:val="clear" w:color="auto" w:fill="auto"/>
                  <w:vAlign w:val="center"/>
                </w:tcPr>
                <w:p w14:paraId="354197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164C41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D94A1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A9A6A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202343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75" w:type="dxa"/>
                  <w:shd w:val="clear" w:color="auto" w:fill="auto"/>
                  <w:vAlign w:val="center"/>
                </w:tcPr>
                <w:p w14:paraId="28768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A99D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0D0E81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525" w:type="dxa"/>
                  <w:shd w:val="clear" w:color="auto" w:fill="auto"/>
                  <w:vAlign w:val="center"/>
                </w:tcPr>
                <w:p w14:paraId="416DF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611B2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135 </w:t>
                  </w:r>
                </w:p>
              </w:tc>
              <w:tc>
                <w:tcPr>
                  <w:tcW w:w="495" w:type="dxa"/>
                  <w:shd w:val="clear" w:color="auto" w:fill="auto"/>
                  <w:vAlign w:val="center"/>
                </w:tcPr>
                <w:p w14:paraId="34B60A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C4259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35" w:type="dxa"/>
                  <w:shd w:val="clear" w:color="auto" w:fill="auto"/>
                  <w:vAlign w:val="center"/>
                </w:tcPr>
                <w:p w14:paraId="779EDC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5B936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A5A43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9287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CDF8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87C49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05" w:type="dxa"/>
                  <w:shd w:val="clear" w:color="auto" w:fill="auto"/>
                  <w:vAlign w:val="center"/>
                </w:tcPr>
                <w:p w14:paraId="78D16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0A60B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8611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CB8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60EC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82</w:t>
                  </w:r>
                </w:p>
              </w:tc>
              <w:tc>
                <w:tcPr>
                  <w:tcW w:w="1485" w:type="dxa"/>
                  <w:shd w:val="clear" w:color="auto" w:fill="auto"/>
                  <w:vAlign w:val="center"/>
                </w:tcPr>
                <w:p w14:paraId="098E1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29987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1C61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C33DB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4E41C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w:t>
                  </w:r>
                </w:p>
              </w:tc>
              <w:tc>
                <w:tcPr>
                  <w:tcW w:w="375" w:type="dxa"/>
                  <w:shd w:val="clear" w:color="auto" w:fill="auto"/>
                  <w:vAlign w:val="center"/>
                </w:tcPr>
                <w:p w14:paraId="155FE9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8830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3FB81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525" w:type="dxa"/>
                  <w:shd w:val="clear" w:color="auto" w:fill="auto"/>
                  <w:vAlign w:val="center"/>
                </w:tcPr>
                <w:p w14:paraId="74E2EC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255D7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141 </w:t>
                  </w:r>
                </w:p>
              </w:tc>
              <w:tc>
                <w:tcPr>
                  <w:tcW w:w="495" w:type="dxa"/>
                  <w:shd w:val="clear" w:color="auto" w:fill="auto"/>
                  <w:vAlign w:val="center"/>
                </w:tcPr>
                <w:p w14:paraId="0F880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AA02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35" w:type="dxa"/>
                  <w:shd w:val="clear" w:color="auto" w:fill="auto"/>
                  <w:vAlign w:val="center"/>
                </w:tcPr>
                <w:p w14:paraId="55B51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044421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593F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CEEF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3544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EC9B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05" w:type="dxa"/>
                  <w:shd w:val="clear" w:color="auto" w:fill="auto"/>
                  <w:vAlign w:val="center"/>
                </w:tcPr>
                <w:p w14:paraId="42209C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5F27F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5672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595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645A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83</w:t>
                  </w:r>
                </w:p>
              </w:tc>
              <w:tc>
                <w:tcPr>
                  <w:tcW w:w="1485" w:type="dxa"/>
                  <w:shd w:val="clear" w:color="auto" w:fill="auto"/>
                  <w:vAlign w:val="center"/>
                </w:tcPr>
                <w:p w14:paraId="32DE30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r>
                    <w:rPr>
                      <w:rFonts w:hint="eastAsia" w:ascii="宋体" w:hAnsi="宋体" w:eastAsia="宋体" w:cs="宋体"/>
                      <w:i w:val="0"/>
                      <w:iCs w:val="0"/>
                      <w:color w:val="auto"/>
                      <w:kern w:val="0"/>
                      <w:sz w:val="18"/>
                      <w:szCs w:val="18"/>
                      <w:u w:val="none"/>
                      <w:lang w:val="en-US" w:eastAsia="zh-CN" w:bidi="ar"/>
                    </w:rPr>
                    <w:t>#打标机</w:t>
                  </w:r>
                </w:p>
              </w:tc>
              <w:tc>
                <w:tcPr>
                  <w:tcW w:w="765" w:type="dxa"/>
                  <w:shd w:val="clear" w:color="auto" w:fill="auto"/>
                  <w:vAlign w:val="center"/>
                </w:tcPr>
                <w:p w14:paraId="43593E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B5FB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B5A4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630" w:type="dxa"/>
                  <w:shd w:val="clear" w:color="auto" w:fill="auto"/>
                  <w:vAlign w:val="center"/>
                </w:tcPr>
                <w:p w14:paraId="3A19D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w:t>
                  </w:r>
                </w:p>
              </w:tc>
              <w:tc>
                <w:tcPr>
                  <w:tcW w:w="375" w:type="dxa"/>
                  <w:shd w:val="clear" w:color="auto" w:fill="auto"/>
                  <w:vAlign w:val="center"/>
                </w:tcPr>
                <w:p w14:paraId="009ED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B4B3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70" w:type="dxa"/>
                  <w:shd w:val="clear" w:color="auto" w:fill="auto"/>
                  <w:vAlign w:val="center"/>
                </w:tcPr>
                <w:p w14:paraId="6AAD1E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23 </w:t>
                  </w:r>
                </w:p>
              </w:tc>
              <w:tc>
                <w:tcPr>
                  <w:tcW w:w="525" w:type="dxa"/>
                  <w:shd w:val="clear" w:color="auto" w:fill="auto"/>
                  <w:vAlign w:val="center"/>
                </w:tcPr>
                <w:p w14:paraId="5B5B7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24 </w:t>
                  </w:r>
                </w:p>
              </w:tc>
              <w:tc>
                <w:tcPr>
                  <w:tcW w:w="585" w:type="dxa"/>
                  <w:shd w:val="clear" w:color="auto" w:fill="auto"/>
                  <w:vAlign w:val="center"/>
                </w:tcPr>
                <w:p w14:paraId="013A4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147 </w:t>
                  </w:r>
                </w:p>
              </w:tc>
              <w:tc>
                <w:tcPr>
                  <w:tcW w:w="495" w:type="dxa"/>
                  <w:shd w:val="clear" w:color="auto" w:fill="auto"/>
                  <w:vAlign w:val="center"/>
                </w:tcPr>
                <w:p w14:paraId="0EA72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06A13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35" w:type="dxa"/>
                  <w:shd w:val="clear" w:color="auto" w:fill="auto"/>
                  <w:vAlign w:val="center"/>
                </w:tcPr>
                <w:p w14:paraId="0EA52D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670" w:type="dxa"/>
                  <w:shd w:val="clear" w:color="auto" w:fill="auto"/>
                  <w:vAlign w:val="center"/>
                </w:tcPr>
                <w:p w14:paraId="07EA0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7635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F5481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76B5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AB9D4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05" w:type="dxa"/>
                  <w:shd w:val="clear" w:color="auto" w:fill="auto"/>
                  <w:vAlign w:val="center"/>
                </w:tcPr>
                <w:p w14:paraId="1C43B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50" w:type="dxa"/>
                  <w:shd w:val="clear" w:color="auto" w:fill="auto"/>
                  <w:vAlign w:val="center"/>
                </w:tcPr>
                <w:p w14:paraId="49362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1F703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753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87368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84</w:t>
                  </w:r>
                </w:p>
              </w:tc>
              <w:tc>
                <w:tcPr>
                  <w:tcW w:w="1485" w:type="dxa"/>
                  <w:shd w:val="clear" w:color="auto" w:fill="auto"/>
                  <w:vAlign w:val="center"/>
                </w:tcPr>
                <w:p w14:paraId="17A9D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1#平面磨床</w:t>
                  </w:r>
                </w:p>
              </w:tc>
              <w:tc>
                <w:tcPr>
                  <w:tcW w:w="765" w:type="dxa"/>
                  <w:shd w:val="clear" w:color="auto" w:fill="auto"/>
                  <w:vAlign w:val="center"/>
                </w:tcPr>
                <w:p w14:paraId="44C271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2A2A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D1FA8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630" w:type="dxa"/>
                  <w:shd w:val="clear" w:color="auto" w:fill="auto"/>
                  <w:vAlign w:val="center"/>
                </w:tcPr>
                <w:p w14:paraId="44DC36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w:t>
                  </w:r>
                </w:p>
              </w:tc>
              <w:tc>
                <w:tcPr>
                  <w:tcW w:w="375" w:type="dxa"/>
                  <w:shd w:val="clear" w:color="auto" w:fill="auto"/>
                  <w:vAlign w:val="center"/>
                </w:tcPr>
                <w:p w14:paraId="75325B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D420F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570" w:type="dxa"/>
                  <w:shd w:val="clear" w:color="auto" w:fill="auto"/>
                  <w:vAlign w:val="center"/>
                </w:tcPr>
                <w:p w14:paraId="4F0E7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167 </w:t>
                  </w:r>
                </w:p>
              </w:tc>
              <w:tc>
                <w:tcPr>
                  <w:tcW w:w="525" w:type="dxa"/>
                  <w:shd w:val="clear" w:color="auto" w:fill="auto"/>
                  <w:vAlign w:val="center"/>
                </w:tcPr>
                <w:p w14:paraId="15C82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 </w:t>
                  </w:r>
                </w:p>
              </w:tc>
              <w:tc>
                <w:tcPr>
                  <w:tcW w:w="585" w:type="dxa"/>
                  <w:shd w:val="clear" w:color="auto" w:fill="auto"/>
                  <w:vAlign w:val="center"/>
                </w:tcPr>
                <w:p w14:paraId="6F823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495" w:type="dxa"/>
                  <w:shd w:val="clear" w:color="auto" w:fill="auto"/>
                  <w:vAlign w:val="center"/>
                </w:tcPr>
                <w:p w14:paraId="60ED1A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00130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73780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6463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484" w:type="dxa"/>
                  <w:vMerge w:val="continue"/>
                  <w:shd w:val="clear" w:color="auto" w:fill="auto"/>
                  <w:vAlign w:val="center"/>
                </w:tcPr>
                <w:p w14:paraId="704AC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AD8C1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051D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34C03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4E59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418A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681" w:type="dxa"/>
                  <w:shd w:val="clear" w:color="auto" w:fill="auto"/>
                  <w:vAlign w:val="center"/>
                </w:tcPr>
                <w:p w14:paraId="2732E9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ADD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68E4F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85</w:t>
                  </w:r>
                </w:p>
              </w:tc>
              <w:tc>
                <w:tcPr>
                  <w:tcW w:w="1485" w:type="dxa"/>
                  <w:shd w:val="clear" w:color="auto" w:fill="auto"/>
                  <w:vAlign w:val="center"/>
                </w:tcPr>
                <w:p w14:paraId="05B83B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2#平面磨床</w:t>
                  </w:r>
                </w:p>
              </w:tc>
              <w:tc>
                <w:tcPr>
                  <w:tcW w:w="765" w:type="dxa"/>
                  <w:shd w:val="clear" w:color="auto" w:fill="auto"/>
                  <w:vAlign w:val="center"/>
                </w:tcPr>
                <w:p w14:paraId="31C8E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7AD8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34C6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630" w:type="dxa"/>
                  <w:shd w:val="clear" w:color="auto" w:fill="auto"/>
                  <w:vAlign w:val="center"/>
                </w:tcPr>
                <w:p w14:paraId="602C9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77</w:t>
                  </w:r>
                </w:p>
              </w:tc>
              <w:tc>
                <w:tcPr>
                  <w:tcW w:w="375" w:type="dxa"/>
                  <w:shd w:val="clear" w:color="auto" w:fill="auto"/>
                  <w:vAlign w:val="center"/>
                </w:tcPr>
                <w:p w14:paraId="647D3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3ED9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570" w:type="dxa"/>
                  <w:shd w:val="clear" w:color="auto" w:fill="auto"/>
                  <w:vAlign w:val="center"/>
                </w:tcPr>
                <w:p w14:paraId="10451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162 </w:t>
                  </w:r>
                </w:p>
              </w:tc>
              <w:tc>
                <w:tcPr>
                  <w:tcW w:w="525" w:type="dxa"/>
                  <w:shd w:val="clear" w:color="auto" w:fill="auto"/>
                  <w:vAlign w:val="center"/>
                </w:tcPr>
                <w:p w14:paraId="1BC61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 </w:t>
                  </w:r>
                </w:p>
              </w:tc>
              <w:tc>
                <w:tcPr>
                  <w:tcW w:w="585" w:type="dxa"/>
                  <w:shd w:val="clear" w:color="auto" w:fill="auto"/>
                  <w:vAlign w:val="center"/>
                </w:tcPr>
                <w:p w14:paraId="5C0A7F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 </w:t>
                  </w:r>
                </w:p>
              </w:tc>
              <w:tc>
                <w:tcPr>
                  <w:tcW w:w="495" w:type="dxa"/>
                  <w:shd w:val="clear" w:color="auto" w:fill="auto"/>
                  <w:vAlign w:val="center"/>
                </w:tcPr>
                <w:p w14:paraId="54471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6F9263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C47A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19B05F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4" w:type="dxa"/>
                  <w:vMerge w:val="continue"/>
                  <w:shd w:val="clear" w:color="auto" w:fill="auto"/>
                  <w:vAlign w:val="center"/>
                </w:tcPr>
                <w:p w14:paraId="1176B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AF8D3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F0CD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75A33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2793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2487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681" w:type="dxa"/>
                  <w:shd w:val="clear" w:color="auto" w:fill="auto"/>
                  <w:vAlign w:val="center"/>
                </w:tcPr>
                <w:p w14:paraId="3E4953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146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2589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86</w:t>
                  </w:r>
                </w:p>
              </w:tc>
              <w:tc>
                <w:tcPr>
                  <w:tcW w:w="1485" w:type="dxa"/>
                  <w:shd w:val="clear" w:color="auto" w:fill="auto"/>
                  <w:vAlign w:val="center"/>
                </w:tcPr>
                <w:p w14:paraId="71D7F2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3#平面磨床</w:t>
                  </w:r>
                </w:p>
              </w:tc>
              <w:tc>
                <w:tcPr>
                  <w:tcW w:w="765" w:type="dxa"/>
                  <w:shd w:val="clear" w:color="auto" w:fill="auto"/>
                  <w:vAlign w:val="center"/>
                </w:tcPr>
                <w:p w14:paraId="100DF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F032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E26D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630" w:type="dxa"/>
                  <w:shd w:val="clear" w:color="auto" w:fill="auto"/>
                  <w:vAlign w:val="center"/>
                </w:tcPr>
                <w:p w14:paraId="10C45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w:t>
                  </w:r>
                </w:p>
              </w:tc>
              <w:tc>
                <w:tcPr>
                  <w:tcW w:w="375" w:type="dxa"/>
                  <w:shd w:val="clear" w:color="auto" w:fill="auto"/>
                  <w:vAlign w:val="center"/>
                </w:tcPr>
                <w:p w14:paraId="26E66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F68DD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570" w:type="dxa"/>
                  <w:shd w:val="clear" w:color="auto" w:fill="auto"/>
                  <w:vAlign w:val="center"/>
                </w:tcPr>
                <w:p w14:paraId="053D64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157 </w:t>
                  </w:r>
                </w:p>
              </w:tc>
              <w:tc>
                <w:tcPr>
                  <w:tcW w:w="525" w:type="dxa"/>
                  <w:shd w:val="clear" w:color="auto" w:fill="auto"/>
                  <w:vAlign w:val="center"/>
                </w:tcPr>
                <w:p w14:paraId="47C30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 </w:t>
                  </w:r>
                </w:p>
              </w:tc>
              <w:tc>
                <w:tcPr>
                  <w:tcW w:w="585" w:type="dxa"/>
                  <w:shd w:val="clear" w:color="auto" w:fill="auto"/>
                  <w:vAlign w:val="center"/>
                </w:tcPr>
                <w:p w14:paraId="53CBDE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495" w:type="dxa"/>
                  <w:shd w:val="clear" w:color="auto" w:fill="auto"/>
                  <w:vAlign w:val="center"/>
                </w:tcPr>
                <w:p w14:paraId="04DD0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0022D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54A5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58FEF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DA62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B2C28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B7BD6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49BD1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E134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E0A2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BB2D3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76B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7E936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87</w:t>
                  </w:r>
                </w:p>
              </w:tc>
              <w:tc>
                <w:tcPr>
                  <w:tcW w:w="1485" w:type="dxa"/>
                  <w:shd w:val="clear" w:color="auto" w:fill="auto"/>
                  <w:vAlign w:val="center"/>
                </w:tcPr>
                <w:p w14:paraId="66E8D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4#平面磨床</w:t>
                  </w:r>
                </w:p>
              </w:tc>
              <w:tc>
                <w:tcPr>
                  <w:tcW w:w="765" w:type="dxa"/>
                  <w:shd w:val="clear" w:color="auto" w:fill="auto"/>
                  <w:vAlign w:val="center"/>
                </w:tcPr>
                <w:p w14:paraId="5ED50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C8DF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6160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630" w:type="dxa"/>
                  <w:shd w:val="clear" w:color="auto" w:fill="auto"/>
                  <w:vAlign w:val="center"/>
                </w:tcPr>
                <w:p w14:paraId="656C05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67</w:t>
                  </w:r>
                </w:p>
              </w:tc>
              <w:tc>
                <w:tcPr>
                  <w:tcW w:w="375" w:type="dxa"/>
                  <w:shd w:val="clear" w:color="auto" w:fill="auto"/>
                  <w:vAlign w:val="center"/>
                </w:tcPr>
                <w:p w14:paraId="72FD7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AE7FB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570" w:type="dxa"/>
                  <w:shd w:val="clear" w:color="auto" w:fill="auto"/>
                  <w:vAlign w:val="center"/>
                </w:tcPr>
                <w:p w14:paraId="6B87DE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152 </w:t>
                  </w:r>
                </w:p>
              </w:tc>
              <w:tc>
                <w:tcPr>
                  <w:tcW w:w="525" w:type="dxa"/>
                  <w:shd w:val="clear" w:color="auto" w:fill="auto"/>
                  <w:vAlign w:val="center"/>
                </w:tcPr>
                <w:p w14:paraId="1389BD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 </w:t>
                  </w:r>
                </w:p>
              </w:tc>
              <w:tc>
                <w:tcPr>
                  <w:tcW w:w="585" w:type="dxa"/>
                  <w:shd w:val="clear" w:color="auto" w:fill="auto"/>
                  <w:vAlign w:val="center"/>
                </w:tcPr>
                <w:p w14:paraId="14FE7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18 </w:t>
                  </w:r>
                </w:p>
              </w:tc>
              <w:tc>
                <w:tcPr>
                  <w:tcW w:w="495" w:type="dxa"/>
                  <w:shd w:val="clear" w:color="auto" w:fill="auto"/>
                  <w:vAlign w:val="center"/>
                </w:tcPr>
                <w:p w14:paraId="6A6845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76A150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2FCF7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AD385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84" w:type="dxa"/>
                  <w:vMerge w:val="continue"/>
                  <w:shd w:val="clear" w:color="auto" w:fill="auto"/>
                  <w:vAlign w:val="center"/>
                </w:tcPr>
                <w:p w14:paraId="635ED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0FCDD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AFD9F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480CB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3199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425E0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681" w:type="dxa"/>
                  <w:shd w:val="clear" w:color="auto" w:fill="auto"/>
                  <w:vAlign w:val="center"/>
                </w:tcPr>
                <w:p w14:paraId="275F48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774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34589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88</w:t>
                  </w:r>
                </w:p>
              </w:tc>
              <w:tc>
                <w:tcPr>
                  <w:tcW w:w="1485" w:type="dxa"/>
                  <w:shd w:val="clear" w:color="auto" w:fill="auto"/>
                  <w:vAlign w:val="center"/>
                </w:tcPr>
                <w:p w14:paraId="508513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single"/>
                    </w:rPr>
                  </w:pPr>
                  <w:r>
                    <w:rPr>
                      <w:rFonts w:hint="eastAsia" w:ascii="宋体" w:hAnsi="宋体" w:eastAsia="宋体" w:cs="宋体"/>
                      <w:i w:val="0"/>
                      <w:iCs w:val="0"/>
                      <w:color w:val="auto"/>
                      <w:kern w:val="0"/>
                      <w:sz w:val="18"/>
                      <w:szCs w:val="18"/>
                      <w:u w:val="single"/>
                      <w:lang w:val="en-US" w:eastAsia="zh-CN" w:bidi="ar"/>
                    </w:rPr>
                    <w:fldChar w:fldCharType="begin"/>
                  </w:r>
                  <w:r>
                    <w:rPr>
                      <w:rFonts w:hint="eastAsia" w:ascii="宋体" w:hAnsi="宋体" w:eastAsia="宋体" w:cs="宋体"/>
                      <w:i w:val="0"/>
                      <w:iCs w:val="0"/>
                      <w:color w:val="auto"/>
                      <w:kern w:val="0"/>
                      <w:sz w:val="18"/>
                      <w:szCs w:val="18"/>
                      <w:u w:val="single"/>
                      <w:lang w:val="en-US" w:eastAsia="zh-CN" w:bidi="ar"/>
                    </w:rPr>
                    <w:instrText xml:space="preserve"> HYPERLINK "mailto:1@平侧磨床" </w:instrText>
                  </w:r>
                  <w:r>
                    <w:rPr>
                      <w:rFonts w:hint="eastAsia" w:ascii="宋体" w:hAnsi="宋体" w:eastAsia="宋体" w:cs="宋体"/>
                      <w:i w:val="0"/>
                      <w:iCs w:val="0"/>
                      <w:color w:val="auto"/>
                      <w:kern w:val="0"/>
                      <w:sz w:val="18"/>
                      <w:szCs w:val="18"/>
                      <w:u w:val="single"/>
                      <w:lang w:val="en-US" w:eastAsia="zh-CN" w:bidi="ar"/>
                    </w:rPr>
                    <w:fldChar w:fldCharType="separate"/>
                  </w:r>
                  <w:r>
                    <w:rPr>
                      <w:rStyle w:val="39"/>
                      <w:rFonts w:hint="eastAsia" w:ascii="宋体" w:hAnsi="宋体" w:eastAsia="宋体" w:cs="宋体"/>
                      <w:i w:val="0"/>
                      <w:iCs w:val="0"/>
                      <w:color w:val="auto"/>
                      <w:sz w:val="18"/>
                      <w:szCs w:val="18"/>
                      <w:u w:val="single"/>
                    </w:rPr>
                    <w:t>1#平侧磨床</w:t>
                  </w:r>
                  <w:r>
                    <w:rPr>
                      <w:rFonts w:hint="eastAsia" w:ascii="宋体" w:hAnsi="宋体" w:eastAsia="宋体" w:cs="宋体"/>
                      <w:i w:val="0"/>
                      <w:iCs w:val="0"/>
                      <w:color w:val="auto"/>
                      <w:kern w:val="0"/>
                      <w:sz w:val="18"/>
                      <w:szCs w:val="18"/>
                      <w:u w:val="single"/>
                      <w:lang w:val="en-US" w:eastAsia="zh-CN" w:bidi="ar"/>
                    </w:rPr>
                    <w:fldChar w:fldCharType="end"/>
                  </w:r>
                </w:p>
              </w:tc>
              <w:tc>
                <w:tcPr>
                  <w:tcW w:w="765" w:type="dxa"/>
                  <w:shd w:val="clear" w:color="auto" w:fill="auto"/>
                  <w:vAlign w:val="center"/>
                </w:tcPr>
                <w:p w14:paraId="0B71B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CCF3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0CDB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630" w:type="dxa"/>
                  <w:shd w:val="clear" w:color="auto" w:fill="auto"/>
                  <w:vAlign w:val="center"/>
                </w:tcPr>
                <w:p w14:paraId="1634E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w:t>
                  </w:r>
                </w:p>
              </w:tc>
              <w:tc>
                <w:tcPr>
                  <w:tcW w:w="375" w:type="dxa"/>
                  <w:shd w:val="clear" w:color="auto" w:fill="auto"/>
                  <w:vAlign w:val="center"/>
                </w:tcPr>
                <w:p w14:paraId="69BADC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95381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570" w:type="dxa"/>
                  <w:shd w:val="clear" w:color="auto" w:fill="auto"/>
                  <w:vAlign w:val="center"/>
                </w:tcPr>
                <w:p w14:paraId="6BA77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147 </w:t>
                  </w:r>
                </w:p>
              </w:tc>
              <w:tc>
                <w:tcPr>
                  <w:tcW w:w="525" w:type="dxa"/>
                  <w:shd w:val="clear" w:color="auto" w:fill="auto"/>
                  <w:vAlign w:val="center"/>
                </w:tcPr>
                <w:p w14:paraId="3A3DCC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 </w:t>
                  </w:r>
                </w:p>
              </w:tc>
              <w:tc>
                <w:tcPr>
                  <w:tcW w:w="585" w:type="dxa"/>
                  <w:shd w:val="clear" w:color="auto" w:fill="auto"/>
                  <w:vAlign w:val="center"/>
                </w:tcPr>
                <w:p w14:paraId="2D1066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23 </w:t>
                  </w:r>
                </w:p>
              </w:tc>
              <w:tc>
                <w:tcPr>
                  <w:tcW w:w="495" w:type="dxa"/>
                  <w:shd w:val="clear" w:color="auto" w:fill="auto"/>
                  <w:vAlign w:val="center"/>
                </w:tcPr>
                <w:p w14:paraId="14B479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37F3E6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8344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5F7A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4" w:type="dxa"/>
                  <w:vMerge w:val="continue"/>
                  <w:shd w:val="clear" w:color="auto" w:fill="auto"/>
                  <w:vAlign w:val="center"/>
                </w:tcPr>
                <w:p w14:paraId="5BD49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196A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E9B5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2179DB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CA1B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1C07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681" w:type="dxa"/>
                  <w:shd w:val="clear" w:color="auto" w:fill="auto"/>
                  <w:vAlign w:val="center"/>
                </w:tcPr>
                <w:p w14:paraId="3BEBB4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0E9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F27B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89</w:t>
                  </w:r>
                </w:p>
              </w:tc>
              <w:tc>
                <w:tcPr>
                  <w:tcW w:w="1485" w:type="dxa"/>
                  <w:shd w:val="clear" w:color="auto" w:fill="auto"/>
                  <w:vAlign w:val="center"/>
                </w:tcPr>
                <w:p w14:paraId="2AD3D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single"/>
                    </w:rPr>
                  </w:pPr>
                  <w:r>
                    <w:rPr>
                      <w:rFonts w:hint="eastAsia" w:ascii="宋体" w:hAnsi="宋体" w:eastAsia="宋体" w:cs="宋体"/>
                      <w:i w:val="0"/>
                      <w:iCs w:val="0"/>
                      <w:color w:val="auto"/>
                      <w:kern w:val="0"/>
                      <w:sz w:val="18"/>
                      <w:szCs w:val="18"/>
                      <w:u w:val="single"/>
                      <w:lang w:val="en-US" w:eastAsia="zh-CN" w:bidi="ar"/>
                    </w:rPr>
                    <w:fldChar w:fldCharType="begin"/>
                  </w:r>
                  <w:r>
                    <w:rPr>
                      <w:rFonts w:hint="eastAsia" w:ascii="宋体" w:hAnsi="宋体" w:eastAsia="宋体" w:cs="宋体"/>
                      <w:i w:val="0"/>
                      <w:iCs w:val="0"/>
                      <w:color w:val="auto"/>
                      <w:kern w:val="0"/>
                      <w:sz w:val="18"/>
                      <w:szCs w:val="18"/>
                      <w:u w:val="single"/>
                      <w:lang w:val="en-US" w:eastAsia="zh-CN" w:bidi="ar"/>
                    </w:rPr>
                    <w:instrText xml:space="preserve"> HYPERLINK "mailto:1@平侧磨床" </w:instrText>
                  </w:r>
                  <w:r>
                    <w:rPr>
                      <w:rFonts w:hint="eastAsia" w:ascii="宋体" w:hAnsi="宋体" w:eastAsia="宋体" w:cs="宋体"/>
                      <w:i w:val="0"/>
                      <w:iCs w:val="0"/>
                      <w:color w:val="auto"/>
                      <w:kern w:val="0"/>
                      <w:sz w:val="18"/>
                      <w:szCs w:val="18"/>
                      <w:u w:val="single"/>
                      <w:lang w:val="en-US" w:eastAsia="zh-CN" w:bidi="ar"/>
                    </w:rPr>
                    <w:fldChar w:fldCharType="separate"/>
                  </w:r>
                  <w:r>
                    <w:rPr>
                      <w:rStyle w:val="39"/>
                      <w:rFonts w:hint="eastAsia" w:ascii="宋体" w:hAnsi="宋体" w:eastAsia="宋体" w:cs="宋体"/>
                      <w:i w:val="0"/>
                      <w:iCs w:val="0"/>
                      <w:color w:val="auto"/>
                      <w:sz w:val="18"/>
                      <w:szCs w:val="18"/>
                      <w:u w:val="single"/>
                    </w:rPr>
                    <w:t>2#平侧磨床</w:t>
                  </w:r>
                  <w:r>
                    <w:rPr>
                      <w:rFonts w:hint="eastAsia" w:ascii="宋体" w:hAnsi="宋体" w:eastAsia="宋体" w:cs="宋体"/>
                      <w:i w:val="0"/>
                      <w:iCs w:val="0"/>
                      <w:color w:val="auto"/>
                      <w:kern w:val="0"/>
                      <w:sz w:val="18"/>
                      <w:szCs w:val="18"/>
                      <w:u w:val="single"/>
                      <w:lang w:val="en-US" w:eastAsia="zh-CN" w:bidi="ar"/>
                    </w:rPr>
                    <w:fldChar w:fldCharType="end"/>
                  </w:r>
                </w:p>
              </w:tc>
              <w:tc>
                <w:tcPr>
                  <w:tcW w:w="765" w:type="dxa"/>
                  <w:shd w:val="clear" w:color="auto" w:fill="auto"/>
                  <w:vAlign w:val="center"/>
                </w:tcPr>
                <w:p w14:paraId="0F57E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FC29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0D2A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630" w:type="dxa"/>
                  <w:shd w:val="clear" w:color="auto" w:fill="auto"/>
                  <w:vAlign w:val="center"/>
                </w:tcPr>
                <w:p w14:paraId="76B01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w:t>
                  </w:r>
                </w:p>
              </w:tc>
              <w:tc>
                <w:tcPr>
                  <w:tcW w:w="375" w:type="dxa"/>
                  <w:shd w:val="clear" w:color="auto" w:fill="auto"/>
                  <w:vAlign w:val="center"/>
                </w:tcPr>
                <w:p w14:paraId="4C9E5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08432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570" w:type="dxa"/>
                  <w:shd w:val="clear" w:color="auto" w:fill="auto"/>
                  <w:vAlign w:val="center"/>
                </w:tcPr>
                <w:p w14:paraId="7AC90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142 </w:t>
                  </w:r>
                </w:p>
              </w:tc>
              <w:tc>
                <w:tcPr>
                  <w:tcW w:w="525" w:type="dxa"/>
                  <w:shd w:val="clear" w:color="auto" w:fill="auto"/>
                  <w:vAlign w:val="center"/>
                </w:tcPr>
                <w:p w14:paraId="18D5A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 </w:t>
                  </w:r>
                </w:p>
              </w:tc>
              <w:tc>
                <w:tcPr>
                  <w:tcW w:w="585" w:type="dxa"/>
                  <w:shd w:val="clear" w:color="auto" w:fill="auto"/>
                  <w:vAlign w:val="center"/>
                </w:tcPr>
                <w:p w14:paraId="3CF81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95" w:type="dxa"/>
                  <w:shd w:val="clear" w:color="auto" w:fill="auto"/>
                  <w:vAlign w:val="center"/>
                </w:tcPr>
                <w:p w14:paraId="1855C7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620D9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D316B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1FDD8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4" w:type="dxa"/>
                  <w:vMerge w:val="continue"/>
                  <w:shd w:val="clear" w:color="auto" w:fill="auto"/>
                  <w:vAlign w:val="center"/>
                </w:tcPr>
                <w:p w14:paraId="6AF70E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82D04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02FCB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299B6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2A0E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8CA1E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681" w:type="dxa"/>
                  <w:shd w:val="clear" w:color="auto" w:fill="auto"/>
                  <w:vAlign w:val="center"/>
                </w:tcPr>
                <w:p w14:paraId="7627D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7C3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3BBDC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90</w:t>
                  </w:r>
                </w:p>
              </w:tc>
              <w:tc>
                <w:tcPr>
                  <w:tcW w:w="1485" w:type="dxa"/>
                  <w:shd w:val="clear" w:color="auto" w:fill="auto"/>
                  <w:vAlign w:val="center"/>
                </w:tcPr>
                <w:p w14:paraId="5983B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single"/>
                    </w:rPr>
                  </w:pPr>
                  <w:r>
                    <w:rPr>
                      <w:rFonts w:hint="eastAsia" w:ascii="宋体" w:hAnsi="宋体" w:eastAsia="宋体" w:cs="宋体"/>
                      <w:i w:val="0"/>
                      <w:iCs w:val="0"/>
                      <w:color w:val="auto"/>
                      <w:kern w:val="0"/>
                      <w:sz w:val="18"/>
                      <w:szCs w:val="18"/>
                      <w:u w:val="single"/>
                      <w:lang w:val="en-US" w:eastAsia="zh-CN" w:bidi="ar"/>
                    </w:rPr>
                    <w:fldChar w:fldCharType="begin"/>
                  </w:r>
                  <w:r>
                    <w:rPr>
                      <w:rFonts w:hint="eastAsia" w:ascii="宋体" w:hAnsi="宋体" w:eastAsia="宋体" w:cs="宋体"/>
                      <w:i w:val="0"/>
                      <w:iCs w:val="0"/>
                      <w:color w:val="auto"/>
                      <w:kern w:val="0"/>
                      <w:sz w:val="18"/>
                      <w:szCs w:val="18"/>
                      <w:u w:val="single"/>
                      <w:lang w:val="en-US" w:eastAsia="zh-CN" w:bidi="ar"/>
                    </w:rPr>
                    <w:instrText xml:space="preserve"> HYPERLINK "mailto:1@平侧磨床" </w:instrText>
                  </w:r>
                  <w:r>
                    <w:rPr>
                      <w:rFonts w:hint="eastAsia" w:ascii="宋体" w:hAnsi="宋体" w:eastAsia="宋体" w:cs="宋体"/>
                      <w:i w:val="0"/>
                      <w:iCs w:val="0"/>
                      <w:color w:val="auto"/>
                      <w:kern w:val="0"/>
                      <w:sz w:val="18"/>
                      <w:szCs w:val="18"/>
                      <w:u w:val="single"/>
                      <w:lang w:val="en-US" w:eastAsia="zh-CN" w:bidi="ar"/>
                    </w:rPr>
                    <w:fldChar w:fldCharType="separate"/>
                  </w:r>
                  <w:r>
                    <w:rPr>
                      <w:rStyle w:val="39"/>
                      <w:rFonts w:hint="eastAsia" w:ascii="宋体" w:hAnsi="宋体" w:eastAsia="宋体" w:cs="宋体"/>
                      <w:i w:val="0"/>
                      <w:iCs w:val="0"/>
                      <w:color w:val="auto"/>
                      <w:sz w:val="18"/>
                      <w:szCs w:val="18"/>
                      <w:u w:val="single"/>
                    </w:rPr>
                    <w:t>3#平侧磨床</w:t>
                  </w:r>
                  <w:r>
                    <w:rPr>
                      <w:rFonts w:hint="eastAsia" w:ascii="宋体" w:hAnsi="宋体" w:eastAsia="宋体" w:cs="宋体"/>
                      <w:i w:val="0"/>
                      <w:iCs w:val="0"/>
                      <w:color w:val="auto"/>
                      <w:kern w:val="0"/>
                      <w:sz w:val="18"/>
                      <w:szCs w:val="18"/>
                      <w:u w:val="single"/>
                      <w:lang w:val="en-US" w:eastAsia="zh-CN" w:bidi="ar"/>
                    </w:rPr>
                    <w:fldChar w:fldCharType="end"/>
                  </w:r>
                </w:p>
              </w:tc>
              <w:tc>
                <w:tcPr>
                  <w:tcW w:w="765" w:type="dxa"/>
                  <w:shd w:val="clear" w:color="auto" w:fill="auto"/>
                  <w:vAlign w:val="center"/>
                </w:tcPr>
                <w:p w14:paraId="3C63F0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97DF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89E4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630" w:type="dxa"/>
                  <w:shd w:val="clear" w:color="auto" w:fill="auto"/>
                  <w:vAlign w:val="center"/>
                </w:tcPr>
                <w:p w14:paraId="5A3AAE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52</w:t>
                  </w:r>
                </w:p>
              </w:tc>
              <w:tc>
                <w:tcPr>
                  <w:tcW w:w="375" w:type="dxa"/>
                  <w:shd w:val="clear" w:color="auto" w:fill="auto"/>
                  <w:vAlign w:val="center"/>
                </w:tcPr>
                <w:p w14:paraId="05853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A7B7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570" w:type="dxa"/>
                  <w:shd w:val="clear" w:color="auto" w:fill="auto"/>
                  <w:vAlign w:val="center"/>
                </w:tcPr>
                <w:p w14:paraId="5C56F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137 </w:t>
                  </w:r>
                </w:p>
              </w:tc>
              <w:tc>
                <w:tcPr>
                  <w:tcW w:w="525" w:type="dxa"/>
                  <w:shd w:val="clear" w:color="auto" w:fill="auto"/>
                  <w:vAlign w:val="center"/>
                </w:tcPr>
                <w:p w14:paraId="25DA39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 </w:t>
                  </w:r>
                </w:p>
              </w:tc>
              <w:tc>
                <w:tcPr>
                  <w:tcW w:w="585" w:type="dxa"/>
                  <w:shd w:val="clear" w:color="auto" w:fill="auto"/>
                  <w:vAlign w:val="center"/>
                </w:tcPr>
                <w:p w14:paraId="3624E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95" w:type="dxa"/>
                  <w:shd w:val="clear" w:color="auto" w:fill="auto"/>
                  <w:vAlign w:val="center"/>
                </w:tcPr>
                <w:p w14:paraId="01CD11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55758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E74A3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17C19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68A97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83B30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EE48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31ED87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1476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31BED0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4CFAF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28A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0B98A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91</w:t>
                  </w:r>
                </w:p>
              </w:tc>
              <w:tc>
                <w:tcPr>
                  <w:tcW w:w="1485" w:type="dxa"/>
                  <w:shd w:val="clear" w:color="auto" w:fill="auto"/>
                  <w:vAlign w:val="center"/>
                </w:tcPr>
                <w:p w14:paraId="4C1510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single"/>
                    </w:rPr>
                  </w:pPr>
                  <w:r>
                    <w:rPr>
                      <w:rFonts w:hint="eastAsia" w:ascii="宋体" w:hAnsi="宋体" w:eastAsia="宋体" w:cs="宋体"/>
                      <w:i w:val="0"/>
                      <w:iCs w:val="0"/>
                      <w:color w:val="auto"/>
                      <w:kern w:val="0"/>
                      <w:sz w:val="18"/>
                      <w:szCs w:val="18"/>
                      <w:u w:val="single"/>
                      <w:lang w:val="en-US" w:eastAsia="zh-CN" w:bidi="ar"/>
                    </w:rPr>
                    <w:fldChar w:fldCharType="begin"/>
                  </w:r>
                  <w:r>
                    <w:rPr>
                      <w:rFonts w:hint="eastAsia" w:ascii="宋体" w:hAnsi="宋体" w:eastAsia="宋体" w:cs="宋体"/>
                      <w:i w:val="0"/>
                      <w:iCs w:val="0"/>
                      <w:color w:val="auto"/>
                      <w:kern w:val="0"/>
                      <w:sz w:val="18"/>
                      <w:szCs w:val="18"/>
                      <w:u w:val="single"/>
                      <w:lang w:val="en-US" w:eastAsia="zh-CN" w:bidi="ar"/>
                    </w:rPr>
                    <w:instrText xml:space="preserve"> HYPERLINK "mailto:1@平侧磨床" </w:instrText>
                  </w:r>
                  <w:r>
                    <w:rPr>
                      <w:rFonts w:hint="eastAsia" w:ascii="宋体" w:hAnsi="宋体" w:eastAsia="宋体" w:cs="宋体"/>
                      <w:i w:val="0"/>
                      <w:iCs w:val="0"/>
                      <w:color w:val="auto"/>
                      <w:kern w:val="0"/>
                      <w:sz w:val="18"/>
                      <w:szCs w:val="18"/>
                      <w:u w:val="single"/>
                      <w:lang w:val="en-US" w:eastAsia="zh-CN" w:bidi="ar"/>
                    </w:rPr>
                    <w:fldChar w:fldCharType="separate"/>
                  </w:r>
                  <w:r>
                    <w:rPr>
                      <w:rStyle w:val="39"/>
                      <w:rFonts w:hint="eastAsia" w:ascii="宋体" w:hAnsi="宋体" w:eastAsia="宋体" w:cs="宋体"/>
                      <w:i w:val="0"/>
                      <w:iCs w:val="0"/>
                      <w:color w:val="auto"/>
                      <w:sz w:val="18"/>
                      <w:szCs w:val="18"/>
                      <w:u w:val="single"/>
                    </w:rPr>
                    <w:t>4#平侧磨床</w:t>
                  </w:r>
                  <w:r>
                    <w:rPr>
                      <w:rFonts w:hint="eastAsia" w:ascii="宋体" w:hAnsi="宋体" w:eastAsia="宋体" w:cs="宋体"/>
                      <w:i w:val="0"/>
                      <w:iCs w:val="0"/>
                      <w:color w:val="auto"/>
                      <w:kern w:val="0"/>
                      <w:sz w:val="18"/>
                      <w:szCs w:val="18"/>
                      <w:u w:val="single"/>
                      <w:lang w:val="en-US" w:eastAsia="zh-CN" w:bidi="ar"/>
                    </w:rPr>
                    <w:fldChar w:fldCharType="end"/>
                  </w:r>
                </w:p>
              </w:tc>
              <w:tc>
                <w:tcPr>
                  <w:tcW w:w="765" w:type="dxa"/>
                  <w:shd w:val="clear" w:color="auto" w:fill="auto"/>
                  <w:vAlign w:val="center"/>
                </w:tcPr>
                <w:p w14:paraId="25C2F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A703C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57BC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630" w:type="dxa"/>
                  <w:shd w:val="clear" w:color="auto" w:fill="auto"/>
                  <w:vAlign w:val="center"/>
                </w:tcPr>
                <w:p w14:paraId="3D76B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375" w:type="dxa"/>
                  <w:shd w:val="clear" w:color="auto" w:fill="auto"/>
                  <w:vAlign w:val="center"/>
                </w:tcPr>
                <w:p w14:paraId="7579C0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B5AD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570" w:type="dxa"/>
                  <w:shd w:val="clear" w:color="auto" w:fill="auto"/>
                  <w:vAlign w:val="center"/>
                </w:tcPr>
                <w:p w14:paraId="64C04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132 </w:t>
                  </w:r>
                </w:p>
              </w:tc>
              <w:tc>
                <w:tcPr>
                  <w:tcW w:w="525" w:type="dxa"/>
                  <w:shd w:val="clear" w:color="auto" w:fill="auto"/>
                  <w:vAlign w:val="center"/>
                </w:tcPr>
                <w:p w14:paraId="15F39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 </w:t>
                  </w:r>
                </w:p>
              </w:tc>
              <w:tc>
                <w:tcPr>
                  <w:tcW w:w="585" w:type="dxa"/>
                  <w:shd w:val="clear" w:color="auto" w:fill="auto"/>
                  <w:vAlign w:val="center"/>
                </w:tcPr>
                <w:p w14:paraId="627AD0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95" w:type="dxa"/>
                  <w:shd w:val="clear" w:color="auto" w:fill="auto"/>
                  <w:vAlign w:val="center"/>
                </w:tcPr>
                <w:p w14:paraId="44A0B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1E9510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F21D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FCD8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189E5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F750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6FA0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1869F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FF63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7871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2DD90F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0AD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267A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92</w:t>
                  </w:r>
                </w:p>
              </w:tc>
              <w:tc>
                <w:tcPr>
                  <w:tcW w:w="1485" w:type="dxa"/>
                  <w:shd w:val="clear" w:color="auto" w:fill="auto"/>
                  <w:vAlign w:val="center"/>
                </w:tcPr>
                <w:p w14:paraId="79393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线轨防锈机</w:t>
                  </w:r>
                </w:p>
              </w:tc>
              <w:tc>
                <w:tcPr>
                  <w:tcW w:w="765" w:type="dxa"/>
                  <w:shd w:val="clear" w:color="auto" w:fill="auto"/>
                  <w:vAlign w:val="center"/>
                </w:tcPr>
                <w:p w14:paraId="64A8E8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11FC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88BC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630" w:type="dxa"/>
                  <w:shd w:val="clear" w:color="auto" w:fill="auto"/>
                  <w:vAlign w:val="center"/>
                </w:tcPr>
                <w:p w14:paraId="18EF7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75" w:type="dxa"/>
                  <w:shd w:val="clear" w:color="auto" w:fill="auto"/>
                  <w:vAlign w:val="center"/>
                </w:tcPr>
                <w:p w14:paraId="68AAD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8BD8F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92 </w:t>
                  </w:r>
                </w:p>
              </w:tc>
              <w:tc>
                <w:tcPr>
                  <w:tcW w:w="570" w:type="dxa"/>
                  <w:shd w:val="clear" w:color="auto" w:fill="auto"/>
                  <w:vAlign w:val="center"/>
                </w:tcPr>
                <w:p w14:paraId="4D38E1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525" w:type="dxa"/>
                  <w:shd w:val="clear" w:color="auto" w:fill="auto"/>
                  <w:vAlign w:val="center"/>
                </w:tcPr>
                <w:p w14:paraId="268102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585" w:type="dxa"/>
                  <w:shd w:val="clear" w:color="auto" w:fill="auto"/>
                  <w:vAlign w:val="center"/>
                </w:tcPr>
                <w:p w14:paraId="74E3D4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125 </w:t>
                  </w:r>
                </w:p>
              </w:tc>
              <w:tc>
                <w:tcPr>
                  <w:tcW w:w="495" w:type="dxa"/>
                  <w:shd w:val="clear" w:color="auto" w:fill="auto"/>
                  <w:vAlign w:val="center"/>
                </w:tcPr>
                <w:p w14:paraId="3245F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D1CD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35" w:type="dxa"/>
                  <w:shd w:val="clear" w:color="auto" w:fill="auto"/>
                  <w:vAlign w:val="center"/>
                </w:tcPr>
                <w:p w14:paraId="2A0A7A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4DC92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BEE47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150E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684F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820BB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05" w:type="dxa"/>
                  <w:shd w:val="clear" w:color="auto" w:fill="auto"/>
                  <w:vAlign w:val="center"/>
                </w:tcPr>
                <w:p w14:paraId="59F3A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66969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F362B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A4E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A2DD3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93</w:t>
                  </w:r>
                </w:p>
              </w:tc>
              <w:tc>
                <w:tcPr>
                  <w:tcW w:w="1485" w:type="dxa"/>
                  <w:shd w:val="clear" w:color="auto" w:fill="auto"/>
                  <w:vAlign w:val="center"/>
                </w:tcPr>
                <w:p w14:paraId="4ACB7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线轨包装机</w:t>
                  </w:r>
                </w:p>
              </w:tc>
              <w:tc>
                <w:tcPr>
                  <w:tcW w:w="765" w:type="dxa"/>
                  <w:shd w:val="clear" w:color="auto" w:fill="auto"/>
                  <w:vAlign w:val="center"/>
                </w:tcPr>
                <w:p w14:paraId="15292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7E158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C9F1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w:t>
                  </w:r>
                </w:p>
              </w:tc>
              <w:tc>
                <w:tcPr>
                  <w:tcW w:w="630" w:type="dxa"/>
                  <w:shd w:val="clear" w:color="auto" w:fill="auto"/>
                  <w:vAlign w:val="center"/>
                </w:tcPr>
                <w:p w14:paraId="40250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76</w:t>
                  </w:r>
                </w:p>
              </w:tc>
              <w:tc>
                <w:tcPr>
                  <w:tcW w:w="375" w:type="dxa"/>
                  <w:shd w:val="clear" w:color="auto" w:fill="auto"/>
                  <w:vAlign w:val="center"/>
                </w:tcPr>
                <w:p w14:paraId="1D170E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69A5C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570" w:type="dxa"/>
                  <w:shd w:val="clear" w:color="auto" w:fill="auto"/>
                  <w:vAlign w:val="center"/>
                </w:tcPr>
                <w:p w14:paraId="6A0D6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161 </w:t>
                  </w:r>
                </w:p>
              </w:tc>
              <w:tc>
                <w:tcPr>
                  <w:tcW w:w="525" w:type="dxa"/>
                  <w:shd w:val="clear" w:color="auto" w:fill="auto"/>
                  <w:vAlign w:val="center"/>
                </w:tcPr>
                <w:p w14:paraId="5EA92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97 </w:t>
                  </w:r>
                </w:p>
              </w:tc>
              <w:tc>
                <w:tcPr>
                  <w:tcW w:w="585" w:type="dxa"/>
                  <w:shd w:val="clear" w:color="auto" w:fill="auto"/>
                  <w:vAlign w:val="center"/>
                </w:tcPr>
                <w:p w14:paraId="09401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 </w:t>
                  </w:r>
                </w:p>
              </w:tc>
              <w:tc>
                <w:tcPr>
                  <w:tcW w:w="495" w:type="dxa"/>
                  <w:shd w:val="clear" w:color="auto" w:fill="auto"/>
                  <w:vAlign w:val="center"/>
                </w:tcPr>
                <w:p w14:paraId="71D75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0" w:type="dxa"/>
                  <w:shd w:val="clear" w:color="auto" w:fill="auto"/>
                  <w:vAlign w:val="center"/>
                </w:tcPr>
                <w:p w14:paraId="3B620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657A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562B4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4" w:type="dxa"/>
                  <w:vMerge w:val="continue"/>
                  <w:shd w:val="clear" w:color="auto" w:fill="auto"/>
                  <w:vAlign w:val="center"/>
                </w:tcPr>
                <w:p w14:paraId="03CA21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A6FDD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0BD3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80" w:type="dxa"/>
                  <w:shd w:val="clear" w:color="auto" w:fill="auto"/>
                  <w:vAlign w:val="center"/>
                </w:tcPr>
                <w:p w14:paraId="59F3CD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2B365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0AC7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681" w:type="dxa"/>
                  <w:shd w:val="clear" w:color="auto" w:fill="auto"/>
                  <w:vAlign w:val="center"/>
                </w:tcPr>
                <w:p w14:paraId="415803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561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3BA5C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94</w:t>
                  </w:r>
                </w:p>
              </w:tc>
              <w:tc>
                <w:tcPr>
                  <w:tcW w:w="1485" w:type="dxa"/>
                  <w:shd w:val="clear" w:color="auto" w:fill="auto"/>
                  <w:vAlign w:val="center"/>
                </w:tcPr>
                <w:p w14:paraId="3DD0ED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圆盘下料机</w:t>
                  </w:r>
                </w:p>
              </w:tc>
              <w:tc>
                <w:tcPr>
                  <w:tcW w:w="765" w:type="dxa"/>
                  <w:shd w:val="clear" w:color="auto" w:fill="auto"/>
                  <w:vAlign w:val="center"/>
                </w:tcPr>
                <w:p w14:paraId="5B7417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1E971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89650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630" w:type="dxa"/>
                  <w:shd w:val="clear" w:color="auto" w:fill="auto"/>
                  <w:vAlign w:val="center"/>
                </w:tcPr>
                <w:p w14:paraId="01DDE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375" w:type="dxa"/>
                  <w:shd w:val="clear" w:color="auto" w:fill="auto"/>
                  <w:vAlign w:val="center"/>
                </w:tcPr>
                <w:p w14:paraId="6C3E5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1F398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 </w:t>
                  </w:r>
                </w:p>
              </w:tc>
              <w:tc>
                <w:tcPr>
                  <w:tcW w:w="570" w:type="dxa"/>
                  <w:shd w:val="clear" w:color="auto" w:fill="auto"/>
                  <w:vAlign w:val="center"/>
                </w:tcPr>
                <w:p w14:paraId="17E947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140 </w:t>
                  </w:r>
                </w:p>
              </w:tc>
              <w:tc>
                <w:tcPr>
                  <w:tcW w:w="525" w:type="dxa"/>
                  <w:shd w:val="clear" w:color="auto" w:fill="auto"/>
                  <w:vAlign w:val="center"/>
                </w:tcPr>
                <w:p w14:paraId="093E3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85" w:type="dxa"/>
                  <w:shd w:val="clear" w:color="auto" w:fill="auto"/>
                  <w:vAlign w:val="center"/>
                </w:tcPr>
                <w:p w14:paraId="40BFC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495" w:type="dxa"/>
                  <w:shd w:val="clear" w:color="auto" w:fill="auto"/>
                  <w:vAlign w:val="center"/>
                </w:tcPr>
                <w:p w14:paraId="52236C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21EFD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57796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859D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1F5F1A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E2622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E185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6EE07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E69D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20CBAE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7076AE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A06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B401C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95</w:t>
                  </w:r>
                </w:p>
              </w:tc>
              <w:tc>
                <w:tcPr>
                  <w:tcW w:w="1485" w:type="dxa"/>
                  <w:shd w:val="clear" w:color="auto" w:fill="auto"/>
                  <w:vAlign w:val="center"/>
                </w:tcPr>
                <w:p w14:paraId="0DF686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圆盘下料机</w:t>
                  </w:r>
                </w:p>
              </w:tc>
              <w:tc>
                <w:tcPr>
                  <w:tcW w:w="765" w:type="dxa"/>
                  <w:shd w:val="clear" w:color="auto" w:fill="auto"/>
                  <w:vAlign w:val="center"/>
                </w:tcPr>
                <w:p w14:paraId="2A7700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C435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BB97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630" w:type="dxa"/>
                  <w:shd w:val="clear" w:color="auto" w:fill="auto"/>
                  <w:vAlign w:val="center"/>
                </w:tcPr>
                <w:p w14:paraId="7E219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375" w:type="dxa"/>
                  <w:shd w:val="clear" w:color="auto" w:fill="auto"/>
                  <w:vAlign w:val="center"/>
                </w:tcPr>
                <w:p w14:paraId="71646E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4EFD3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 </w:t>
                  </w:r>
                </w:p>
              </w:tc>
              <w:tc>
                <w:tcPr>
                  <w:tcW w:w="570" w:type="dxa"/>
                  <w:shd w:val="clear" w:color="auto" w:fill="auto"/>
                  <w:vAlign w:val="center"/>
                </w:tcPr>
                <w:p w14:paraId="76964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140 </w:t>
                  </w:r>
                </w:p>
              </w:tc>
              <w:tc>
                <w:tcPr>
                  <w:tcW w:w="525" w:type="dxa"/>
                  <w:shd w:val="clear" w:color="auto" w:fill="auto"/>
                  <w:vAlign w:val="center"/>
                </w:tcPr>
                <w:p w14:paraId="1F2814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107 </w:t>
                  </w:r>
                </w:p>
              </w:tc>
              <w:tc>
                <w:tcPr>
                  <w:tcW w:w="585" w:type="dxa"/>
                  <w:shd w:val="clear" w:color="auto" w:fill="auto"/>
                  <w:vAlign w:val="center"/>
                </w:tcPr>
                <w:p w14:paraId="415CA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495" w:type="dxa"/>
                  <w:shd w:val="clear" w:color="auto" w:fill="auto"/>
                  <w:vAlign w:val="center"/>
                </w:tcPr>
                <w:p w14:paraId="12B5C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480" w:type="dxa"/>
                  <w:shd w:val="clear" w:color="auto" w:fill="auto"/>
                  <w:vAlign w:val="center"/>
                </w:tcPr>
                <w:p w14:paraId="196DF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679C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EAA5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320017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96DA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AFCF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480" w:type="dxa"/>
                  <w:shd w:val="clear" w:color="auto" w:fill="auto"/>
                  <w:vAlign w:val="center"/>
                </w:tcPr>
                <w:p w14:paraId="24C0D3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E4D9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3C9EC8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559A70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7B3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C3579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96</w:t>
                  </w:r>
                </w:p>
              </w:tc>
              <w:tc>
                <w:tcPr>
                  <w:tcW w:w="1485" w:type="dxa"/>
                  <w:shd w:val="clear" w:color="auto" w:fill="auto"/>
                  <w:vAlign w:val="center"/>
                </w:tcPr>
                <w:p w14:paraId="4374CE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圆盘下料机</w:t>
                  </w:r>
                </w:p>
              </w:tc>
              <w:tc>
                <w:tcPr>
                  <w:tcW w:w="765" w:type="dxa"/>
                  <w:shd w:val="clear" w:color="auto" w:fill="auto"/>
                  <w:vAlign w:val="center"/>
                </w:tcPr>
                <w:p w14:paraId="45736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9C6B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CA944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w:t>
                  </w:r>
                </w:p>
              </w:tc>
              <w:tc>
                <w:tcPr>
                  <w:tcW w:w="630" w:type="dxa"/>
                  <w:shd w:val="clear" w:color="auto" w:fill="auto"/>
                  <w:vAlign w:val="center"/>
                </w:tcPr>
                <w:p w14:paraId="5C2CA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375" w:type="dxa"/>
                  <w:shd w:val="clear" w:color="auto" w:fill="auto"/>
                  <w:vAlign w:val="center"/>
                </w:tcPr>
                <w:p w14:paraId="036439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5043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21 </w:t>
                  </w:r>
                </w:p>
              </w:tc>
              <w:tc>
                <w:tcPr>
                  <w:tcW w:w="570" w:type="dxa"/>
                  <w:shd w:val="clear" w:color="auto" w:fill="auto"/>
                  <w:vAlign w:val="center"/>
                </w:tcPr>
                <w:p w14:paraId="2A6E4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140 </w:t>
                  </w:r>
                </w:p>
              </w:tc>
              <w:tc>
                <w:tcPr>
                  <w:tcW w:w="525" w:type="dxa"/>
                  <w:shd w:val="clear" w:color="auto" w:fill="auto"/>
                  <w:vAlign w:val="center"/>
                </w:tcPr>
                <w:p w14:paraId="0572F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103 </w:t>
                  </w:r>
                </w:p>
              </w:tc>
              <w:tc>
                <w:tcPr>
                  <w:tcW w:w="585" w:type="dxa"/>
                  <w:shd w:val="clear" w:color="auto" w:fill="auto"/>
                  <w:vAlign w:val="center"/>
                </w:tcPr>
                <w:p w14:paraId="33519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495" w:type="dxa"/>
                  <w:shd w:val="clear" w:color="auto" w:fill="auto"/>
                  <w:vAlign w:val="center"/>
                </w:tcPr>
                <w:p w14:paraId="3C65D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80" w:type="dxa"/>
                  <w:shd w:val="clear" w:color="auto" w:fill="auto"/>
                  <w:vAlign w:val="center"/>
                </w:tcPr>
                <w:p w14:paraId="31186A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FB8DD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17632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01AB62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D15F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CEA0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480" w:type="dxa"/>
                  <w:shd w:val="clear" w:color="auto" w:fill="auto"/>
                  <w:vAlign w:val="center"/>
                </w:tcPr>
                <w:p w14:paraId="7200C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813B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58FA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2FCEE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C76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3921D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97</w:t>
                  </w:r>
                </w:p>
              </w:tc>
              <w:tc>
                <w:tcPr>
                  <w:tcW w:w="1485" w:type="dxa"/>
                  <w:shd w:val="clear" w:color="auto" w:fill="auto"/>
                  <w:vAlign w:val="center"/>
                </w:tcPr>
                <w:p w14:paraId="536617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圆盘下料机</w:t>
                  </w:r>
                </w:p>
              </w:tc>
              <w:tc>
                <w:tcPr>
                  <w:tcW w:w="765" w:type="dxa"/>
                  <w:shd w:val="clear" w:color="auto" w:fill="auto"/>
                  <w:vAlign w:val="center"/>
                </w:tcPr>
                <w:p w14:paraId="7662C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3F3D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8291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w:t>
                  </w:r>
                </w:p>
              </w:tc>
              <w:tc>
                <w:tcPr>
                  <w:tcW w:w="630" w:type="dxa"/>
                  <w:shd w:val="clear" w:color="auto" w:fill="auto"/>
                  <w:vAlign w:val="center"/>
                </w:tcPr>
                <w:p w14:paraId="79302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375" w:type="dxa"/>
                  <w:shd w:val="clear" w:color="auto" w:fill="auto"/>
                  <w:vAlign w:val="center"/>
                </w:tcPr>
                <w:p w14:paraId="56585B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9833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25 </w:t>
                  </w:r>
                </w:p>
              </w:tc>
              <w:tc>
                <w:tcPr>
                  <w:tcW w:w="570" w:type="dxa"/>
                  <w:shd w:val="clear" w:color="auto" w:fill="auto"/>
                  <w:vAlign w:val="center"/>
                </w:tcPr>
                <w:p w14:paraId="6EAE1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140 </w:t>
                  </w:r>
                </w:p>
              </w:tc>
              <w:tc>
                <w:tcPr>
                  <w:tcW w:w="525" w:type="dxa"/>
                  <w:shd w:val="clear" w:color="auto" w:fill="auto"/>
                  <w:vAlign w:val="center"/>
                </w:tcPr>
                <w:p w14:paraId="62C10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99 </w:t>
                  </w:r>
                </w:p>
              </w:tc>
              <w:tc>
                <w:tcPr>
                  <w:tcW w:w="585" w:type="dxa"/>
                  <w:shd w:val="clear" w:color="auto" w:fill="auto"/>
                  <w:vAlign w:val="center"/>
                </w:tcPr>
                <w:p w14:paraId="69168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495" w:type="dxa"/>
                  <w:shd w:val="clear" w:color="auto" w:fill="auto"/>
                  <w:vAlign w:val="center"/>
                </w:tcPr>
                <w:p w14:paraId="341363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0" w:type="dxa"/>
                  <w:shd w:val="clear" w:color="auto" w:fill="auto"/>
                  <w:vAlign w:val="center"/>
                </w:tcPr>
                <w:p w14:paraId="6FAB2A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7126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F97B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293A7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6891B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D5360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80" w:type="dxa"/>
                  <w:shd w:val="clear" w:color="auto" w:fill="auto"/>
                  <w:vAlign w:val="center"/>
                </w:tcPr>
                <w:p w14:paraId="3F02F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218DC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98AC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0B8DD0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786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0A646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98</w:t>
                  </w:r>
                </w:p>
              </w:tc>
              <w:tc>
                <w:tcPr>
                  <w:tcW w:w="1485" w:type="dxa"/>
                  <w:shd w:val="clear" w:color="auto" w:fill="auto"/>
                  <w:vAlign w:val="center"/>
                </w:tcPr>
                <w:p w14:paraId="5AF9E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263CAE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947EE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3D99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p>
              </w:tc>
              <w:tc>
                <w:tcPr>
                  <w:tcW w:w="630" w:type="dxa"/>
                  <w:shd w:val="clear" w:color="auto" w:fill="auto"/>
                  <w:vAlign w:val="center"/>
                </w:tcPr>
                <w:p w14:paraId="1D8259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375" w:type="dxa"/>
                  <w:shd w:val="clear" w:color="auto" w:fill="auto"/>
                  <w:vAlign w:val="center"/>
                </w:tcPr>
                <w:p w14:paraId="64A27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DDF1D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570" w:type="dxa"/>
                  <w:shd w:val="clear" w:color="auto" w:fill="auto"/>
                  <w:vAlign w:val="center"/>
                </w:tcPr>
                <w:p w14:paraId="2420F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131 </w:t>
                  </w:r>
                </w:p>
              </w:tc>
              <w:tc>
                <w:tcPr>
                  <w:tcW w:w="525" w:type="dxa"/>
                  <w:shd w:val="clear" w:color="auto" w:fill="auto"/>
                  <w:vAlign w:val="center"/>
                </w:tcPr>
                <w:p w14:paraId="54C64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85" w:type="dxa"/>
                  <w:shd w:val="clear" w:color="auto" w:fill="auto"/>
                  <w:vAlign w:val="center"/>
                </w:tcPr>
                <w:p w14:paraId="3AD2C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39 </w:t>
                  </w:r>
                </w:p>
              </w:tc>
              <w:tc>
                <w:tcPr>
                  <w:tcW w:w="495" w:type="dxa"/>
                  <w:shd w:val="clear" w:color="auto" w:fill="auto"/>
                  <w:vAlign w:val="center"/>
                </w:tcPr>
                <w:p w14:paraId="35A89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80" w:type="dxa"/>
                  <w:shd w:val="clear" w:color="auto" w:fill="auto"/>
                  <w:vAlign w:val="center"/>
                </w:tcPr>
                <w:p w14:paraId="0B8C5F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F862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8CCA4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243248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F6DA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26E3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07BD4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5DA2A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E71B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14DED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3F8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4B6F8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99</w:t>
                  </w:r>
                </w:p>
              </w:tc>
              <w:tc>
                <w:tcPr>
                  <w:tcW w:w="1485" w:type="dxa"/>
                  <w:shd w:val="clear" w:color="auto" w:fill="auto"/>
                  <w:vAlign w:val="center"/>
                </w:tcPr>
                <w:p w14:paraId="2523F9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9DF58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0400B6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3382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p>
              </w:tc>
              <w:tc>
                <w:tcPr>
                  <w:tcW w:w="630" w:type="dxa"/>
                  <w:shd w:val="clear" w:color="auto" w:fill="auto"/>
                  <w:vAlign w:val="center"/>
                </w:tcPr>
                <w:p w14:paraId="30A93B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p>
              </w:tc>
              <w:tc>
                <w:tcPr>
                  <w:tcW w:w="375" w:type="dxa"/>
                  <w:shd w:val="clear" w:color="auto" w:fill="auto"/>
                  <w:vAlign w:val="center"/>
                </w:tcPr>
                <w:p w14:paraId="363899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FADA8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570" w:type="dxa"/>
                  <w:shd w:val="clear" w:color="auto" w:fill="auto"/>
                  <w:vAlign w:val="center"/>
                </w:tcPr>
                <w:p w14:paraId="4F65F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129 </w:t>
                  </w:r>
                </w:p>
              </w:tc>
              <w:tc>
                <w:tcPr>
                  <w:tcW w:w="525" w:type="dxa"/>
                  <w:shd w:val="clear" w:color="auto" w:fill="auto"/>
                  <w:vAlign w:val="center"/>
                </w:tcPr>
                <w:p w14:paraId="7726C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85" w:type="dxa"/>
                  <w:shd w:val="clear" w:color="auto" w:fill="auto"/>
                  <w:vAlign w:val="center"/>
                </w:tcPr>
                <w:p w14:paraId="5B258E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41 </w:t>
                  </w:r>
                </w:p>
              </w:tc>
              <w:tc>
                <w:tcPr>
                  <w:tcW w:w="495" w:type="dxa"/>
                  <w:shd w:val="clear" w:color="auto" w:fill="auto"/>
                  <w:vAlign w:val="center"/>
                </w:tcPr>
                <w:p w14:paraId="07481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80" w:type="dxa"/>
                  <w:shd w:val="clear" w:color="auto" w:fill="auto"/>
                  <w:vAlign w:val="center"/>
                </w:tcPr>
                <w:p w14:paraId="721D9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586535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5248C8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21A47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D8FB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109E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4C1F4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20AAE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B0334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682FC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3B1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0773A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100</w:t>
                  </w:r>
                </w:p>
              </w:tc>
              <w:tc>
                <w:tcPr>
                  <w:tcW w:w="1485" w:type="dxa"/>
                  <w:shd w:val="clear" w:color="auto" w:fill="auto"/>
                  <w:vAlign w:val="center"/>
                </w:tcPr>
                <w:p w14:paraId="7B4DA3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7B14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BB79C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740BF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p>
              </w:tc>
              <w:tc>
                <w:tcPr>
                  <w:tcW w:w="630" w:type="dxa"/>
                  <w:shd w:val="clear" w:color="auto" w:fill="auto"/>
                  <w:vAlign w:val="center"/>
                </w:tcPr>
                <w:p w14:paraId="34D4F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375" w:type="dxa"/>
                  <w:shd w:val="clear" w:color="auto" w:fill="auto"/>
                  <w:vAlign w:val="center"/>
                </w:tcPr>
                <w:p w14:paraId="6D609D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9946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570" w:type="dxa"/>
                  <w:shd w:val="clear" w:color="auto" w:fill="auto"/>
                  <w:vAlign w:val="center"/>
                </w:tcPr>
                <w:p w14:paraId="79583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127 </w:t>
                  </w:r>
                </w:p>
              </w:tc>
              <w:tc>
                <w:tcPr>
                  <w:tcW w:w="525" w:type="dxa"/>
                  <w:shd w:val="clear" w:color="auto" w:fill="auto"/>
                  <w:vAlign w:val="center"/>
                </w:tcPr>
                <w:p w14:paraId="4AA91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85" w:type="dxa"/>
                  <w:shd w:val="clear" w:color="auto" w:fill="auto"/>
                  <w:vAlign w:val="center"/>
                </w:tcPr>
                <w:p w14:paraId="3B5DCF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95" w:type="dxa"/>
                  <w:shd w:val="clear" w:color="auto" w:fill="auto"/>
                  <w:vAlign w:val="center"/>
                </w:tcPr>
                <w:p w14:paraId="1650EE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80" w:type="dxa"/>
                  <w:shd w:val="clear" w:color="auto" w:fill="auto"/>
                  <w:vAlign w:val="center"/>
                </w:tcPr>
                <w:p w14:paraId="21177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28EC43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106E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44268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4ED6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23E0B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789D14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AF90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FE5BA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70F37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DAA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7443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101</w:t>
                  </w:r>
                </w:p>
              </w:tc>
              <w:tc>
                <w:tcPr>
                  <w:tcW w:w="1485" w:type="dxa"/>
                  <w:shd w:val="clear" w:color="auto" w:fill="auto"/>
                  <w:vAlign w:val="center"/>
                </w:tcPr>
                <w:p w14:paraId="2CC0C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039C4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E08C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1DF35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p>
              </w:tc>
              <w:tc>
                <w:tcPr>
                  <w:tcW w:w="630" w:type="dxa"/>
                  <w:shd w:val="clear" w:color="auto" w:fill="auto"/>
                  <w:vAlign w:val="center"/>
                </w:tcPr>
                <w:p w14:paraId="3B2E0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75" w:type="dxa"/>
                  <w:shd w:val="clear" w:color="auto" w:fill="auto"/>
                  <w:vAlign w:val="center"/>
                </w:tcPr>
                <w:p w14:paraId="2A676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72CF9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570" w:type="dxa"/>
                  <w:shd w:val="clear" w:color="auto" w:fill="auto"/>
                  <w:vAlign w:val="center"/>
                </w:tcPr>
                <w:p w14:paraId="26A7D3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125 </w:t>
                  </w:r>
                </w:p>
              </w:tc>
              <w:tc>
                <w:tcPr>
                  <w:tcW w:w="525" w:type="dxa"/>
                  <w:shd w:val="clear" w:color="auto" w:fill="auto"/>
                  <w:vAlign w:val="center"/>
                </w:tcPr>
                <w:p w14:paraId="36B5A8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85" w:type="dxa"/>
                  <w:shd w:val="clear" w:color="auto" w:fill="auto"/>
                  <w:vAlign w:val="center"/>
                </w:tcPr>
                <w:p w14:paraId="7D76E9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495" w:type="dxa"/>
                  <w:shd w:val="clear" w:color="auto" w:fill="auto"/>
                  <w:vAlign w:val="center"/>
                </w:tcPr>
                <w:p w14:paraId="2FF5D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80" w:type="dxa"/>
                  <w:shd w:val="clear" w:color="auto" w:fill="auto"/>
                  <w:vAlign w:val="center"/>
                </w:tcPr>
                <w:p w14:paraId="65550B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E2AA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D50E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39316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9EAE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E9F6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5B4C85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4605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F85AA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2655B6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655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A42D7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102</w:t>
                  </w:r>
                </w:p>
              </w:tc>
              <w:tc>
                <w:tcPr>
                  <w:tcW w:w="1485" w:type="dxa"/>
                  <w:shd w:val="clear" w:color="auto" w:fill="auto"/>
                  <w:vAlign w:val="center"/>
                </w:tcPr>
                <w:p w14:paraId="1F6B0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285583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69DA35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674EB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p>
              </w:tc>
              <w:tc>
                <w:tcPr>
                  <w:tcW w:w="630" w:type="dxa"/>
                  <w:shd w:val="clear" w:color="auto" w:fill="auto"/>
                  <w:vAlign w:val="center"/>
                </w:tcPr>
                <w:p w14:paraId="731BA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375" w:type="dxa"/>
                  <w:shd w:val="clear" w:color="auto" w:fill="auto"/>
                  <w:vAlign w:val="center"/>
                </w:tcPr>
                <w:p w14:paraId="22780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BCCB6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570" w:type="dxa"/>
                  <w:shd w:val="clear" w:color="auto" w:fill="auto"/>
                  <w:vAlign w:val="center"/>
                </w:tcPr>
                <w:p w14:paraId="0FBE0A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123 </w:t>
                  </w:r>
                </w:p>
              </w:tc>
              <w:tc>
                <w:tcPr>
                  <w:tcW w:w="525" w:type="dxa"/>
                  <w:shd w:val="clear" w:color="auto" w:fill="auto"/>
                  <w:vAlign w:val="center"/>
                </w:tcPr>
                <w:p w14:paraId="64DA5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85" w:type="dxa"/>
                  <w:shd w:val="clear" w:color="auto" w:fill="auto"/>
                  <w:vAlign w:val="center"/>
                </w:tcPr>
                <w:p w14:paraId="7D735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 </w:t>
                  </w:r>
                </w:p>
              </w:tc>
              <w:tc>
                <w:tcPr>
                  <w:tcW w:w="495" w:type="dxa"/>
                  <w:shd w:val="clear" w:color="auto" w:fill="auto"/>
                  <w:vAlign w:val="center"/>
                </w:tcPr>
                <w:p w14:paraId="45BC7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80" w:type="dxa"/>
                  <w:shd w:val="clear" w:color="auto" w:fill="auto"/>
                  <w:vAlign w:val="center"/>
                </w:tcPr>
                <w:p w14:paraId="00D67E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17AA0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2F5A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186B7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BE11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E6775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770872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07C51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D167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377F0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DEA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4989F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103</w:t>
                  </w:r>
                </w:p>
              </w:tc>
              <w:tc>
                <w:tcPr>
                  <w:tcW w:w="1485" w:type="dxa"/>
                  <w:shd w:val="clear" w:color="auto" w:fill="auto"/>
                  <w:vAlign w:val="center"/>
                </w:tcPr>
                <w:p w14:paraId="3DECFD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B6D91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008894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8835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p>
              </w:tc>
              <w:tc>
                <w:tcPr>
                  <w:tcW w:w="630" w:type="dxa"/>
                  <w:shd w:val="clear" w:color="auto" w:fill="auto"/>
                  <w:vAlign w:val="center"/>
                </w:tcPr>
                <w:p w14:paraId="589A7B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w:t>
                  </w:r>
                </w:p>
              </w:tc>
              <w:tc>
                <w:tcPr>
                  <w:tcW w:w="375" w:type="dxa"/>
                  <w:shd w:val="clear" w:color="auto" w:fill="auto"/>
                  <w:vAlign w:val="center"/>
                </w:tcPr>
                <w:p w14:paraId="1E5B7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2CBEA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570" w:type="dxa"/>
                  <w:shd w:val="clear" w:color="auto" w:fill="auto"/>
                  <w:vAlign w:val="center"/>
                </w:tcPr>
                <w:p w14:paraId="6D817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25" w:type="dxa"/>
                  <w:shd w:val="clear" w:color="auto" w:fill="auto"/>
                  <w:vAlign w:val="center"/>
                </w:tcPr>
                <w:p w14:paraId="0211F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85" w:type="dxa"/>
                  <w:shd w:val="clear" w:color="auto" w:fill="auto"/>
                  <w:vAlign w:val="center"/>
                </w:tcPr>
                <w:p w14:paraId="4F6DF0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95" w:type="dxa"/>
                  <w:shd w:val="clear" w:color="auto" w:fill="auto"/>
                  <w:vAlign w:val="center"/>
                </w:tcPr>
                <w:p w14:paraId="1271E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80" w:type="dxa"/>
                  <w:shd w:val="clear" w:color="auto" w:fill="auto"/>
                  <w:vAlign w:val="center"/>
                </w:tcPr>
                <w:p w14:paraId="66591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9D1C1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8E2E6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0D635A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D4527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C868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2508C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970B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C936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30307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3AE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F2062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104</w:t>
                  </w:r>
                </w:p>
              </w:tc>
              <w:tc>
                <w:tcPr>
                  <w:tcW w:w="1485" w:type="dxa"/>
                  <w:shd w:val="clear" w:color="auto" w:fill="auto"/>
                  <w:vAlign w:val="center"/>
                </w:tcPr>
                <w:p w14:paraId="759CF1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6D637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169DD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9F6F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p>
              </w:tc>
              <w:tc>
                <w:tcPr>
                  <w:tcW w:w="630" w:type="dxa"/>
                  <w:shd w:val="clear" w:color="auto" w:fill="auto"/>
                  <w:vAlign w:val="center"/>
                </w:tcPr>
                <w:p w14:paraId="40549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375" w:type="dxa"/>
                  <w:shd w:val="clear" w:color="auto" w:fill="auto"/>
                  <w:vAlign w:val="center"/>
                </w:tcPr>
                <w:p w14:paraId="64247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65B5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570" w:type="dxa"/>
                  <w:shd w:val="clear" w:color="auto" w:fill="auto"/>
                  <w:vAlign w:val="center"/>
                </w:tcPr>
                <w:p w14:paraId="367305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119 </w:t>
                  </w:r>
                </w:p>
              </w:tc>
              <w:tc>
                <w:tcPr>
                  <w:tcW w:w="525" w:type="dxa"/>
                  <w:shd w:val="clear" w:color="auto" w:fill="auto"/>
                  <w:vAlign w:val="center"/>
                </w:tcPr>
                <w:p w14:paraId="35B7F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85" w:type="dxa"/>
                  <w:shd w:val="clear" w:color="auto" w:fill="auto"/>
                  <w:vAlign w:val="center"/>
                </w:tcPr>
                <w:p w14:paraId="3FD10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95" w:type="dxa"/>
                  <w:shd w:val="clear" w:color="auto" w:fill="auto"/>
                  <w:vAlign w:val="center"/>
                </w:tcPr>
                <w:p w14:paraId="18DA0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80" w:type="dxa"/>
                  <w:shd w:val="clear" w:color="auto" w:fill="auto"/>
                  <w:vAlign w:val="center"/>
                </w:tcPr>
                <w:p w14:paraId="5B684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261EA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AC28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7928D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15A6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529C1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2C7456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D315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DE90F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9890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731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5ED72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105</w:t>
                  </w:r>
                </w:p>
              </w:tc>
              <w:tc>
                <w:tcPr>
                  <w:tcW w:w="1485" w:type="dxa"/>
                  <w:shd w:val="clear" w:color="auto" w:fill="auto"/>
                  <w:vAlign w:val="center"/>
                </w:tcPr>
                <w:p w14:paraId="2D8D2D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6E66D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D863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CCFF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p>
              </w:tc>
              <w:tc>
                <w:tcPr>
                  <w:tcW w:w="630" w:type="dxa"/>
                  <w:shd w:val="clear" w:color="auto" w:fill="auto"/>
                  <w:vAlign w:val="center"/>
                </w:tcPr>
                <w:p w14:paraId="4026E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375" w:type="dxa"/>
                  <w:shd w:val="clear" w:color="auto" w:fill="auto"/>
                  <w:vAlign w:val="center"/>
                </w:tcPr>
                <w:p w14:paraId="3C94F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A07E8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570" w:type="dxa"/>
                  <w:shd w:val="clear" w:color="auto" w:fill="auto"/>
                  <w:vAlign w:val="center"/>
                </w:tcPr>
                <w:p w14:paraId="484E5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25" w:type="dxa"/>
                  <w:shd w:val="clear" w:color="auto" w:fill="auto"/>
                  <w:vAlign w:val="center"/>
                </w:tcPr>
                <w:p w14:paraId="4B43CC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85" w:type="dxa"/>
                  <w:shd w:val="clear" w:color="auto" w:fill="auto"/>
                  <w:vAlign w:val="center"/>
                </w:tcPr>
                <w:p w14:paraId="43F75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95" w:type="dxa"/>
                  <w:shd w:val="clear" w:color="auto" w:fill="auto"/>
                  <w:vAlign w:val="center"/>
                </w:tcPr>
                <w:p w14:paraId="498064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80" w:type="dxa"/>
                  <w:shd w:val="clear" w:color="auto" w:fill="auto"/>
                  <w:vAlign w:val="center"/>
                </w:tcPr>
                <w:p w14:paraId="01F98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A085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7D1E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6ECDB2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1AF5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D272E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29367F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8111B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4A7D1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162E32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EEB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455E3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106</w:t>
                  </w:r>
                </w:p>
              </w:tc>
              <w:tc>
                <w:tcPr>
                  <w:tcW w:w="1485" w:type="dxa"/>
                  <w:shd w:val="clear" w:color="auto" w:fill="auto"/>
                  <w:vAlign w:val="center"/>
                </w:tcPr>
                <w:p w14:paraId="310BF6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3D464C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22EA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8EB30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p>
              </w:tc>
              <w:tc>
                <w:tcPr>
                  <w:tcW w:w="630" w:type="dxa"/>
                  <w:shd w:val="clear" w:color="auto" w:fill="auto"/>
                  <w:vAlign w:val="center"/>
                </w:tcPr>
                <w:p w14:paraId="479D5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3B21C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9212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570" w:type="dxa"/>
                  <w:shd w:val="clear" w:color="auto" w:fill="auto"/>
                  <w:vAlign w:val="center"/>
                </w:tcPr>
                <w:p w14:paraId="32C573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25" w:type="dxa"/>
                  <w:shd w:val="clear" w:color="auto" w:fill="auto"/>
                  <w:vAlign w:val="center"/>
                </w:tcPr>
                <w:p w14:paraId="18FD2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85" w:type="dxa"/>
                  <w:shd w:val="clear" w:color="auto" w:fill="auto"/>
                  <w:vAlign w:val="center"/>
                </w:tcPr>
                <w:p w14:paraId="71A15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95" w:type="dxa"/>
                  <w:shd w:val="clear" w:color="auto" w:fill="auto"/>
                  <w:vAlign w:val="center"/>
                </w:tcPr>
                <w:p w14:paraId="7C0614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80" w:type="dxa"/>
                  <w:shd w:val="clear" w:color="auto" w:fill="auto"/>
                  <w:vAlign w:val="center"/>
                </w:tcPr>
                <w:p w14:paraId="478CB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28B519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3992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1F82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EF801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296A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30AB0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9A4A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4C46C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C439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506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9422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107</w:t>
                  </w:r>
                </w:p>
              </w:tc>
              <w:tc>
                <w:tcPr>
                  <w:tcW w:w="1485" w:type="dxa"/>
                  <w:shd w:val="clear" w:color="auto" w:fill="auto"/>
                  <w:vAlign w:val="center"/>
                </w:tcPr>
                <w:p w14:paraId="7097C0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5217D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62DD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98C73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p>
              </w:tc>
              <w:tc>
                <w:tcPr>
                  <w:tcW w:w="630" w:type="dxa"/>
                  <w:shd w:val="clear" w:color="auto" w:fill="auto"/>
                  <w:vAlign w:val="center"/>
                </w:tcPr>
                <w:p w14:paraId="4A594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375" w:type="dxa"/>
                  <w:shd w:val="clear" w:color="auto" w:fill="auto"/>
                  <w:vAlign w:val="center"/>
                </w:tcPr>
                <w:p w14:paraId="30476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1829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 </w:t>
                  </w:r>
                </w:p>
              </w:tc>
              <w:tc>
                <w:tcPr>
                  <w:tcW w:w="570" w:type="dxa"/>
                  <w:shd w:val="clear" w:color="auto" w:fill="auto"/>
                  <w:vAlign w:val="center"/>
                </w:tcPr>
                <w:p w14:paraId="64C816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25" w:type="dxa"/>
                  <w:shd w:val="clear" w:color="auto" w:fill="auto"/>
                  <w:vAlign w:val="center"/>
                </w:tcPr>
                <w:p w14:paraId="5C73C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85" w:type="dxa"/>
                  <w:shd w:val="clear" w:color="auto" w:fill="auto"/>
                  <w:vAlign w:val="center"/>
                </w:tcPr>
                <w:p w14:paraId="2F6FA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95" w:type="dxa"/>
                  <w:shd w:val="clear" w:color="auto" w:fill="auto"/>
                  <w:vAlign w:val="center"/>
                </w:tcPr>
                <w:p w14:paraId="057103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80" w:type="dxa"/>
                  <w:shd w:val="clear" w:color="auto" w:fill="auto"/>
                  <w:vAlign w:val="center"/>
                </w:tcPr>
                <w:p w14:paraId="77A75A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074505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36214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28D6A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9E6F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CED9D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106AC8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2A96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248F4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C7E0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F7B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4BC8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108</w:t>
                  </w:r>
                </w:p>
              </w:tc>
              <w:tc>
                <w:tcPr>
                  <w:tcW w:w="1485" w:type="dxa"/>
                  <w:shd w:val="clear" w:color="auto" w:fill="auto"/>
                  <w:vAlign w:val="center"/>
                </w:tcPr>
                <w:p w14:paraId="032DCD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5CFEA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33C72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B952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7A42D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375" w:type="dxa"/>
                  <w:shd w:val="clear" w:color="auto" w:fill="auto"/>
                  <w:vAlign w:val="center"/>
                </w:tcPr>
                <w:p w14:paraId="231DB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1DB14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71C40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131 </w:t>
                  </w:r>
                </w:p>
              </w:tc>
              <w:tc>
                <w:tcPr>
                  <w:tcW w:w="525" w:type="dxa"/>
                  <w:shd w:val="clear" w:color="auto" w:fill="auto"/>
                  <w:vAlign w:val="center"/>
                </w:tcPr>
                <w:p w14:paraId="030EB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62280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39 </w:t>
                  </w:r>
                </w:p>
              </w:tc>
              <w:tc>
                <w:tcPr>
                  <w:tcW w:w="495" w:type="dxa"/>
                  <w:shd w:val="clear" w:color="auto" w:fill="auto"/>
                  <w:vAlign w:val="center"/>
                </w:tcPr>
                <w:p w14:paraId="6E5901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350858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C958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51C253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10767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54ED9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96C6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086D40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2E73A6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2CF9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719E3A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7CB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645A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109</w:t>
                  </w:r>
                </w:p>
              </w:tc>
              <w:tc>
                <w:tcPr>
                  <w:tcW w:w="1485" w:type="dxa"/>
                  <w:shd w:val="clear" w:color="auto" w:fill="auto"/>
                  <w:vAlign w:val="center"/>
                </w:tcPr>
                <w:p w14:paraId="7320A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58A48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AB348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AEEA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2B26A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p>
              </w:tc>
              <w:tc>
                <w:tcPr>
                  <w:tcW w:w="375" w:type="dxa"/>
                  <w:shd w:val="clear" w:color="auto" w:fill="auto"/>
                  <w:vAlign w:val="center"/>
                </w:tcPr>
                <w:p w14:paraId="2EEB96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5272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7BE264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129 </w:t>
                  </w:r>
                </w:p>
              </w:tc>
              <w:tc>
                <w:tcPr>
                  <w:tcW w:w="525" w:type="dxa"/>
                  <w:shd w:val="clear" w:color="auto" w:fill="auto"/>
                  <w:vAlign w:val="center"/>
                </w:tcPr>
                <w:p w14:paraId="13F02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3147C8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41 </w:t>
                  </w:r>
                </w:p>
              </w:tc>
              <w:tc>
                <w:tcPr>
                  <w:tcW w:w="495" w:type="dxa"/>
                  <w:shd w:val="clear" w:color="auto" w:fill="auto"/>
                  <w:vAlign w:val="center"/>
                </w:tcPr>
                <w:p w14:paraId="32AB6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7EBDBD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2BE362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79729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37281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00F2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7D4DE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2D1F14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272F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FC72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64BC7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280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409F0A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110</w:t>
                  </w:r>
                </w:p>
              </w:tc>
              <w:tc>
                <w:tcPr>
                  <w:tcW w:w="1485" w:type="dxa"/>
                  <w:shd w:val="clear" w:color="auto" w:fill="auto"/>
                  <w:vAlign w:val="center"/>
                </w:tcPr>
                <w:p w14:paraId="112B8C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1EB7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7C4ED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4500E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12526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375" w:type="dxa"/>
                  <w:shd w:val="clear" w:color="auto" w:fill="auto"/>
                  <w:vAlign w:val="center"/>
                </w:tcPr>
                <w:p w14:paraId="7D8149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3B700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26DFD2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127 </w:t>
                  </w:r>
                </w:p>
              </w:tc>
              <w:tc>
                <w:tcPr>
                  <w:tcW w:w="525" w:type="dxa"/>
                  <w:shd w:val="clear" w:color="auto" w:fill="auto"/>
                  <w:vAlign w:val="center"/>
                </w:tcPr>
                <w:p w14:paraId="6C7F3B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29F44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95" w:type="dxa"/>
                  <w:shd w:val="clear" w:color="auto" w:fill="auto"/>
                  <w:vAlign w:val="center"/>
                </w:tcPr>
                <w:p w14:paraId="331BB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498966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04BB0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6CD6B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651E7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C65D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9BD6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5287E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04E8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DA8D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17ACF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5E8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759D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111</w:t>
                  </w:r>
                </w:p>
              </w:tc>
              <w:tc>
                <w:tcPr>
                  <w:tcW w:w="1485" w:type="dxa"/>
                  <w:shd w:val="clear" w:color="auto" w:fill="auto"/>
                  <w:vAlign w:val="center"/>
                </w:tcPr>
                <w:p w14:paraId="25789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E961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3B82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0322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4E3646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75" w:type="dxa"/>
                  <w:shd w:val="clear" w:color="auto" w:fill="auto"/>
                  <w:vAlign w:val="center"/>
                </w:tcPr>
                <w:p w14:paraId="194BD5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117F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31B0A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125 </w:t>
                  </w:r>
                </w:p>
              </w:tc>
              <w:tc>
                <w:tcPr>
                  <w:tcW w:w="525" w:type="dxa"/>
                  <w:shd w:val="clear" w:color="auto" w:fill="auto"/>
                  <w:vAlign w:val="center"/>
                </w:tcPr>
                <w:p w14:paraId="07897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61A283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495" w:type="dxa"/>
                  <w:shd w:val="clear" w:color="auto" w:fill="auto"/>
                  <w:vAlign w:val="center"/>
                </w:tcPr>
                <w:p w14:paraId="11CAD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56CE92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F0664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AF70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56972F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09C53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9025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41E15E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75C9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2363D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07AD1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18E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6EDE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112</w:t>
                  </w:r>
                </w:p>
              </w:tc>
              <w:tc>
                <w:tcPr>
                  <w:tcW w:w="1485" w:type="dxa"/>
                  <w:shd w:val="clear" w:color="auto" w:fill="auto"/>
                  <w:vAlign w:val="center"/>
                </w:tcPr>
                <w:p w14:paraId="1C130F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2B71FB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ED781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73BBF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3B6F31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375" w:type="dxa"/>
                  <w:shd w:val="clear" w:color="auto" w:fill="auto"/>
                  <w:vAlign w:val="center"/>
                </w:tcPr>
                <w:p w14:paraId="34DD49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3541B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48AD00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123 </w:t>
                  </w:r>
                </w:p>
              </w:tc>
              <w:tc>
                <w:tcPr>
                  <w:tcW w:w="525" w:type="dxa"/>
                  <w:shd w:val="clear" w:color="auto" w:fill="auto"/>
                  <w:vAlign w:val="center"/>
                </w:tcPr>
                <w:p w14:paraId="132CA8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5F119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 </w:t>
                  </w:r>
                </w:p>
              </w:tc>
              <w:tc>
                <w:tcPr>
                  <w:tcW w:w="495" w:type="dxa"/>
                  <w:shd w:val="clear" w:color="auto" w:fill="auto"/>
                  <w:vAlign w:val="center"/>
                </w:tcPr>
                <w:p w14:paraId="03D65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1EBA2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A1FFA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60BB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3C5F8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F58E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D493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2B0341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B6C26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50F4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0B9DD3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9C7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743A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113</w:t>
                  </w:r>
                </w:p>
              </w:tc>
              <w:tc>
                <w:tcPr>
                  <w:tcW w:w="1485" w:type="dxa"/>
                  <w:shd w:val="clear" w:color="auto" w:fill="auto"/>
                  <w:vAlign w:val="center"/>
                </w:tcPr>
                <w:p w14:paraId="67DAD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07139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1539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1C474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6B3EA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w:t>
                  </w:r>
                </w:p>
              </w:tc>
              <w:tc>
                <w:tcPr>
                  <w:tcW w:w="375" w:type="dxa"/>
                  <w:shd w:val="clear" w:color="auto" w:fill="auto"/>
                  <w:vAlign w:val="center"/>
                </w:tcPr>
                <w:p w14:paraId="26D52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DB5E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6C82AB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25" w:type="dxa"/>
                  <w:shd w:val="clear" w:color="auto" w:fill="auto"/>
                  <w:vAlign w:val="center"/>
                </w:tcPr>
                <w:p w14:paraId="4ED46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4A99D4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95" w:type="dxa"/>
                  <w:shd w:val="clear" w:color="auto" w:fill="auto"/>
                  <w:vAlign w:val="center"/>
                </w:tcPr>
                <w:p w14:paraId="498932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3D6A2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1BA734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3A85B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1010E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C98DA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65C7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07F47B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9B451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AEB4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4FCE6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8A7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40DB55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114</w:t>
                  </w:r>
                </w:p>
              </w:tc>
              <w:tc>
                <w:tcPr>
                  <w:tcW w:w="1485" w:type="dxa"/>
                  <w:shd w:val="clear" w:color="auto" w:fill="auto"/>
                  <w:vAlign w:val="center"/>
                </w:tcPr>
                <w:p w14:paraId="39E2F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5DA64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3FD9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18A6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11D63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375" w:type="dxa"/>
                  <w:shd w:val="clear" w:color="auto" w:fill="auto"/>
                  <w:vAlign w:val="center"/>
                </w:tcPr>
                <w:p w14:paraId="3466C9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B50A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49DA5A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119 </w:t>
                  </w:r>
                </w:p>
              </w:tc>
              <w:tc>
                <w:tcPr>
                  <w:tcW w:w="525" w:type="dxa"/>
                  <w:shd w:val="clear" w:color="auto" w:fill="auto"/>
                  <w:vAlign w:val="center"/>
                </w:tcPr>
                <w:p w14:paraId="6C7E3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49CB2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95" w:type="dxa"/>
                  <w:shd w:val="clear" w:color="auto" w:fill="auto"/>
                  <w:vAlign w:val="center"/>
                </w:tcPr>
                <w:p w14:paraId="6529A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52063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0B5388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1BAD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8C3F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9A044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41473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22A7B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13EBF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09B6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B221C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702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BFD5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115</w:t>
                  </w:r>
                </w:p>
              </w:tc>
              <w:tc>
                <w:tcPr>
                  <w:tcW w:w="1485" w:type="dxa"/>
                  <w:shd w:val="clear" w:color="auto" w:fill="auto"/>
                  <w:vAlign w:val="center"/>
                </w:tcPr>
                <w:p w14:paraId="55714F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57458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61C6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EB95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07A22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375" w:type="dxa"/>
                  <w:shd w:val="clear" w:color="auto" w:fill="auto"/>
                  <w:vAlign w:val="center"/>
                </w:tcPr>
                <w:p w14:paraId="618676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7D421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362FE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25" w:type="dxa"/>
                  <w:shd w:val="clear" w:color="auto" w:fill="auto"/>
                  <w:vAlign w:val="center"/>
                </w:tcPr>
                <w:p w14:paraId="245C1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12A30C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95" w:type="dxa"/>
                  <w:shd w:val="clear" w:color="auto" w:fill="auto"/>
                  <w:vAlign w:val="center"/>
                </w:tcPr>
                <w:p w14:paraId="1FEA55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2CCBC8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9F06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D2C5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A7377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DA60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CD40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7ADEDC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051F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206C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7FBC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0BD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0DFAA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116</w:t>
                  </w:r>
                </w:p>
              </w:tc>
              <w:tc>
                <w:tcPr>
                  <w:tcW w:w="1485" w:type="dxa"/>
                  <w:shd w:val="clear" w:color="auto" w:fill="auto"/>
                  <w:vAlign w:val="center"/>
                </w:tcPr>
                <w:p w14:paraId="5DE0DB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81128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5D9A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ECCA4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3BD85B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0D6417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F1F2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79293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25" w:type="dxa"/>
                  <w:shd w:val="clear" w:color="auto" w:fill="auto"/>
                  <w:vAlign w:val="center"/>
                </w:tcPr>
                <w:p w14:paraId="47684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3A7D63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95" w:type="dxa"/>
                  <w:shd w:val="clear" w:color="auto" w:fill="auto"/>
                  <w:vAlign w:val="center"/>
                </w:tcPr>
                <w:p w14:paraId="3B79F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420EF9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4DE7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AA4A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E554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228E8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6AF22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0CD539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990E8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8054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FF9B7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341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25BCF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117</w:t>
                  </w:r>
                </w:p>
              </w:tc>
              <w:tc>
                <w:tcPr>
                  <w:tcW w:w="1485" w:type="dxa"/>
                  <w:shd w:val="clear" w:color="auto" w:fill="auto"/>
                  <w:vAlign w:val="center"/>
                </w:tcPr>
                <w:p w14:paraId="04CFB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383F03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65F3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E879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6820D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375" w:type="dxa"/>
                  <w:shd w:val="clear" w:color="auto" w:fill="auto"/>
                  <w:vAlign w:val="center"/>
                </w:tcPr>
                <w:p w14:paraId="39B6A1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BD95B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3F35E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25" w:type="dxa"/>
                  <w:shd w:val="clear" w:color="auto" w:fill="auto"/>
                  <w:vAlign w:val="center"/>
                </w:tcPr>
                <w:p w14:paraId="07B9F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1AA609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95" w:type="dxa"/>
                  <w:shd w:val="clear" w:color="auto" w:fill="auto"/>
                  <w:vAlign w:val="center"/>
                </w:tcPr>
                <w:p w14:paraId="796B9A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279B7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F819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ECCC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0538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C1C0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A4E4B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4F244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5ECBE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69FD2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48ED8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C5E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D790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118</w:t>
                  </w:r>
                </w:p>
              </w:tc>
              <w:tc>
                <w:tcPr>
                  <w:tcW w:w="1485" w:type="dxa"/>
                  <w:shd w:val="clear" w:color="auto" w:fill="auto"/>
                  <w:vAlign w:val="center"/>
                </w:tcPr>
                <w:p w14:paraId="50D69A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0D109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EEAA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E2AA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5BEEFB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375" w:type="dxa"/>
                  <w:shd w:val="clear" w:color="auto" w:fill="auto"/>
                  <w:vAlign w:val="center"/>
                </w:tcPr>
                <w:p w14:paraId="45D7C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B9E4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0BC04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25" w:type="dxa"/>
                  <w:shd w:val="clear" w:color="auto" w:fill="auto"/>
                  <w:vAlign w:val="center"/>
                </w:tcPr>
                <w:p w14:paraId="3D804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14F123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95" w:type="dxa"/>
                  <w:shd w:val="clear" w:color="auto" w:fill="auto"/>
                  <w:vAlign w:val="center"/>
                </w:tcPr>
                <w:p w14:paraId="1E6DA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4BDBD9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5EF65C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51375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190DE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5145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4572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42594C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0B76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FC90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1B3F8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0F3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DF20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119</w:t>
                  </w:r>
                </w:p>
              </w:tc>
              <w:tc>
                <w:tcPr>
                  <w:tcW w:w="1485" w:type="dxa"/>
                  <w:shd w:val="clear" w:color="auto" w:fill="auto"/>
                  <w:vAlign w:val="center"/>
                </w:tcPr>
                <w:p w14:paraId="68ACDB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1EA3A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6B5FC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FCC2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09E85E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375" w:type="dxa"/>
                  <w:shd w:val="clear" w:color="auto" w:fill="auto"/>
                  <w:vAlign w:val="center"/>
                </w:tcPr>
                <w:p w14:paraId="14AE7E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64E4D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7C60A0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25" w:type="dxa"/>
                  <w:shd w:val="clear" w:color="auto" w:fill="auto"/>
                  <w:vAlign w:val="center"/>
                </w:tcPr>
                <w:p w14:paraId="3D9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4075B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61 </w:t>
                  </w:r>
                </w:p>
              </w:tc>
              <w:tc>
                <w:tcPr>
                  <w:tcW w:w="495" w:type="dxa"/>
                  <w:shd w:val="clear" w:color="auto" w:fill="auto"/>
                  <w:vAlign w:val="center"/>
                </w:tcPr>
                <w:p w14:paraId="0F37AF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103E33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5FAE2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6E4FC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743D3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1BA88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7697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641D5A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5675F4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495D5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1B475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B81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A31B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120</w:t>
                  </w:r>
                </w:p>
              </w:tc>
              <w:tc>
                <w:tcPr>
                  <w:tcW w:w="1485" w:type="dxa"/>
                  <w:shd w:val="clear" w:color="auto" w:fill="auto"/>
                  <w:vAlign w:val="center"/>
                </w:tcPr>
                <w:p w14:paraId="1C84E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75F9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39EF5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62D9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465D90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375" w:type="dxa"/>
                  <w:shd w:val="clear" w:color="auto" w:fill="auto"/>
                  <w:vAlign w:val="center"/>
                </w:tcPr>
                <w:p w14:paraId="3EF408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A3431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025D5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107 </w:t>
                  </w:r>
                </w:p>
              </w:tc>
              <w:tc>
                <w:tcPr>
                  <w:tcW w:w="525" w:type="dxa"/>
                  <w:shd w:val="clear" w:color="auto" w:fill="auto"/>
                  <w:vAlign w:val="center"/>
                </w:tcPr>
                <w:p w14:paraId="2262D8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6E7D1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95" w:type="dxa"/>
                  <w:shd w:val="clear" w:color="auto" w:fill="auto"/>
                  <w:vAlign w:val="center"/>
                </w:tcPr>
                <w:p w14:paraId="734D28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77F56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130A1E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07FD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2EB901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01E7C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841DB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1A02F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C67AA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3163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66E6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2AF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046C4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121</w:t>
                  </w:r>
                </w:p>
              </w:tc>
              <w:tc>
                <w:tcPr>
                  <w:tcW w:w="1485" w:type="dxa"/>
                  <w:shd w:val="clear" w:color="auto" w:fill="auto"/>
                  <w:vAlign w:val="center"/>
                </w:tcPr>
                <w:p w14:paraId="78B3BA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5B92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05182A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94993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588F6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5" w:type="dxa"/>
                  <w:shd w:val="clear" w:color="auto" w:fill="auto"/>
                  <w:vAlign w:val="center"/>
                </w:tcPr>
                <w:p w14:paraId="2555C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05F7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7DADC0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105 </w:t>
                  </w:r>
                </w:p>
              </w:tc>
              <w:tc>
                <w:tcPr>
                  <w:tcW w:w="525" w:type="dxa"/>
                  <w:shd w:val="clear" w:color="auto" w:fill="auto"/>
                  <w:vAlign w:val="center"/>
                </w:tcPr>
                <w:p w14:paraId="2C57C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67DAC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495" w:type="dxa"/>
                  <w:shd w:val="clear" w:color="auto" w:fill="auto"/>
                  <w:vAlign w:val="center"/>
                </w:tcPr>
                <w:p w14:paraId="18F35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0C9948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D0C8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9172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6CC32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C2B36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75FF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41C0F2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4579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0DC5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4BC87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56B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5807B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122</w:t>
                  </w:r>
                </w:p>
              </w:tc>
              <w:tc>
                <w:tcPr>
                  <w:tcW w:w="1485" w:type="dxa"/>
                  <w:shd w:val="clear" w:color="auto" w:fill="auto"/>
                  <w:vAlign w:val="center"/>
                </w:tcPr>
                <w:p w14:paraId="6C637D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50F5DC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2CBE7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77ED6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3205D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375" w:type="dxa"/>
                  <w:shd w:val="clear" w:color="auto" w:fill="auto"/>
                  <w:vAlign w:val="center"/>
                </w:tcPr>
                <w:p w14:paraId="5025E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73B03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372F3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103 </w:t>
                  </w:r>
                </w:p>
              </w:tc>
              <w:tc>
                <w:tcPr>
                  <w:tcW w:w="525" w:type="dxa"/>
                  <w:shd w:val="clear" w:color="auto" w:fill="auto"/>
                  <w:vAlign w:val="center"/>
                </w:tcPr>
                <w:p w14:paraId="0ABD7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41E66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67 </w:t>
                  </w:r>
                </w:p>
              </w:tc>
              <w:tc>
                <w:tcPr>
                  <w:tcW w:w="495" w:type="dxa"/>
                  <w:shd w:val="clear" w:color="auto" w:fill="auto"/>
                  <w:vAlign w:val="center"/>
                </w:tcPr>
                <w:p w14:paraId="2D02E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52AF30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12DF2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FAC3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336D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481E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04BC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715A72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ADE89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9F18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22E29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E7A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38B3ED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123</w:t>
                  </w:r>
                </w:p>
              </w:tc>
              <w:tc>
                <w:tcPr>
                  <w:tcW w:w="1485" w:type="dxa"/>
                  <w:shd w:val="clear" w:color="auto" w:fill="auto"/>
                  <w:vAlign w:val="center"/>
                </w:tcPr>
                <w:p w14:paraId="02BCC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E13A9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64D1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7DF4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3D843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375" w:type="dxa"/>
                  <w:shd w:val="clear" w:color="auto" w:fill="auto"/>
                  <w:vAlign w:val="center"/>
                </w:tcPr>
                <w:p w14:paraId="7A5BE1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D21A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6FE0C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101 </w:t>
                  </w:r>
                </w:p>
              </w:tc>
              <w:tc>
                <w:tcPr>
                  <w:tcW w:w="525" w:type="dxa"/>
                  <w:shd w:val="clear" w:color="auto" w:fill="auto"/>
                  <w:vAlign w:val="center"/>
                </w:tcPr>
                <w:p w14:paraId="28F319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52B28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69 </w:t>
                  </w:r>
                </w:p>
              </w:tc>
              <w:tc>
                <w:tcPr>
                  <w:tcW w:w="495" w:type="dxa"/>
                  <w:shd w:val="clear" w:color="auto" w:fill="auto"/>
                  <w:vAlign w:val="center"/>
                </w:tcPr>
                <w:p w14:paraId="6AA18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44F942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713A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C3FBE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6E0E6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933F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AF82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31FC37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2C2E3B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431B8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9069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DA5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2BC5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124</w:t>
                  </w:r>
                </w:p>
              </w:tc>
              <w:tc>
                <w:tcPr>
                  <w:tcW w:w="1485" w:type="dxa"/>
                  <w:shd w:val="clear" w:color="auto" w:fill="auto"/>
                  <w:vAlign w:val="center"/>
                </w:tcPr>
                <w:p w14:paraId="43992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DFA1C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CE7D2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5C93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57732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375" w:type="dxa"/>
                  <w:shd w:val="clear" w:color="auto" w:fill="auto"/>
                  <w:vAlign w:val="center"/>
                </w:tcPr>
                <w:p w14:paraId="4D0BB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2905C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5DF9D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99 </w:t>
                  </w:r>
                </w:p>
              </w:tc>
              <w:tc>
                <w:tcPr>
                  <w:tcW w:w="525" w:type="dxa"/>
                  <w:shd w:val="clear" w:color="auto" w:fill="auto"/>
                  <w:vAlign w:val="center"/>
                </w:tcPr>
                <w:p w14:paraId="0EF3C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2FB123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71 </w:t>
                  </w:r>
                </w:p>
              </w:tc>
              <w:tc>
                <w:tcPr>
                  <w:tcW w:w="495" w:type="dxa"/>
                  <w:shd w:val="clear" w:color="auto" w:fill="auto"/>
                  <w:vAlign w:val="center"/>
                </w:tcPr>
                <w:p w14:paraId="509112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696E47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00B269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A7E9A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61E81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480ED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3E13A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090F5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2C068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82CFF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64B03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3E0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3403F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125</w:t>
                  </w:r>
                </w:p>
              </w:tc>
              <w:tc>
                <w:tcPr>
                  <w:tcW w:w="1485" w:type="dxa"/>
                  <w:shd w:val="clear" w:color="auto" w:fill="auto"/>
                  <w:vAlign w:val="center"/>
                </w:tcPr>
                <w:p w14:paraId="3C735B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C4AC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A9111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FFDC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717AEF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375" w:type="dxa"/>
                  <w:shd w:val="clear" w:color="auto" w:fill="auto"/>
                  <w:vAlign w:val="center"/>
                </w:tcPr>
                <w:p w14:paraId="3ECE4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07A2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79F1D4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97 </w:t>
                  </w:r>
                </w:p>
              </w:tc>
              <w:tc>
                <w:tcPr>
                  <w:tcW w:w="525" w:type="dxa"/>
                  <w:shd w:val="clear" w:color="auto" w:fill="auto"/>
                  <w:vAlign w:val="center"/>
                </w:tcPr>
                <w:p w14:paraId="54655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1231DC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 </w:t>
                  </w:r>
                </w:p>
              </w:tc>
              <w:tc>
                <w:tcPr>
                  <w:tcW w:w="495" w:type="dxa"/>
                  <w:shd w:val="clear" w:color="auto" w:fill="auto"/>
                  <w:vAlign w:val="center"/>
                </w:tcPr>
                <w:p w14:paraId="295B1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53116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18B5F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E3DB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0018B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9CB8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01A6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71FAC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B17E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1420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7E99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5F6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6EBE2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126</w:t>
                  </w:r>
                </w:p>
              </w:tc>
              <w:tc>
                <w:tcPr>
                  <w:tcW w:w="1485" w:type="dxa"/>
                  <w:shd w:val="clear" w:color="auto" w:fill="auto"/>
                  <w:vAlign w:val="center"/>
                </w:tcPr>
                <w:p w14:paraId="20483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4E5BF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61B94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9943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5B4A79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5" w:type="dxa"/>
                  <w:shd w:val="clear" w:color="auto" w:fill="auto"/>
                  <w:vAlign w:val="center"/>
                </w:tcPr>
                <w:p w14:paraId="12EC4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111DF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34F89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 </w:t>
                  </w:r>
                </w:p>
              </w:tc>
              <w:tc>
                <w:tcPr>
                  <w:tcW w:w="525" w:type="dxa"/>
                  <w:shd w:val="clear" w:color="auto" w:fill="auto"/>
                  <w:vAlign w:val="center"/>
                </w:tcPr>
                <w:p w14:paraId="51D0B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13371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75 </w:t>
                  </w:r>
                </w:p>
              </w:tc>
              <w:tc>
                <w:tcPr>
                  <w:tcW w:w="495" w:type="dxa"/>
                  <w:shd w:val="clear" w:color="auto" w:fill="auto"/>
                  <w:vAlign w:val="center"/>
                </w:tcPr>
                <w:p w14:paraId="42E09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60F29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02D7B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0EB4D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69EEE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F17E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47639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6DB96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2D4DDB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6166D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6FEC4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2FD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45C40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127</w:t>
                  </w:r>
                </w:p>
              </w:tc>
              <w:tc>
                <w:tcPr>
                  <w:tcW w:w="1485" w:type="dxa"/>
                  <w:shd w:val="clear" w:color="auto" w:fill="auto"/>
                  <w:vAlign w:val="center"/>
                </w:tcPr>
                <w:p w14:paraId="5646F7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6680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7367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8D05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630" w:type="dxa"/>
                  <w:shd w:val="clear" w:color="auto" w:fill="auto"/>
                  <w:vAlign w:val="center"/>
                </w:tcPr>
                <w:p w14:paraId="07838C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375" w:type="dxa"/>
                  <w:shd w:val="clear" w:color="auto" w:fill="auto"/>
                  <w:vAlign w:val="center"/>
                </w:tcPr>
                <w:p w14:paraId="256D59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5CDB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 </w:t>
                  </w:r>
                </w:p>
              </w:tc>
              <w:tc>
                <w:tcPr>
                  <w:tcW w:w="570" w:type="dxa"/>
                  <w:shd w:val="clear" w:color="auto" w:fill="auto"/>
                  <w:vAlign w:val="center"/>
                </w:tcPr>
                <w:p w14:paraId="562F7A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25" w:type="dxa"/>
                  <w:shd w:val="clear" w:color="auto" w:fill="auto"/>
                  <w:vAlign w:val="center"/>
                </w:tcPr>
                <w:p w14:paraId="6B4EE1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85" w:type="dxa"/>
                  <w:shd w:val="clear" w:color="auto" w:fill="auto"/>
                  <w:vAlign w:val="center"/>
                </w:tcPr>
                <w:p w14:paraId="0A4D14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77 </w:t>
                  </w:r>
                </w:p>
              </w:tc>
              <w:tc>
                <w:tcPr>
                  <w:tcW w:w="495" w:type="dxa"/>
                  <w:shd w:val="clear" w:color="auto" w:fill="auto"/>
                  <w:vAlign w:val="center"/>
                </w:tcPr>
                <w:p w14:paraId="22C632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80" w:type="dxa"/>
                  <w:shd w:val="clear" w:color="auto" w:fill="auto"/>
                  <w:vAlign w:val="center"/>
                </w:tcPr>
                <w:p w14:paraId="4BD14B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6F20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227A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03146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E7AA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52087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480" w:type="dxa"/>
                  <w:shd w:val="clear" w:color="auto" w:fill="auto"/>
                  <w:vAlign w:val="center"/>
                </w:tcPr>
                <w:p w14:paraId="22B91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29594C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5625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67016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564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38BA5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128</w:t>
                  </w:r>
                </w:p>
              </w:tc>
              <w:tc>
                <w:tcPr>
                  <w:tcW w:w="1485" w:type="dxa"/>
                  <w:shd w:val="clear" w:color="auto" w:fill="auto"/>
                  <w:vAlign w:val="center"/>
                </w:tcPr>
                <w:p w14:paraId="251D0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2889A1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52E7A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91034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7A47C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375" w:type="dxa"/>
                  <w:shd w:val="clear" w:color="auto" w:fill="auto"/>
                  <w:vAlign w:val="center"/>
                </w:tcPr>
                <w:p w14:paraId="4A4B58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80B7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3893F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131 </w:t>
                  </w:r>
                </w:p>
              </w:tc>
              <w:tc>
                <w:tcPr>
                  <w:tcW w:w="525" w:type="dxa"/>
                  <w:shd w:val="clear" w:color="auto" w:fill="auto"/>
                  <w:vAlign w:val="center"/>
                </w:tcPr>
                <w:p w14:paraId="2D6A8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22142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39 </w:t>
                  </w:r>
                </w:p>
              </w:tc>
              <w:tc>
                <w:tcPr>
                  <w:tcW w:w="495" w:type="dxa"/>
                  <w:shd w:val="clear" w:color="auto" w:fill="auto"/>
                  <w:vAlign w:val="center"/>
                </w:tcPr>
                <w:p w14:paraId="6D39F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6B3DE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2A45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AB75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22C18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527B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07DD2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33E7A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222BBF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DA962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727BF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C5D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DD08F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129</w:t>
                  </w:r>
                </w:p>
              </w:tc>
              <w:tc>
                <w:tcPr>
                  <w:tcW w:w="1485" w:type="dxa"/>
                  <w:shd w:val="clear" w:color="auto" w:fill="auto"/>
                  <w:vAlign w:val="center"/>
                </w:tcPr>
                <w:p w14:paraId="7E5836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B383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2F85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330F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47582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p>
              </w:tc>
              <w:tc>
                <w:tcPr>
                  <w:tcW w:w="375" w:type="dxa"/>
                  <w:shd w:val="clear" w:color="auto" w:fill="auto"/>
                  <w:vAlign w:val="center"/>
                </w:tcPr>
                <w:p w14:paraId="09BE4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DA157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153DF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129 </w:t>
                  </w:r>
                </w:p>
              </w:tc>
              <w:tc>
                <w:tcPr>
                  <w:tcW w:w="525" w:type="dxa"/>
                  <w:shd w:val="clear" w:color="auto" w:fill="auto"/>
                  <w:vAlign w:val="center"/>
                </w:tcPr>
                <w:p w14:paraId="38C01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7E9B63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41 </w:t>
                  </w:r>
                </w:p>
              </w:tc>
              <w:tc>
                <w:tcPr>
                  <w:tcW w:w="495" w:type="dxa"/>
                  <w:shd w:val="clear" w:color="auto" w:fill="auto"/>
                  <w:vAlign w:val="center"/>
                </w:tcPr>
                <w:p w14:paraId="3B9DDC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5881B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240FD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85A3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02FEB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2A97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D6A7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6617D5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24B82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1DE2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2E477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F0F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354F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130</w:t>
                  </w:r>
                </w:p>
              </w:tc>
              <w:tc>
                <w:tcPr>
                  <w:tcW w:w="1485" w:type="dxa"/>
                  <w:shd w:val="clear" w:color="auto" w:fill="auto"/>
                  <w:vAlign w:val="center"/>
                </w:tcPr>
                <w:p w14:paraId="19972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2FDE8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67436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02AB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1700BE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375" w:type="dxa"/>
                  <w:shd w:val="clear" w:color="auto" w:fill="auto"/>
                  <w:vAlign w:val="center"/>
                </w:tcPr>
                <w:p w14:paraId="4185E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A6A2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3982F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127 </w:t>
                  </w:r>
                </w:p>
              </w:tc>
              <w:tc>
                <w:tcPr>
                  <w:tcW w:w="525" w:type="dxa"/>
                  <w:shd w:val="clear" w:color="auto" w:fill="auto"/>
                  <w:vAlign w:val="center"/>
                </w:tcPr>
                <w:p w14:paraId="3B0A9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226D6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95" w:type="dxa"/>
                  <w:shd w:val="clear" w:color="auto" w:fill="auto"/>
                  <w:vAlign w:val="center"/>
                </w:tcPr>
                <w:p w14:paraId="547298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3A1C0B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5E34A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CFF1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2AD309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2B2AD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3F450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67437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A2EC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1B7B5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07631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7C5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D418D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131</w:t>
                  </w:r>
                </w:p>
              </w:tc>
              <w:tc>
                <w:tcPr>
                  <w:tcW w:w="1485" w:type="dxa"/>
                  <w:shd w:val="clear" w:color="auto" w:fill="auto"/>
                  <w:vAlign w:val="center"/>
                </w:tcPr>
                <w:p w14:paraId="56B1C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0C4E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38DBF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EDE24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263AE6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75" w:type="dxa"/>
                  <w:shd w:val="clear" w:color="auto" w:fill="auto"/>
                  <w:vAlign w:val="center"/>
                </w:tcPr>
                <w:p w14:paraId="3CEDA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17CE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1F65E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125 </w:t>
                  </w:r>
                </w:p>
              </w:tc>
              <w:tc>
                <w:tcPr>
                  <w:tcW w:w="525" w:type="dxa"/>
                  <w:shd w:val="clear" w:color="auto" w:fill="auto"/>
                  <w:vAlign w:val="center"/>
                </w:tcPr>
                <w:p w14:paraId="6C4A7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18647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495" w:type="dxa"/>
                  <w:shd w:val="clear" w:color="auto" w:fill="auto"/>
                  <w:vAlign w:val="center"/>
                </w:tcPr>
                <w:p w14:paraId="3DC68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7EE934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4344F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48EF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618D8B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44782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79B9B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50587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02F2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169E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38F3D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D0B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16A79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132</w:t>
                  </w:r>
                </w:p>
              </w:tc>
              <w:tc>
                <w:tcPr>
                  <w:tcW w:w="1485" w:type="dxa"/>
                  <w:shd w:val="clear" w:color="auto" w:fill="auto"/>
                  <w:vAlign w:val="center"/>
                </w:tcPr>
                <w:p w14:paraId="05F3A0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F84D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5E3E8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FFE56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04A05B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375" w:type="dxa"/>
                  <w:shd w:val="clear" w:color="auto" w:fill="auto"/>
                  <w:vAlign w:val="center"/>
                </w:tcPr>
                <w:p w14:paraId="1E2A4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9910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1E06E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123 </w:t>
                  </w:r>
                </w:p>
              </w:tc>
              <w:tc>
                <w:tcPr>
                  <w:tcW w:w="525" w:type="dxa"/>
                  <w:shd w:val="clear" w:color="auto" w:fill="auto"/>
                  <w:vAlign w:val="center"/>
                </w:tcPr>
                <w:p w14:paraId="663307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2BFB08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 </w:t>
                  </w:r>
                </w:p>
              </w:tc>
              <w:tc>
                <w:tcPr>
                  <w:tcW w:w="495" w:type="dxa"/>
                  <w:shd w:val="clear" w:color="auto" w:fill="auto"/>
                  <w:vAlign w:val="center"/>
                </w:tcPr>
                <w:p w14:paraId="2B330E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1C0756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25DF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61B10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3C699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7ECBE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52AAF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2F17BA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576C0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E10B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12187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17D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FE57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133</w:t>
                  </w:r>
                </w:p>
              </w:tc>
              <w:tc>
                <w:tcPr>
                  <w:tcW w:w="1485" w:type="dxa"/>
                  <w:shd w:val="clear" w:color="auto" w:fill="auto"/>
                  <w:vAlign w:val="center"/>
                </w:tcPr>
                <w:p w14:paraId="1516FA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6D2A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09BA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AD1D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561AB5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w:t>
                  </w:r>
                </w:p>
              </w:tc>
              <w:tc>
                <w:tcPr>
                  <w:tcW w:w="375" w:type="dxa"/>
                  <w:shd w:val="clear" w:color="auto" w:fill="auto"/>
                  <w:vAlign w:val="center"/>
                </w:tcPr>
                <w:p w14:paraId="31F904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F2B6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048E47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25" w:type="dxa"/>
                  <w:shd w:val="clear" w:color="auto" w:fill="auto"/>
                  <w:vAlign w:val="center"/>
                </w:tcPr>
                <w:p w14:paraId="1E396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7F970E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95" w:type="dxa"/>
                  <w:shd w:val="clear" w:color="auto" w:fill="auto"/>
                  <w:vAlign w:val="center"/>
                </w:tcPr>
                <w:p w14:paraId="3D376F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667F8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F0E8D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099AC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2C7C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849A2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0A643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53610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C9139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10688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4D5F3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DA6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B24D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134</w:t>
                  </w:r>
                </w:p>
              </w:tc>
              <w:tc>
                <w:tcPr>
                  <w:tcW w:w="1485" w:type="dxa"/>
                  <w:shd w:val="clear" w:color="auto" w:fill="auto"/>
                  <w:vAlign w:val="center"/>
                </w:tcPr>
                <w:p w14:paraId="168E0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54967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5E4E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5468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40790C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375" w:type="dxa"/>
                  <w:shd w:val="clear" w:color="auto" w:fill="auto"/>
                  <w:vAlign w:val="center"/>
                </w:tcPr>
                <w:p w14:paraId="5DA82C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6E34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53F91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119 </w:t>
                  </w:r>
                </w:p>
              </w:tc>
              <w:tc>
                <w:tcPr>
                  <w:tcW w:w="525" w:type="dxa"/>
                  <w:shd w:val="clear" w:color="auto" w:fill="auto"/>
                  <w:vAlign w:val="center"/>
                </w:tcPr>
                <w:p w14:paraId="602F5E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36AE0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95" w:type="dxa"/>
                  <w:shd w:val="clear" w:color="auto" w:fill="auto"/>
                  <w:vAlign w:val="center"/>
                </w:tcPr>
                <w:p w14:paraId="094271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4FBAFE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04780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0B128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7B8EE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DDE73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37DD8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158A3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9E3A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FBDF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289E0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CEB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3458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135</w:t>
                  </w:r>
                </w:p>
              </w:tc>
              <w:tc>
                <w:tcPr>
                  <w:tcW w:w="1485" w:type="dxa"/>
                  <w:shd w:val="clear" w:color="auto" w:fill="auto"/>
                  <w:vAlign w:val="center"/>
                </w:tcPr>
                <w:p w14:paraId="38C3C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5C0F0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02848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5A689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6B0C0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375" w:type="dxa"/>
                  <w:shd w:val="clear" w:color="auto" w:fill="auto"/>
                  <w:vAlign w:val="center"/>
                </w:tcPr>
                <w:p w14:paraId="194F7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6C80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4322B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25" w:type="dxa"/>
                  <w:shd w:val="clear" w:color="auto" w:fill="auto"/>
                  <w:vAlign w:val="center"/>
                </w:tcPr>
                <w:p w14:paraId="34AEDA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7625A0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95" w:type="dxa"/>
                  <w:shd w:val="clear" w:color="auto" w:fill="auto"/>
                  <w:vAlign w:val="center"/>
                </w:tcPr>
                <w:p w14:paraId="75FD0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492F27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A13B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B831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17C2C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A508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9AC3E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1BACCC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21428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227C0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164BD9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B83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DE4A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136</w:t>
                  </w:r>
                </w:p>
              </w:tc>
              <w:tc>
                <w:tcPr>
                  <w:tcW w:w="1485" w:type="dxa"/>
                  <w:shd w:val="clear" w:color="auto" w:fill="auto"/>
                  <w:vAlign w:val="center"/>
                </w:tcPr>
                <w:p w14:paraId="13F88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39</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56FA2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0BA24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EB1E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007D8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42755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D86B6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251DF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25" w:type="dxa"/>
                  <w:shd w:val="clear" w:color="auto" w:fill="auto"/>
                  <w:vAlign w:val="center"/>
                </w:tcPr>
                <w:p w14:paraId="45879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4AC1B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95" w:type="dxa"/>
                  <w:shd w:val="clear" w:color="auto" w:fill="auto"/>
                  <w:vAlign w:val="center"/>
                </w:tcPr>
                <w:p w14:paraId="7EC5E0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057022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03CF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358FE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5BFA3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BAC81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6C69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11A94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E279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0411B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29A3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3DF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35DD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137</w:t>
                  </w:r>
                </w:p>
              </w:tc>
              <w:tc>
                <w:tcPr>
                  <w:tcW w:w="1485" w:type="dxa"/>
                  <w:shd w:val="clear" w:color="auto" w:fill="auto"/>
                  <w:vAlign w:val="center"/>
                </w:tcPr>
                <w:p w14:paraId="553220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975C4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62D352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DDF8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6A29B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375" w:type="dxa"/>
                  <w:shd w:val="clear" w:color="auto" w:fill="auto"/>
                  <w:vAlign w:val="center"/>
                </w:tcPr>
                <w:p w14:paraId="7E360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5DC78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34AD13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25" w:type="dxa"/>
                  <w:shd w:val="clear" w:color="auto" w:fill="auto"/>
                  <w:vAlign w:val="center"/>
                </w:tcPr>
                <w:p w14:paraId="123AE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02510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95" w:type="dxa"/>
                  <w:shd w:val="clear" w:color="auto" w:fill="auto"/>
                  <w:vAlign w:val="center"/>
                </w:tcPr>
                <w:p w14:paraId="6F4A7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0CC64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01094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C9648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C69C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098E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85B96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4D9B95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9DB02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62BC5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3A11E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B82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43DB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138</w:t>
                  </w:r>
                </w:p>
              </w:tc>
              <w:tc>
                <w:tcPr>
                  <w:tcW w:w="1485" w:type="dxa"/>
                  <w:shd w:val="clear" w:color="auto" w:fill="auto"/>
                  <w:vAlign w:val="center"/>
                </w:tcPr>
                <w:p w14:paraId="24AFF2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2FFD58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0795F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F79E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0102F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375" w:type="dxa"/>
                  <w:shd w:val="clear" w:color="auto" w:fill="auto"/>
                  <w:vAlign w:val="center"/>
                </w:tcPr>
                <w:p w14:paraId="7A814A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5AE99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2985E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25" w:type="dxa"/>
                  <w:shd w:val="clear" w:color="auto" w:fill="auto"/>
                  <w:vAlign w:val="center"/>
                </w:tcPr>
                <w:p w14:paraId="44209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0C0D2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95" w:type="dxa"/>
                  <w:shd w:val="clear" w:color="auto" w:fill="auto"/>
                  <w:vAlign w:val="center"/>
                </w:tcPr>
                <w:p w14:paraId="1AA7A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37284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2D784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E3AFA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69E6E6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221B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E335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70115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F926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3E26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E6C28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344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BEF5A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139</w:t>
                  </w:r>
                </w:p>
              </w:tc>
              <w:tc>
                <w:tcPr>
                  <w:tcW w:w="1485" w:type="dxa"/>
                  <w:shd w:val="clear" w:color="auto" w:fill="auto"/>
                  <w:vAlign w:val="center"/>
                </w:tcPr>
                <w:p w14:paraId="3A34C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3CBF4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092D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F9428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5EEBF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375" w:type="dxa"/>
                  <w:shd w:val="clear" w:color="auto" w:fill="auto"/>
                  <w:vAlign w:val="center"/>
                </w:tcPr>
                <w:p w14:paraId="6C674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24F4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5559D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25" w:type="dxa"/>
                  <w:shd w:val="clear" w:color="auto" w:fill="auto"/>
                  <w:vAlign w:val="center"/>
                </w:tcPr>
                <w:p w14:paraId="53EAE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0D0E6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61 </w:t>
                  </w:r>
                </w:p>
              </w:tc>
              <w:tc>
                <w:tcPr>
                  <w:tcW w:w="495" w:type="dxa"/>
                  <w:shd w:val="clear" w:color="auto" w:fill="auto"/>
                  <w:vAlign w:val="center"/>
                </w:tcPr>
                <w:p w14:paraId="0EF41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2F159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8817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53F0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01C82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BAC32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F4000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133338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343C4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A660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8FFB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9EF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649A2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140</w:t>
                  </w:r>
                </w:p>
              </w:tc>
              <w:tc>
                <w:tcPr>
                  <w:tcW w:w="1485" w:type="dxa"/>
                  <w:shd w:val="clear" w:color="auto" w:fill="auto"/>
                  <w:vAlign w:val="center"/>
                </w:tcPr>
                <w:p w14:paraId="1E900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43</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36E4A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15C05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9490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3F288B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375" w:type="dxa"/>
                  <w:shd w:val="clear" w:color="auto" w:fill="auto"/>
                  <w:vAlign w:val="center"/>
                </w:tcPr>
                <w:p w14:paraId="0ECF8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1B500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79D59E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107 </w:t>
                  </w:r>
                </w:p>
              </w:tc>
              <w:tc>
                <w:tcPr>
                  <w:tcW w:w="525" w:type="dxa"/>
                  <w:shd w:val="clear" w:color="auto" w:fill="auto"/>
                  <w:vAlign w:val="center"/>
                </w:tcPr>
                <w:p w14:paraId="64B29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60CEA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95" w:type="dxa"/>
                  <w:shd w:val="clear" w:color="auto" w:fill="auto"/>
                  <w:vAlign w:val="center"/>
                </w:tcPr>
                <w:p w14:paraId="285B3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2DCD1E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257206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42E4D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8F1CA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C202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FC8D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1FF964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4C568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F7A05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1D5FF1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ECB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AD6F5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141</w:t>
                  </w:r>
                </w:p>
              </w:tc>
              <w:tc>
                <w:tcPr>
                  <w:tcW w:w="1485" w:type="dxa"/>
                  <w:shd w:val="clear" w:color="auto" w:fill="auto"/>
                  <w:vAlign w:val="center"/>
                </w:tcPr>
                <w:p w14:paraId="1C181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362AD0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DC41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1FDD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70D4B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5" w:type="dxa"/>
                  <w:shd w:val="clear" w:color="auto" w:fill="auto"/>
                  <w:vAlign w:val="center"/>
                </w:tcPr>
                <w:p w14:paraId="081490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7AE6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49881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105 </w:t>
                  </w:r>
                </w:p>
              </w:tc>
              <w:tc>
                <w:tcPr>
                  <w:tcW w:w="525" w:type="dxa"/>
                  <w:shd w:val="clear" w:color="auto" w:fill="auto"/>
                  <w:vAlign w:val="center"/>
                </w:tcPr>
                <w:p w14:paraId="0DF0A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0F1BF8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495" w:type="dxa"/>
                  <w:shd w:val="clear" w:color="auto" w:fill="auto"/>
                  <w:vAlign w:val="center"/>
                </w:tcPr>
                <w:p w14:paraId="5FB91C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407A6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57100E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7AF8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C68E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44E87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00C2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390E31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8B3BD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F330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66A13A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B28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26F1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142</w:t>
                  </w:r>
                </w:p>
              </w:tc>
              <w:tc>
                <w:tcPr>
                  <w:tcW w:w="1485" w:type="dxa"/>
                  <w:shd w:val="clear" w:color="auto" w:fill="auto"/>
                  <w:vAlign w:val="center"/>
                </w:tcPr>
                <w:p w14:paraId="29ABF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0EA14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8191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7866D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624D05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375" w:type="dxa"/>
                  <w:shd w:val="clear" w:color="auto" w:fill="auto"/>
                  <w:vAlign w:val="center"/>
                </w:tcPr>
                <w:p w14:paraId="3D035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8ADC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7026B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103 </w:t>
                  </w:r>
                </w:p>
              </w:tc>
              <w:tc>
                <w:tcPr>
                  <w:tcW w:w="525" w:type="dxa"/>
                  <w:shd w:val="clear" w:color="auto" w:fill="auto"/>
                  <w:vAlign w:val="center"/>
                </w:tcPr>
                <w:p w14:paraId="7D934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15CB70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67 </w:t>
                  </w:r>
                </w:p>
              </w:tc>
              <w:tc>
                <w:tcPr>
                  <w:tcW w:w="495" w:type="dxa"/>
                  <w:shd w:val="clear" w:color="auto" w:fill="auto"/>
                  <w:vAlign w:val="center"/>
                </w:tcPr>
                <w:p w14:paraId="7DADDC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005B5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B7003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90E58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29B36A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B551F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0C06F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3B3083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775D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C5C9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02DB1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4E0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6AD4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143</w:t>
                  </w:r>
                </w:p>
              </w:tc>
              <w:tc>
                <w:tcPr>
                  <w:tcW w:w="1485" w:type="dxa"/>
                  <w:shd w:val="clear" w:color="auto" w:fill="auto"/>
                  <w:vAlign w:val="center"/>
                </w:tcPr>
                <w:p w14:paraId="3EC03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0EBBB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B2956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388C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11A05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375" w:type="dxa"/>
                  <w:shd w:val="clear" w:color="auto" w:fill="auto"/>
                  <w:vAlign w:val="center"/>
                </w:tcPr>
                <w:p w14:paraId="5C2C7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E3563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05A07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101 </w:t>
                  </w:r>
                </w:p>
              </w:tc>
              <w:tc>
                <w:tcPr>
                  <w:tcW w:w="525" w:type="dxa"/>
                  <w:shd w:val="clear" w:color="auto" w:fill="auto"/>
                  <w:vAlign w:val="center"/>
                </w:tcPr>
                <w:p w14:paraId="5A66D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0DF0B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69 </w:t>
                  </w:r>
                </w:p>
              </w:tc>
              <w:tc>
                <w:tcPr>
                  <w:tcW w:w="495" w:type="dxa"/>
                  <w:shd w:val="clear" w:color="auto" w:fill="auto"/>
                  <w:vAlign w:val="center"/>
                </w:tcPr>
                <w:p w14:paraId="02766F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5172A5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22762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57E27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64AB0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F24C2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E3B2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0F1DF5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B33D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0988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C5C84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FD6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F6E2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144</w:t>
                  </w:r>
                </w:p>
              </w:tc>
              <w:tc>
                <w:tcPr>
                  <w:tcW w:w="1485" w:type="dxa"/>
                  <w:shd w:val="clear" w:color="auto" w:fill="auto"/>
                  <w:vAlign w:val="center"/>
                </w:tcPr>
                <w:p w14:paraId="01A52C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7DD17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608D9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0A22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33A9C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375" w:type="dxa"/>
                  <w:shd w:val="clear" w:color="auto" w:fill="auto"/>
                  <w:vAlign w:val="center"/>
                </w:tcPr>
                <w:p w14:paraId="73A5F3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1A40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2F06C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99 </w:t>
                  </w:r>
                </w:p>
              </w:tc>
              <w:tc>
                <w:tcPr>
                  <w:tcW w:w="525" w:type="dxa"/>
                  <w:shd w:val="clear" w:color="auto" w:fill="auto"/>
                  <w:vAlign w:val="center"/>
                </w:tcPr>
                <w:p w14:paraId="4AF9E4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542048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71 </w:t>
                  </w:r>
                </w:p>
              </w:tc>
              <w:tc>
                <w:tcPr>
                  <w:tcW w:w="495" w:type="dxa"/>
                  <w:shd w:val="clear" w:color="auto" w:fill="auto"/>
                  <w:vAlign w:val="center"/>
                </w:tcPr>
                <w:p w14:paraId="4FD9EF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116D0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EB2C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5E4A6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0E91E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13CE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760EC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06A38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78B3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22A0D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2D84E0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7FB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ADFC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145</w:t>
                  </w:r>
                </w:p>
              </w:tc>
              <w:tc>
                <w:tcPr>
                  <w:tcW w:w="1485" w:type="dxa"/>
                  <w:shd w:val="clear" w:color="auto" w:fill="auto"/>
                  <w:vAlign w:val="center"/>
                </w:tcPr>
                <w:p w14:paraId="6CF71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0D3AD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A2A2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FDC0C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40F6B8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375" w:type="dxa"/>
                  <w:shd w:val="clear" w:color="auto" w:fill="auto"/>
                  <w:vAlign w:val="center"/>
                </w:tcPr>
                <w:p w14:paraId="17173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786A9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02215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97 </w:t>
                  </w:r>
                </w:p>
              </w:tc>
              <w:tc>
                <w:tcPr>
                  <w:tcW w:w="525" w:type="dxa"/>
                  <w:shd w:val="clear" w:color="auto" w:fill="auto"/>
                  <w:vAlign w:val="center"/>
                </w:tcPr>
                <w:p w14:paraId="2519DB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4E7F78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 </w:t>
                  </w:r>
                </w:p>
              </w:tc>
              <w:tc>
                <w:tcPr>
                  <w:tcW w:w="495" w:type="dxa"/>
                  <w:shd w:val="clear" w:color="auto" w:fill="auto"/>
                  <w:vAlign w:val="center"/>
                </w:tcPr>
                <w:p w14:paraId="096F90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6AF910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574BD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A24E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362BD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C739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CBC16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6CA705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C9873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E72D2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0373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E19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9F986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146</w:t>
                  </w:r>
                </w:p>
              </w:tc>
              <w:tc>
                <w:tcPr>
                  <w:tcW w:w="1485" w:type="dxa"/>
                  <w:shd w:val="clear" w:color="auto" w:fill="auto"/>
                  <w:vAlign w:val="center"/>
                </w:tcPr>
                <w:p w14:paraId="45F005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732B1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30D51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CDBC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630" w:type="dxa"/>
                  <w:shd w:val="clear" w:color="auto" w:fill="auto"/>
                  <w:vAlign w:val="center"/>
                </w:tcPr>
                <w:p w14:paraId="3959CC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5" w:type="dxa"/>
                  <w:shd w:val="clear" w:color="auto" w:fill="auto"/>
                  <w:vAlign w:val="center"/>
                </w:tcPr>
                <w:p w14:paraId="4B19E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954F8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 </w:t>
                  </w:r>
                </w:p>
              </w:tc>
              <w:tc>
                <w:tcPr>
                  <w:tcW w:w="570" w:type="dxa"/>
                  <w:shd w:val="clear" w:color="auto" w:fill="auto"/>
                  <w:vAlign w:val="center"/>
                </w:tcPr>
                <w:p w14:paraId="561FF4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 </w:t>
                  </w:r>
                </w:p>
              </w:tc>
              <w:tc>
                <w:tcPr>
                  <w:tcW w:w="525" w:type="dxa"/>
                  <w:shd w:val="clear" w:color="auto" w:fill="auto"/>
                  <w:vAlign w:val="center"/>
                </w:tcPr>
                <w:p w14:paraId="54027C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85" w:type="dxa"/>
                  <w:shd w:val="clear" w:color="auto" w:fill="auto"/>
                  <w:vAlign w:val="center"/>
                </w:tcPr>
                <w:p w14:paraId="305632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75 </w:t>
                  </w:r>
                </w:p>
              </w:tc>
              <w:tc>
                <w:tcPr>
                  <w:tcW w:w="495" w:type="dxa"/>
                  <w:shd w:val="clear" w:color="auto" w:fill="auto"/>
                  <w:vAlign w:val="center"/>
                </w:tcPr>
                <w:p w14:paraId="618E7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80" w:type="dxa"/>
                  <w:shd w:val="clear" w:color="auto" w:fill="auto"/>
                  <w:vAlign w:val="center"/>
                </w:tcPr>
                <w:p w14:paraId="4A829E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8D0B2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4359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A074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4958C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5ED11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80" w:type="dxa"/>
                  <w:shd w:val="clear" w:color="auto" w:fill="auto"/>
                  <w:vAlign w:val="center"/>
                </w:tcPr>
                <w:p w14:paraId="325AD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810C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27825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EA00A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427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36B95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147</w:t>
                  </w:r>
                </w:p>
              </w:tc>
              <w:tc>
                <w:tcPr>
                  <w:tcW w:w="1485" w:type="dxa"/>
                  <w:shd w:val="clear" w:color="auto" w:fill="auto"/>
                  <w:vAlign w:val="center"/>
                </w:tcPr>
                <w:p w14:paraId="77532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C107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C951A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50B1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05BE1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375" w:type="dxa"/>
                  <w:shd w:val="clear" w:color="auto" w:fill="auto"/>
                  <w:vAlign w:val="center"/>
                </w:tcPr>
                <w:p w14:paraId="4F889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2FDD2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1DD38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131 </w:t>
                  </w:r>
                </w:p>
              </w:tc>
              <w:tc>
                <w:tcPr>
                  <w:tcW w:w="525" w:type="dxa"/>
                  <w:shd w:val="clear" w:color="auto" w:fill="auto"/>
                  <w:vAlign w:val="center"/>
                </w:tcPr>
                <w:p w14:paraId="5B57F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190B8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39 </w:t>
                  </w:r>
                </w:p>
              </w:tc>
              <w:tc>
                <w:tcPr>
                  <w:tcW w:w="495" w:type="dxa"/>
                  <w:shd w:val="clear" w:color="auto" w:fill="auto"/>
                  <w:vAlign w:val="center"/>
                </w:tcPr>
                <w:p w14:paraId="784403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52670A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207A7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52A85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06B19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F55E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EC75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20750B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F340E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C564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14603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D22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F911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148</w:t>
                  </w:r>
                </w:p>
              </w:tc>
              <w:tc>
                <w:tcPr>
                  <w:tcW w:w="1485" w:type="dxa"/>
                  <w:shd w:val="clear" w:color="auto" w:fill="auto"/>
                  <w:vAlign w:val="center"/>
                </w:tcPr>
                <w:p w14:paraId="464767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01777C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6FE1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237C8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2F71D3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p>
              </w:tc>
              <w:tc>
                <w:tcPr>
                  <w:tcW w:w="375" w:type="dxa"/>
                  <w:shd w:val="clear" w:color="auto" w:fill="auto"/>
                  <w:vAlign w:val="center"/>
                </w:tcPr>
                <w:p w14:paraId="0DF9C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70BF8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4BDAF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129 </w:t>
                  </w:r>
                </w:p>
              </w:tc>
              <w:tc>
                <w:tcPr>
                  <w:tcW w:w="525" w:type="dxa"/>
                  <w:shd w:val="clear" w:color="auto" w:fill="auto"/>
                  <w:vAlign w:val="center"/>
                </w:tcPr>
                <w:p w14:paraId="1A2FC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5C0707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41 </w:t>
                  </w:r>
                </w:p>
              </w:tc>
              <w:tc>
                <w:tcPr>
                  <w:tcW w:w="495" w:type="dxa"/>
                  <w:shd w:val="clear" w:color="auto" w:fill="auto"/>
                  <w:vAlign w:val="center"/>
                </w:tcPr>
                <w:p w14:paraId="271F33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0B628F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1FDE5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943D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5E614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7824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1D7A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118B3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D466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F0628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05B93D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5ED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B2D6A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149</w:t>
                  </w:r>
                </w:p>
              </w:tc>
              <w:tc>
                <w:tcPr>
                  <w:tcW w:w="1485" w:type="dxa"/>
                  <w:shd w:val="clear" w:color="auto" w:fill="auto"/>
                  <w:vAlign w:val="center"/>
                </w:tcPr>
                <w:p w14:paraId="252FA5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52</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5355F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EE3B4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841D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0AC97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375" w:type="dxa"/>
                  <w:shd w:val="clear" w:color="auto" w:fill="auto"/>
                  <w:vAlign w:val="center"/>
                </w:tcPr>
                <w:p w14:paraId="47090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8D30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24A68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127 </w:t>
                  </w:r>
                </w:p>
              </w:tc>
              <w:tc>
                <w:tcPr>
                  <w:tcW w:w="525" w:type="dxa"/>
                  <w:shd w:val="clear" w:color="auto" w:fill="auto"/>
                  <w:vAlign w:val="center"/>
                </w:tcPr>
                <w:p w14:paraId="4C86E8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70CBB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95" w:type="dxa"/>
                  <w:shd w:val="clear" w:color="auto" w:fill="auto"/>
                  <w:vAlign w:val="center"/>
                </w:tcPr>
                <w:p w14:paraId="4C617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18EC2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5AA46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2CB9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74D0C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902E8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A641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755BD1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72EB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A6C65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21B17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69F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DC523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150</w:t>
                  </w:r>
                </w:p>
              </w:tc>
              <w:tc>
                <w:tcPr>
                  <w:tcW w:w="1485" w:type="dxa"/>
                  <w:shd w:val="clear" w:color="auto" w:fill="auto"/>
                  <w:vAlign w:val="center"/>
                </w:tcPr>
                <w:p w14:paraId="7B98EB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53</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C5CC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2BB72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E7E7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132E6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75" w:type="dxa"/>
                  <w:shd w:val="clear" w:color="auto" w:fill="auto"/>
                  <w:vAlign w:val="center"/>
                </w:tcPr>
                <w:p w14:paraId="0B0FD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1D0DE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77B804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125 </w:t>
                  </w:r>
                </w:p>
              </w:tc>
              <w:tc>
                <w:tcPr>
                  <w:tcW w:w="525" w:type="dxa"/>
                  <w:shd w:val="clear" w:color="auto" w:fill="auto"/>
                  <w:vAlign w:val="center"/>
                </w:tcPr>
                <w:p w14:paraId="30BBB3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022940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495" w:type="dxa"/>
                  <w:shd w:val="clear" w:color="auto" w:fill="auto"/>
                  <w:vAlign w:val="center"/>
                </w:tcPr>
                <w:p w14:paraId="5DA94A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4D4CB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FBDE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53F2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5884D0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EA99D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EE37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012315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D332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54A1B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63E5D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B5C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92AE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151</w:t>
                  </w:r>
                </w:p>
              </w:tc>
              <w:tc>
                <w:tcPr>
                  <w:tcW w:w="1485" w:type="dxa"/>
                  <w:shd w:val="clear" w:color="auto" w:fill="auto"/>
                  <w:vAlign w:val="center"/>
                </w:tcPr>
                <w:p w14:paraId="3A3E4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4F9D3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42844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6D32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3975B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375" w:type="dxa"/>
                  <w:shd w:val="clear" w:color="auto" w:fill="auto"/>
                  <w:vAlign w:val="center"/>
                </w:tcPr>
                <w:p w14:paraId="091B0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77625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43BB1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123 </w:t>
                  </w:r>
                </w:p>
              </w:tc>
              <w:tc>
                <w:tcPr>
                  <w:tcW w:w="525" w:type="dxa"/>
                  <w:shd w:val="clear" w:color="auto" w:fill="auto"/>
                  <w:vAlign w:val="center"/>
                </w:tcPr>
                <w:p w14:paraId="4CBD0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298AE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 </w:t>
                  </w:r>
                </w:p>
              </w:tc>
              <w:tc>
                <w:tcPr>
                  <w:tcW w:w="495" w:type="dxa"/>
                  <w:shd w:val="clear" w:color="auto" w:fill="auto"/>
                  <w:vAlign w:val="center"/>
                </w:tcPr>
                <w:p w14:paraId="1B472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52B36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DEEB4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582AB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3FDDA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6EA53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5B4F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415F8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1368F5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4CB8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35D07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41B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5D5E9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152</w:t>
                  </w:r>
                </w:p>
              </w:tc>
              <w:tc>
                <w:tcPr>
                  <w:tcW w:w="1485" w:type="dxa"/>
                  <w:shd w:val="clear" w:color="auto" w:fill="auto"/>
                  <w:vAlign w:val="center"/>
                </w:tcPr>
                <w:p w14:paraId="7BE7E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2A195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5228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48E9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4CF45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w:t>
                  </w:r>
                </w:p>
              </w:tc>
              <w:tc>
                <w:tcPr>
                  <w:tcW w:w="375" w:type="dxa"/>
                  <w:shd w:val="clear" w:color="auto" w:fill="auto"/>
                  <w:vAlign w:val="center"/>
                </w:tcPr>
                <w:p w14:paraId="0114BE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B926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584924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25" w:type="dxa"/>
                  <w:shd w:val="clear" w:color="auto" w:fill="auto"/>
                  <w:vAlign w:val="center"/>
                </w:tcPr>
                <w:p w14:paraId="4876E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05C83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95" w:type="dxa"/>
                  <w:shd w:val="clear" w:color="auto" w:fill="auto"/>
                  <w:vAlign w:val="center"/>
                </w:tcPr>
                <w:p w14:paraId="460511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2B61DD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5DDC1D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717ED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6C1B7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571B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F198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765AE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517CA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11910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290F4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076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742FC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153</w:t>
                  </w:r>
                </w:p>
              </w:tc>
              <w:tc>
                <w:tcPr>
                  <w:tcW w:w="1485" w:type="dxa"/>
                  <w:shd w:val="clear" w:color="auto" w:fill="auto"/>
                  <w:vAlign w:val="center"/>
                </w:tcPr>
                <w:p w14:paraId="0D2410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9CCF3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944CF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7D90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76B700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375" w:type="dxa"/>
                  <w:shd w:val="clear" w:color="auto" w:fill="auto"/>
                  <w:vAlign w:val="center"/>
                </w:tcPr>
                <w:p w14:paraId="2C7F2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807CC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63515D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119 </w:t>
                  </w:r>
                </w:p>
              </w:tc>
              <w:tc>
                <w:tcPr>
                  <w:tcW w:w="525" w:type="dxa"/>
                  <w:shd w:val="clear" w:color="auto" w:fill="auto"/>
                  <w:vAlign w:val="center"/>
                </w:tcPr>
                <w:p w14:paraId="05D8AB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3B353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95" w:type="dxa"/>
                  <w:shd w:val="clear" w:color="auto" w:fill="auto"/>
                  <w:vAlign w:val="center"/>
                </w:tcPr>
                <w:p w14:paraId="67994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55726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9409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AB62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2F1C8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607A9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57D47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553C5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57759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9B2C9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492E1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15E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CE74B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154</w:t>
                  </w:r>
                </w:p>
              </w:tc>
              <w:tc>
                <w:tcPr>
                  <w:tcW w:w="1485" w:type="dxa"/>
                  <w:shd w:val="clear" w:color="auto" w:fill="auto"/>
                  <w:vAlign w:val="center"/>
                </w:tcPr>
                <w:p w14:paraId="0E235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436E7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603C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81B6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578BB3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375" w:type="dxa"/>
                  <w:shd w:val="clear" w:color="auto" w:fill="auto"/>
                  <w:vAlign w:val="center"/>
                </w:tcPr>
                <w:p w14:paraId="6DAFE9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986D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12323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25" w:type="dxa"/>
                  <w:shd w:val="clear" w:color="auto" w:fill="auto"/>
                  <w:vAlign w:val="center"/>
                </w:tcPr>
                <w:p w14:paraId="7EAF3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784BF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95" w:type="dxa"/>
                  <w:shd w:val="clear" w:color="auto" w:fill="auto"/>
                  <w:vAlign w:val="center"/>
                </w:tcPr>
                <w:p w14:paraId="31559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14DDA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B1A8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F7453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7E98BC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45516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2FB0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2A0242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EAB1D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189D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6A6B8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ED4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35781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155</w:t>
                  </w:r>
                </w:p>
              </w:tc>
              <w:tc>
                <w:tcPr>
                  <w:tcW w:w="1485" w:type="dxa"/>
                  <w:shd w:val="clear" w:color="auto" w:fill="auto"/>
                  <w:vAlign w:val="center"/>
                </w:tcPr>
                <w:p w14:paraId="3536F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5D1C4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8B46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D387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47891A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2F0824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3492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33D79D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25" w:type="dxa"/>
                  <w:shd w:val="clear" w:color="auto" w:fill="auto"/>
                  <w:vAlign w:val="center"/>
                </w:tcPr>
                <w:p w14:paraId="2D27C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5B05ED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95" w:type="dxa"/>
                  <w:shd w:val="clear" w:color="auto" w:fill="auto"/>
                  <w:vAlign w:val="center"/>
                </w:tcPr>
                <w:p w14:paraId="57B0E1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10073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0474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E1B7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2C9AFC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176E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99DF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03AEA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57EE5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857A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48267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62E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8632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156</w:t>
                  </w:r>
                </w:p>
              </w:tc>
              <w:tc>
                <w:tcPr>
                  <w:tcW w:w="1485" w:type="dxa"/>
                  <w:shd w:val="clear" w:color="auto" w:fill="auto"/>
                  <w:vAlign w:val="center"/>
                </w:tcPr>
                <w:p w14:paraId="1F8166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5E91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06612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5D35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7BFE9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375" w:type="dxa"/>
                  <w:shd w:val="clear" w:color="auto" w:fill="auto"/>
                  <w:vAlign w:val="center"/>
                </w:tcPr>
                <w:p w14:paraId="5F76C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798B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1FA30E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25" w:type="dxa"/>
                  <w:shd w:val="clear" w:color="auto" w:fill="auto"/>
                  <w:vAlign w:val="center"/>
                </w:tcPr>
                <w:p w14:paraId="39C752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30672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95" w:type="dxa"/>
                  <w:shd w:val="clear" w:color="auto" w:fill="auto"/>
                  <w:vAlign w:val="center"/>
                </w:tcPr>
                <w:p w14:paraId="7C25D9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742FE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A05DF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56117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2E4FC0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E357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03555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11A77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1542CF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BB3EF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2D6E7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A8A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B140D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157</w:t>
                  </w:r>
                </w:p>
              </w:tc>
              <w:tc>
                <w:tcPr>
                  <w:tcW w:w="1485" w:type="dxa"/>
                  <w:shd w:val="clear" w:color="auto" w:fill="auto"/>
                  <w:vAlign w:val="center"/>
                </w:tcPr>
                <w:p w14:paraId="2B77EA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C4F0D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6CF64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4ED4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76E63F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375" w:type="dxa"/>
                  <w:shd w:val="clear" w:color="auto" w:fill="auto"/>
                  <w:vAlign w:val="center"/>
                </w:tcPr>
                <w:p w14:paraId="761DFB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218B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5FA990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25" w:type="dxa"/>
                  <w:shd w:val="clear" w:color="auto" w:fill="auto"/>
                  <w:vAlign w:val="center"/>
                </w:tcPr>
                <w:p w14:paraId="22B7E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56FAD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95" w:type="dxa"/>
                  <w:shd w:val="clear" w:color="auto" w:fill="auto"/>
                  <w:vAlign w:val="center"/>
                </w:tcPr>
                <w:p w14:paraId="54D837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69CB78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EA2E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63503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7AD7B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AD1E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FEEFB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613DA0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28F00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E375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1DB5E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DC1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67B26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158</w:t>
                  </w:r>
                </w:p>
              </w:tc>
              <w:tc>
                <w:tcPr>
                  <w:tcW w:w="1485" w:type="dxa"/>
                  <w:shd w:val="clear" w:color="auto" w:fill="auto"/>
                  <w:vAlign w:val="center"/>
                </w:tcPr>
                <w:p w14:paraId="1D199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61</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9BB0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04AF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F2666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40B28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375" w:type="dxa"/>
                  <w:shd w:val="clear" w:color="auto" w:fill="auto"/>
                  <w:vAlign w:val="center"/>
                </w:tcPr>
                <w:p w14:paraId="298D3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368F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1255A7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25" w:type="dxa"/>
                  <w:shd w:val="clear" w:color="auto" w:fill="auto"/>
                  <w:vAlign w:val="center"/>
                </w:tcPr>
                <w:p w14:paraId="09BA10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366A8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61 </w:t>
                  </w:r>
                </w:p>
              </w:tc>
              <w:tc>
                <w:tcPr>
                  <w:tcW w:w="495" w:type="dxa"/>
                  <w:shd w:val="clear" w:color="auto" w:fill="auto"/>
                  <w:vAlign w:val="center"/>
                </w:tcPr>
                <w:p w14:paraId="72980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5A5CDC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6F2E6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E46E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25ED9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FE43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E3BD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11B0E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562F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5161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E21C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ECC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4D24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159</w:t>
                  </w:r>
                </w:p>
              </w:tc>
              <w:tc>
                <w:tcPr>
                  <w:tcW w:w="1485" w:type="dxa"/>
                  <w:shd w:val="clear" w:color="auto" w:fill="auto"/>
                  <w:vAlign w:val="center"/>
                </w:tcPr>
                <w:p w14:paraId="526F83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2E0D2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40E3D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C82E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3AE8F6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375" w:type="dxa"/>
                  <w:shd w:val="clear" w:color="auto" w:fill="auto"/>
                  <w:vAlign w:val="center"/>
                </w:tcPr>
                <w:p w14:paraId="4ED03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7CF5D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2A738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107 </w:t>
                  </w:r>
                </w:p>
              </w:tc>
              <w:tc>
                <w:tcPr>
                  <w:tcW w:w="525" w:type="dxa"/>
                  <w:shd w:val="clear" w:color="auto" w:fill="auto"/>
                  <w:vAlign w:val="center"/>
                </w:tcPr>
                <w:p w14:paraId="2F20E3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0B070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95" w:type="dxa"/>
                  <w:shd w:val="clear" w:color="auto" w:fill="auto"/>
                  <w:vAlign w:val="center"/>
                </w:tcPr>
                <w:p w14:paraId="6BF6A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1DF76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DC59C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A74B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4B2F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7501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B0D6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6BCF4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89A87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4129F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6AF2A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AB3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21A56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160</w:t>
                  </w:r>
                </w:p>
              </w:tc>
              <w:tc>
                <w:tcPr>
                  <w:tcW w:w="1485" w:type="dxa"/>
                  <w:shd w:val="clear" w:color="auto" w:fill="auto"/>
                  <w:vAlign w:val="center"/>
                </w:tcPr>
                <w:p w14:paraId="613EE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63</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35B03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0CAC49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61CB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1BB2F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5" w:type="dxa"/>
                  <w:shd w:val="clear" w:color="auto" w:fill="auto"/>
                  <w:vAlign w:val="center"/>
                </w:tcPr>
                <w:p w14:paraId="37942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3A1B8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5CB79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105 </w:t>
                  </w:r>
                </w:p>
              </w:tc>
              <w:tc>
                <w:tcPr>
                  <w:tcW w:w="525" w:type="dxa"/>
                  <w:shd w:val="clear" w:color="auto" w:fill="auto"/>
                  <w:vAlign w:val="center"/>
                </w:tcPr>
                <w:p w14:paraId="1BDE9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280FB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495" w:type="dxa"/>
                  <w:shd w:val="clear" w:color="auto" w:fill="auto"/>
                  <w:vAlign w:val="center"/>
                </w:tcPr>
                <w:p w14:paraId="288540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1C2855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0EEFF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4F2AC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7E7309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B13A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17185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3886F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22148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26AE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25C832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5CD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A115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161</w:t>
                  </w:r>
                </w:p>
              </w:tc>
              <w:tc>
                <w:tcPr>
                  <w:tcW w:w="1485" w:type="dxa"/>
                  <w:shd w:val="clear" w:color="auto" w:fill="auto"/>
                  <w:vAlign w:val="center"/>
                </w:tcPr>
                <w:p w14:paraId="5E9CB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64</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59FB6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F321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87582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26CD75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375" w:type="dxa"/>
                  <w:shd w:val="clear" w:color="auto" w:fill="auto"/>
                  <w:vAlign w:val="center"/>
                </w:tcPr>
                <w:p w14:paraId="413441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DF01B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65AC0B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103 </w:t>
                  </w:r>
                </w:p>
              </w:tc>
              <w:tc>
                <w:tcPr>
                  <w:tcW w:w="525" w:type="dxa"/>
                  <w:shd w:val="clear" w:color="auto" w:fill="auto"/>
                  <w:vAlign w:val="center"/>
                </w:tcPr>
                <w:p w14:paraId="1DEBB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0E7CBF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67 </w:t>
                  </w:r>
                </w:p>
              </w:tc>
              <w:tc>
                <w:tcPr>
                  <w:tcW w:w="495" w:type="dxa"/>
                  <w:shd w:val="clear" w:color="auto" w:fill="auto"/>
                  <w:vAlign w:val="center"/>
                </w:tcPr>
                <w:p w14:paraId="08935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2272E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25DC1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85C72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2B967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363FF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94EA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5079F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6687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D9B2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8631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F0F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4B7D0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162</w:t>
                  </w:r>
                </w:p>
              </w:tc>
              <w:tc>
                <w:tcPr>
                  <w:tcW w:w="1485" w:type="dxa"/>
                  <w:shd w:val="clear" w:color="auto" w:fill="auto"/>
                  <w:vAlign w:val="center"/>
                </w:tcPr>
                <w:p w14:paraId="33C61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75633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665B7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DFE1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2417D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375" w:type="dxa"/>
                  <w:shd w:val="clear" w:color="auto" w:fill="auto"/>
                  <w:vAlign w:val="center"/>
                </w:tcPr>
                <w:p w14:paraId="3D169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38C4C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5FF85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101 </w:t>
                  </w:r>
                </w:p>
              </w:tc>
              <w:tc>
                <w:tcPr>
                  <w:tcW w:w="525" w:type="dxa"/>
                  <w:shd w:val="clear" w:color="auto" w:fill="auto"/>
                  <w:vAlign w:val="center"/>
                </w:tcPr>
                <w:p w14:paraId="30BC5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48F921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69 </w:t>
                  </w:r>
                </w:p>
              </w:tc>
              <w:tc>
                <w:tcPr>
                  <w:tcW w:w="495" w:type="dxa"/>
                  <w:shd w:val="clear" w:color="auto" w:fill="auto"/>
                  <w:vAlign w:val="center"/>
                </w:tcPr>
                <w:p w14:paraId="524E3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0A094C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6DC2C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690C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6A49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7295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5CA4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13C774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D81C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6DE9D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67FEAC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899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AB515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163</w:t>
                  </w:r>
                </w:p>
              </w:tc>
              <w:tc>
                <w:tcPr>
                  <w:tcW w:w="1485" w:type="dxa"/>
                  <w:shd w:val="clear" w:color="auto" w:fill="auto"/>
                  <w:vAlign w:val="center"/>
                </w:tcPr>
                <w:p w14:paraId="0D33D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66</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03921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0A6EB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4CC5D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5110A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375" w:type="dxa"/>
                  <w:shd w:val="clear" w:color="auto" w:fill="auto"/>
                  <w:vAlign w:val="center"/>
                </w:tcPr>
                <w:p w14:paraId="754F32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C5AF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34A651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99 </w:t>
                  </w:r>
                </w:p>
              </w:tc>
              <w:tc>
                <w:tcPr>
                  <w:tcW w:w="525" w:type="dxa"/>
                  <w:shd w:val="clear" w:color="auto" w:fill="auto"/>
                  <w:vAlign w:val="center"/>
                </w:tcPr>
                <w:p w14:paraId="412A7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63733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71 </w:t>
                  </w:r>
                </w:p>
              </w:tc>
              <w:tc>
                <w:tcPr>
                  <w:tcW w:w="495" w:type="dxa"/>
                  <w:shd w:val="clear" w:color="auto" w:fill="auto"/>
                  <w:vAlign w:val="center"/>
                </w:tcPr>
                <w:p w14:paraId="44B2F2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5E43E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2581E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B0EA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92871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C199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DEC6B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720928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623F8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40B7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FF1D0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A5E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96DE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164</w:t>
                  </w:r>
                </w:p>
              </w:tc>
              <w:tc>
                <w:tcPr>
                  <w:tcW w:w="1485" w:type="dxa"/>
                  <w:shd w:val="clear" w:color="auto" w:fill="auto"/>
                  <w:vAlign w:val="center"/>
                </w:tcPr>
                <w:p w14:paraId="33A5D7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67</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2A1F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A8977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FFDF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057523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375" w:type="dxa"/>
                  <w:shd w:val="clear" w:color="auto" w:fill="auto"/>
                  <w:vAlign w:val="center"/>
                </w:tcPr>
                <w:p w14:paraId="25A44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46E93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5EE8A3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97 </w:t>
                  </w:r>
                </w:p>
              </w:tc>
              <w:tc>
                <w:tcPr>
                  <w:tcW w:w="525" w:type="dxa"/>
                  <w:shd w:val="clear" w:color="auto" w:fill="auto"/>
                  <w:vAlign w:val="center"/>
                </w:tcPr>
                <w:p w14:paraId="2A4B7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6645D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 </w:t>
                  </w:r>
                </w:p>
              </w:tc>
              <w:tc>
                <w:tcPr>
                  <w:tcW w:w="495" w:type="dxa"/>
                  <w:shd w:val="clear" w:color="auto" w:fill="auto"/>
                  <w:vAlign w:val="center"/>
                </w:tcPr>
                <w:p w14:paraId="468419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405B7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58048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24A9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73BC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2B29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13359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666E3B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07BEA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2B822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B2F8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C6C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63DE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165</w:t>
                  </w:r>
                </w:p>
              </w:tc>
              <w:tc>
                <w:tcPr>
                  <w:tcW w:w="1485" w:type="dxa"/>
                  <w:shd w:val="clear" w:color="auto" w:fill="auto"/>
                  <w:vAlign w:val="center"/>
                </w:tcPr>
                <w:p w14:paraId="7CE96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68</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0DF05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DDF93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620A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51967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5" w:type="dxa"/>
                  <w:shd w:val="clear" w:color="auto" w:fill="auto"/>
                  <w:vAlign w:val="center"/>
                </w:tcPr>
                <w:p w14:paraId="1DA27E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9812B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469D39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 </w:t>
                  </w:r>
                </w:p>
              </w:tc>
              <w:tc>
                <w:tcPr>
                  <w:tcW w:w="525" w:type="dxa"/>
                  <w:shd w:val="clear" w:color="auto" w:fill="auto"/>
                  <w:vAlign w:val="center"/>
                </w:tcPr>
                <w:p w14:paraId="2A7200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7AB278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75 </w:t>
                  </w:r>
                </w:p>
              </w:tc>
              <w:tc>
                <w:tcPr>
                  <w:tcW w:w="495" w:type="dxa"/>
                  <w:shd w:val="clear" w:color="auto" w:fill="auto"/>
                  <w:vAlign w:val="center"/>
                </w:tcPr>
                <w:p w14:paraId="605490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26CF83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E96AF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3B034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0F672B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12099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D8AD0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124B4D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FC7F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9AE9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34C6C9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5EA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7420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166</w:t>
                  </w:r>
                </w:p>
              </w:tc>
              <w:tc>
                <w:tcPr>
                  <w:tcW w:w="1485" w:type="dxa"/>
                  <w:shd w:val="clear" w:color="auto" w:fill="auto"/>
                  <w:vAlign w:val="center"/>
                </w:tcPr>
                <w:p w14:paraId="31EF3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D6D6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9BB0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AAEC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795616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375" w:type="dxa"/>
                  <w:shd w:val="clear" w:color="auto" w:fill="auto"/>
                  <w:vAlign w:val="center"/>
                </w:tcPr>
                <w:p w14:paraId="1AC27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50712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3EA9BA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25" w:type="dxa"/>
                  <w:shd w:val="clear" w:color="auto" w:fill="auto"/>
                  <w:vAlign w:val="center"/>
                </w:tcPr>
                <w:p w14:paraId="5FA22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71399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77 </w:t>
                  </w:r>
                </w:p>
              </w:tc>
              <w:tc>
                <w:tcPr>
                  <w:tcW w:w="495" w:type="dxa"/>
                  <w:shd w:val="clear" w:color="auto" w:fill="auto"/>
                  <w:vAlign w:val="center"/>
                </w:tcPr>
                <w:p w14:paraId="3ED86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6C947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6189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50F5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EE2C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9490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F5AE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7FE18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48B5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445C6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203F0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B3F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D68E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167</w:t>
                  </w:r>
                </w:p>
              </w:tc>
              <w:tc>
                <w:tcPr>
                  <w:tcW w:w="1485" w:type="dxa"/>
                  <w:shd w:val="clear" w:color="auto" w:fill="auto"/>
                  <w:vAlign w:val="center"/>
                </w:tcPr>
                <w:p w14:paraId="10563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25859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6277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B2639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630" w:type="dxa"/>
                  <w:shd w:val="clear" w:color="auto" w:fill="auto"/>
                  <w:vAlign w:val="center"/>
                </w:tcPr>
                <w:p w14:paraId="65234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375" w:type="dxa"/>
                  <w:shd w:val="clear" w:color="auto" w:fill="auto"/>
                  <w:vAlign w:val="center"/>
                </w:tcPr>
                <w:p w14:paraId="58A7AF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AB95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70" w:type="dxa"/>
                  <w:shd w:val="clear" w:color="auto" w:fill="auto"/>
                  <w:vAlign w:val="center"/>
                </w:tcPr>
                <w:p w14:paraId="706DF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91 </w:t>
                  </w:r>
                </w:p>
              </w:tc>
              <w:tc>
                <w:tcPr>
                  <w:tcW w:w="525" w:type="dxa"/>
                  <w:shd w:val="clear" w:color="auto" w:fill="auto"/>
                  <w:vAlign w:val="center"/>
                </w:tcPr>
                <w:p w14:paraId="74D37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85" w:type="dxa"/>
                  <w:shd w:val="clear" w:color="auto" w:fill="auto"/>
                  <w:vAlign w:val="center"/>
                </w:tcPr>
                <w:p w14:paraId="58751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79 </w:t>
                  </w:r>
                </w:p>
              </w:tc>
              <w:tc>
                <w:tcPr>
                  <w:tcW w:w="495" w:type="dxa"/>
                  <w:shd w:val="clear" w:color="auto" w:fill="auto"/>
                  <w:vAlign w:val="center"/>
                </w:tcPr>
                <w:p w14:paraId="087E4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80" w:type="dxa"/>
                  <w:shd w:val="clear" w:color="auto" w:fill="auto"/>
                  <w:vAlign w:val="center"/>
                </w:tcPr>
                <w:p w14:paraId="396CC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C0B24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CDE58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C3DF1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C5C74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8655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80" w:type="dxa"/>
                  <w:shd w:val="clear" w:color="auto" w:fill="auto"/>
                  <w:vAlign w:val="center"/>
                </w:tcPr>
                <w:p w14:paraId="22ADF1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8838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6BD4B9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11EB0B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DC0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002E65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168</w:t>
                  </w:r>
                </w:p>
              </w:tc>
              <w:tc>
                <w:tcPr>
                  <w:tcW w:w="1485" w:type="dxa"/>
                  <w:shd w:val="clear" w:color="auto" w:fill="auto"/>
                  <w:vAlign w:val="center"/>
                </w:tcPr>
                <w:p w14:paraId="77394E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373A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660E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98C5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4E8E7E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375" w:type="dxa"/>
                  <w:shd w:val="clear" w:color="auto" w:fill="auto"/>
                  <w:vAlign w:val="center"/>
                </w:tcPr>
                <w:p w14:paraId="51778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2CCA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10DB9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131 </w:t>
                  </w:r>
                </w:p>
              </w:tc>
              <w:tc>
                <w:tcPr>
                  <w:tcW w:w="525" w:type="dxa"/>
                  <w:shd w:val="clear" w:color="auto" w:fill="auto"/>
                  <w:vAlign w:val="center"/>
                </w:tcPr>
                <w:p w14:paraId="6B91A0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29026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39 </w:t>
                  </w:r>
                </w:p>
              </w:tc>
              <w:tc>
                <w:tcPr>
                  <w:tcW w:w="495" w:type="dxa"/>
                  <w:shd w:val="clear" w:color="auto" w:fill="auto"/>
                  <w:vAlign w:val="center"/>
                </w:tcPr>
                <w:p w14:paraId="1A1DA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2A299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5C639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1454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583FA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C8070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FAF3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2D65DD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1C14B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6A5F2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4AB30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5BB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8B54A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169</w:t>
                  </w:r>
                </w:p>
              </w:tc>
              <w:tc>
                <w:tcPr>
                  <w:tcW w:w="1485" w:type="dxa"/>
                  <w:shd w:val="clear" w:color="auto" w:fill="auto"/>
                  <w:vAlign w:val="center"/>
                </w:tcPr>
                <w:p w14:paraId="2F3D7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21A3B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6CE62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9CD14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208C9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p>
              </w:tc>
              <w:tc>
                <w:tcPr>
                  <w:tcW w:w="375" w:type="dxa"/>
                  <w:shd w:val="clear" w:color="auto" w:fill="auto"/>
                  <w:vAlign w:val="center"/>
                </w:tcPr>
                <w:p w14:paraId="559874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BB2E9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3B4260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129 </w:t>
                  </w:r>
                </w:p>
              </w:tc>
              <w:tc>
                <w:tcPr>
                  <w:tcW w:w="525" w:type="dxa"/>
                  <w:shd w:val="clear" w:color="auto" w:fill="auto"/>
                  <w:vAlign w:val="center"/>
                </w:tcPr>
                <w:p w14:paraId="2C9CC6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49334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41 </w:t>
                  </w:r>
                </w:p>
              </w:tc>
              <w:tc>
                <w:tcPr>
                  <w:tcW w:w="495" w:type="dxa"/>
                  <w:shd w:val="clear" w:color="auto" w:fill="auto"/>
                  <w:vAlign w:val="center"/>
                </w:tcPr>
                <w:p w14:paraId="16910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277F7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6080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26CA66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5D34E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4764B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4538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15910C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29CF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C406A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1B56E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256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FF146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170</w:t>
                  </w:r>
                </w:p>
              </w:tc>
              <w:tc>
                <w:tcPr>
                  <w:tcW w:w="1485" w:type="dxa"/>
                  <w:shd w:val="clear" w:color="auto" w:fill="auto"/>
                  <w:vAlign w:val="center"/>
                </w:tcPr>
                <w:p w14:paraId="38D14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C644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62FBE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95156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6A09EB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375" w:type="dxa"/>
                  <w:shd w:val="clear" w:color="auto" w:fill="auto"/>
                  <w:vAlign w:val="center"/>
                </w:tcPr>
                <w:p w14:paraId="07CE5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07D3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26FB1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127 </w:t>
                  </w:r>
                </w:p>
              </w:tc>
              <w:tc>
                <w:tcPr>
                  <w:tcW w:w="525" w:type="dxa"/>
                  <w:shd w:val="clear" w:color="auto" w:fill="auto"/>
                  <w:vAlign w:val="center"/>
                </w:tcPr>
                <w:p w14:paraId="40D9A6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30983C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95" w:type="dxa"/>
                  <w:shd w:val="clear" w:color="auto" w:fill="auto"/>
                  <w:vAlign w:val="center"/>
                </w:tcPr>
                <w:p w14:paraId="660AFB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1E01E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475C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5148A2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3E6A2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B2C3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AD83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622C55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56D6B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6757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7C9131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5C9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4AF9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171</w:t>
                  </w:r>
                </w:p>
              </w:tc>
              <w:tc>
                <w:tcPr>
                  <w:tcW w:w="1485" w:type="dxa"/>
                  <w:shd w:val="clear" w:color="auto" w:fill="auto"/>
                  <w:vAlign w:val="center"/>
                </w:tcPr>
                <w:p w14:paraId="56E2B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74</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28D80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F86B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A5226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5DDCF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75" w:type="dxa"/>
                  <w:shd w:val="clear" w:color="auto" w:fill="auto"/>
                  <w:vAlign w:val="center"/>
                </w:tcPr>
                <w:p w14:paraId="4DB35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04EB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787D1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125 </w:t>
                  </w:r>
                </w:p>
              </w:tc>
              <w:tc>
                <w:tcPr>
                  <w:tcW w:w="525" w:type="dxa"/>
                  <w:shd w:val="clear" w:color="auto" w:fill="auto"/>
                  <w:vAlign w:val="center"/>
                </w:tcPr>
                <w:p w14:paraId="484CB5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1EE54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495" w:type="dxa"/>
                  <w:shd w:val="clear" w:color="auto" w:fill="auto"/>
                  <w:vAlign w:val="center"/>
                </w:tcPr>
                <w:p w14:paraId="2AF95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22BA7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8848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ED4B2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69B1A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386E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F5E0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062F45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55A56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3A64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14740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31B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3903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172</w:t>
                  </w:r>
                </w:p>
              </w:tc>
              <w:tc>
                <w:tcPr>
                  <w:tcW w:w="1485" w:type="dxa"/>
                  <w:shd w:val="clear" w:color="auto" w:fill="auto"/>
                  <w:vAlign w:val="center"/>
                </w:tcPr>
                <w:p w14:paraId="2973F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25BB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0A0CD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86BE8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664B00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375" w:type="dxa"/>
                  <w:shd w:val="clear" w:color="auto" w:fill="auto"/>
                  <w:vAlign w:val="center"/>
                </w:tcPr>
                <w:p w14:paraId="0F6B3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5F63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41507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123 </w:t>
                  </w:r>
                </w:p>
              </w:tc>
              <w:tc>
                <w:tcPr>
                  <w:tcW w:w="525" w:type="dxa"/>
                  <w:shd w:val="clear" w:color="auto" w:fill="auto"/>
                  <w:vAlign w:val="center"/>
                </w:tcPr>
                <w:p w14:paraId="33B87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52BCEC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 </w:t>
                  </w:r>
                </w:p>
              </w:tc>
              <w:tc>
                <w:tcPr>
                  <w:tcW w:w="495" w:type="dxa"/>
                  <w:shd w:val="clear" w:color="auto" w:fill="auto"/>
                  <w:vAlign w:val="center"/>
                </w:tcPr>
                <w:p w14:paraId="025DA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4D4E8C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9EB24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0496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84" w:type="dxa"/>
                  <w:vMerge w:val="continue"/>
                  <w:shd w:val="clear" w:color="auto" w:fill="auto"/>
                  <w:vAlign w:val="center"/>
                </w:tcPr>
                <w:p w14:paraId="48850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4247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9E50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22B87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F7F6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545A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681" w:type="dxa"/>
                  <w:shd w:val="clear" w:color="auto" w:fill="auto"/>
                  <w:vAlign w:val="center"/>
                </w:tcPr>
                <w:p w14:paraId="3DBF1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E91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FB64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173</w:t>
                  </w:r>
                </w:p>
              </w:tc>
              <w:tc>
                <w:tcPr>
                  <w:tcW w:w="1485" w:type="dxa"/>
                  <w:shd w:val="clear" w:color="auto" w:fill="auto"/>
                  <w:vAlign w:val="center"/>
                </w:tcPr>
                <w:p w14:paraId="684C5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76</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6F9C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BE96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3CCB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704DD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w:t>
                  </w:r>
                </w:p>
              </w:tc>
              <w:tc>
                <w:tcPr>
                  <w:tcW w:w="375" w:type="dxa"/>
                  <w:shd w:val="clear" w:color="auto" w:fill="auto"/>
                  <w:vAlign w:val="center"/>
                </w:tcPr>
                <w:p w14:paraId="0719E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A0AA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521BF8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25" w:type="dxa"/>
                  <w:shd w:val="clear" w:color="auto" w:fill="auto"/>
                  <w:vAlign w:val="center"/>
                </w:tcPr>
                <w:p w14:paraId="36097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210F2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95" w:type="dxa"/>
                  <w:shd w:val="clear" w:color="auto" w:fill="auto"/>
                  <w:vAlign w:val="center"/>
                </w:tcPr>
                <w:p w14:paraId="33A2EF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2AFCE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E321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92B88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1A9058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CA5F7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E57D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7F507B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18E060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320A0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3931B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BC2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B701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174</w:t>
                  </w:r>
                </w:p>
              </w:tc>
              <w:tc>
                <w:tcPr>
                  <w:tcW w:w="1485" w:type="dxa"/>
                  <w:shd w:val="clear" w:color="auto" w:fill="auto"/>
                  <w:vAlign w:val="center"/>
                </w:tcPr>
                <w:p w14:paraId="370FF6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77</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53BDB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2DCA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4A270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6E440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375" w:type="dxa"/>
                  <w:shd w:val="clear" w:color="auto" w:fill="auto"/>
                  <w:vAlign w:val="center"/>
                </w:tcPr>
                <w:p w14:paraId="70C7C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E2AC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50B60F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119 </w:t>
                  </w:r>
                </w:p>
              </w:tc>
              <w:tc>
                <w:tcPr>
                  <w:tcW w:w="525" w:type="dxa"/>
                  <w:shd w:val="clear" w:color="auto" w:fill="auto"/>
                  <w:vAlign w:val="center"/>
                </w:tcPr>
                <w:p w14:paraId="3A336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108157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95" w:type="dxa"/>
                  <w:shd w:val="clear" w:color="auto" w:fill="auto"/>
                  <w:vAlign w:val="center"/>
                </w:tcPr>
                <w:p w14:paraId="0E4B33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43002E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C9FB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5D30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64BE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B174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F11A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25A405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06E8F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6C55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D066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F3D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CE684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175</w:t>
                  </w:r>
                </w:p>
              </w:tc>
              <w:tc>
                <w:tcPr>
                  <w:tcW w:w="1485" w:type="dxa"/>
                  <w:shd w:val="clear" w:color="auto" w:fill="auto"/>
                  <w:vAlign w:val="center"/>
                </w:tcPr>
                <w:p w14:paraId="405D5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78</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88E0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682C7F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7DB1A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00776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375" w:type="dxa"/>
                  <w:shd w:val="clear" w:color="auto" w:fill="auto"/>
                  <w:vAlign w:val="center"/>
                </w:tcPr>
                <w:p w14:paraId="202E40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01BA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45FA1A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117 </w:t>
                  </w:r>
                </w:p>
              </w:tc>
              <w:tc>
                <w:tcPr>
                  <w:tcW w:w="525" w:type="dxa"/>
                  <w:shd w:val="clear" w:color="auto" w:fill="auto"/>
                  <w:vAlign w:val="center"/>
                </w:tcPr>
                <w:p w14:paraId="6ECA1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267DF4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95" w:type="dxa"/>
                  <w:shd w:val="clear" w:color="auto" w:fill="auto"/>
                  <w:vAlign w:val="center"/>
                </w:tcPr>
                <w:p w14:paraId="644EBA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134B04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1FAAD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3AB1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56BE0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E7C6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8C9A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2E062D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07CF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694BF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1D0E9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B72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16744D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176</w:t>
                  </w:r>
                </w:p>
              </w:tc>
              <w:tc>
                <w:tcPr>
                  <w:tcW w:w="1485" w:type="dxa"/>
                  <w:shd w:val="clear" w:color="auto" w:fill="auto"/>
                  <w:vAlign w:val="center"/>
                </w:tcPr>
                <w:p w14:paraId="1B3A5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79</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3B27E7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B64E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7B7B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78C2B3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31465E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B1DC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37749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25" w:type="dxa"/>
                  <w:shd w:val="clear" w:color="auto" w:fill="auto"/>
                  <w:vAlign w:val="center"/>
                </w:tcPr>
                <w:p w14:paraId="68C616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6F38D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95" w:type="dxa"/>
                  <w:shd w:val="clear" w:color="auto" w:fill="auto"/>
                  <w:vAlign w:val="center"/>
                </w:tcPr>
                <w:p w14:paraId="6B4F0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07322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17FA5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D5D6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6998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0AE9A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EA46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697B1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6D14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117C0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1069F0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59A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30045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177</w:t>
                  </w:r>
                </w:p>
              </w:tc>
              <w:tc>
                <w:tcPr>
                  <w:tcW w:w="1485" w:type="dxa"/>
                  <w:shd w:val="clear" w:color="auto" w:fill="auto"/>
                  <w:vAlign w:val="center"/>
                </w:tcPr>
                <w:p w14:paraId="054529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304819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5F9D3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091B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5320A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375" w:type="dxa"/>
                  <w:shd w:val="clear" w:color="auto" w:fill="auto"/>
                  <w:vAlign w:val="center"/>
                </w:tcPr>
                <w:p w14:paraId="74D0B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855F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6C8479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 </w:t>
                  </w:r>
                </w:p>
              </w:tc>
              <w:tc>
                <w:tcPr>
                  <w:tcW w:w="525" w:type="dxa"/>
                  <w:shd w:val="clear" w:color="auto" w:fill="auto"/>
                  <w:vAlign w:val="center"/>
                </w:tcPr>
                <w:p w14:paraId="3B424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5DE17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 </w:t>
                  </w:r>
                </w:p>
              </w:tc>
              <w:tc>
                <w:tcPr>
                  <w:tcW w:w="495" w:type="dxa"/>
                  <w:shd w:val="clear" w:color="auto" w:fill="auto"/>
                  <w:vAlign w:val="center"/>
                </w:tcPr>
                <w:p w14:paraId="44F42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52E6B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3E78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2436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74D0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C5EC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E0FA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4332B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5BEE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E5C3A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2F98C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7A6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F19DE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178</w:t>
                  </w:r>
                </w:p>
              </w:tc>
              <w:tc>
                <w:tcPr>
                  <w:tcW w:w="1485" w:type="dxa"/>
                  <w:shd w:val="clear" w:color="auto" w:fill="auto"/>
                  <w:vAlign w:val="center"/>
                </w:tcPr>
                <w:p w14:paraId="734C2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81</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5BBD78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0345A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1D486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0FB5B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375" w:type="dxa"/>
                  <w:shd w:val="clear" w:color="auto" w:fill="auto"/>
                  <w:vAlign w:val="center"/>
                </w:tcPr>
                <w:p w14:paraId="10DC1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7CF2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78F8F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25" w:type="dxa"/>
                  <w:shd w:val="clear" w:color="auto" w:fill="auto"/>
                  <w:vAlign w:val="center"/>
                </w:tcPr>
                <w:p w14:paraId="43F97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420B6D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95" w:type="dxa"/>
                  <w:shd w:val="clear" w:color="auto" w:fill="auto"/>
                  <w:vAlign w:val="center"/>
                </w:tcPr>
                <w:p w14:paraId="7076D5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041264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26ED9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4C9BB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696AC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0403C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8CFC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19B5D6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DCA8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509B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18E9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AC7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07463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179</w:t>
                  </w:r>
                </w:p>
              </w:tc>
              <w:tc>
                <w:tcPr>
                  <w:tcW w:w="1485" w:type="dxa"/>
                  <w:shd w:val="clear" w:color="auto" w:fill="auto"/>
                  <w:vAlign w:val="center"/>
                </w:tcPr>
                <w:p w14:paraId="36E0B0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ECC9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7625E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2995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34C3B6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375" w:type="dxa"/>
                  <w:shd w:val="clear" w:color="auto" w:fill="auto"/>
                  <w:vAlign w:val="center"/>
                </w:tcPr>
                <w:p w14:paraId="18A22D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AF1B4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0E628C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25" w:type="dxa"/>
                  <w:shd w:val="clear" w:color="auto" w:fill="auto"/>
                  <w:vAlign w:val="center"/>
                </w:tcPr>
                <w:p w14:paraId="6D5CA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59D9E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61 </w:t>
                  </w:r>
                </w:p>
              </w:tc>
              <w:tc>
                <w:tcPr>
                  <w:tcW w:w="495" w:type="dxa"/>
                  <w:shd w:val="clear" w:color="auto" w:fill="auto"/>
                  <w:vAlign w:val="center"/>
                </w:tcPr>
                <w:p w14:paraId="3BE11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075371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4303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E8083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796E44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4F066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6FC19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08D87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8694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93CDB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66108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E63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F9984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180</w:t>
                  </w:r>
                </w:p>
              </w:tc>
              <w:tc>
                <w:tcPr>
                  <w:tcW w:w="1485" w:type="dxa"/>
                  <w:shd w:val="clear" w:color="auto" w:fill="auto"/>
                  <w:vAlign w:val="center"/>
                </w:tcPr>
                <w:p w14:paraId="208FD0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83</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CDDED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8F8E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C747A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7CFAB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375" w:type="dxa"/>
                  <w:shd w:val="clear" w:color="auto" w:fill="auto"/>
                  <w:vAlign w:val="center"/>
                </w:tcPr>
                <w:p w14:paraId="564200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4006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48521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107 </w:t>
                  </w:r>
                </w:p>
              </w:tc>
              <w:tc>
                <w:tcPr>
                  <w:tcW w:w="525" w:type="dxa"/>
                  <w:shd w:val="clear" w:color="auto" w:fill="auto"/>
                  <w:vAlign w:val="center"/>
                </w:tcPr>
                <w:p w14:paraId="60108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18EFF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95" w:type="dxa"/>
                  <w:shd w:val="clear" w:color="auto" w:fill="auto"/>
                  <w:vAlign w:val="center"/>
                </w:tcPr>
                <w:p w14:paraId="0CE122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0882E9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4A6D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D7FFF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7C25E8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5AC0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011B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55CC3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FA68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1245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6FB5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598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E36CE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181</w:t>
                  </w:r>
                </w:p>
              </w:tc>
              <w:tc>
                <w:tcPr>
                  <w:tcW w:w="1485" w:type="dxa"/>
                  <w:shd w:val="clear" w:color="auto" w:fill="auto"/>
                  <w:vAlign w:val="center"/>
                </w:tcPr>
                <w:p w14:paraId="4C73E3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84</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DFCC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04AEE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0696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3F646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5" w:type="dxa"/>
                  <w:shd w:val="clear" w:color="auto" w:fill="auto"/>
                  <w:vAlign w:val="center"/>
                </w:tcPr>
                <w:p w14:paraId="65FC3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D8FF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553CD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105 </w:t>
                  </w:r>
                </w:p>
              </w:tc>
              <w:tc>
                <w:tcPr>
                  <w:tcW w:w="525" w:type="dxa"/>
                  <w:shd w:val="clear" w:color="auto" w:fill="auto"/>
                  <w:vAlign w:val="center"/>
                </w:tcPr>
                <w:p w14:paraId="50574E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0452CC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495" w:type="dxa"/>
                  <w:shd w:val="clear" w:color="auto" w:fill="auto"/>
                  <w:vAlign w:val="center"/>
                </w:tcPr>
                <w:p w14:paraId="1CE4C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6761E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339AC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E667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58CD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C4FAF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A969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264D5B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FFAF8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A1EAB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4D3E57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616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96EA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182</w:t>
                  </w:r>
                </w:p>
              </w:tc>
              <w:tc>
                <w:tcPr>
                  <w:tcW w:w="1485" w:type="dxa"/>
                  <w:shd w:val="clear" w:color="auto" w:fill="auto"/>
                  <w:vAlign w:val="center"/>
                </w:tcPr>
                <w:p w14:paraId="61380C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B417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36CB6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8316B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07FDC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375" w:type="dxa"/>
                  <w:shd w:val="clear" w:color="auto" w:fill="auto"/>
                  <w:vAlign w:val="center"/>
                </w:tcPr>
                <w:p w14:paraId="75112B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91EF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4CB94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103 </w:t>
                  </w:r>
                </w:p>
              </w:tc>
              <w:tc>
                <w:tcPr>
                  <w:tcW w:w="525" w:type="dxa"/>
                  <w:shd w:val="clear" w:color="auto" w:fill="auto"/>
                  <w:vAlign w:val="center"/>
                </w:tcPr>
                <w:p w14:paraId="0C92C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345FE0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67 </w:t>
                  </w:r>
                </w:p>
              </w:tc>
              <w:tc>
                <w:tcPr>
                  <w:tcW w:w="495" w:type="dxa"/>
                  <w:shd w:val="clear" w:color="auto" w:fill="auto"/>
                  <w:vAlign w:val="center"/>
                </w:tcPr>
                <w:p w14:paraId="577E6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328DC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DAA99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0043F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1064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B434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D898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7D05C8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5D5EB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69F0F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C377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0C2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D77A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183</w:t>
                  </w:r>
                </w:p>
              </w:tc>
              <w:tc>
                <w:tcPr>
                  <w:tcW w:w="1485" w:type="dxa"/>
                  <w:shd w:val="clear" w:color="auto" w:fill="auto"/>
                  <w:vAlign w:val="center"/>
                </w:tcPr>
                <w:p w14:paraId="2723E1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86</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60B651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8676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FBFD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0996D1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375" w:type="dxa"/>
                  <w:shd w:val="clear" w:color="auto" w:fill="auto"/>
                  <w:vAlign w:val="center"/>
                </w:tcPr>
                <w:p w14:paraId="7698A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589D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0484F0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101 </w:t>
                  </w:r>
                </w:p>
              </w:tc>
              <w:tc>
                <w:tcPr>
                  <w:tcW w:w="525" w:type="dxa"/>
                  <w:shd w:val="clear" w:color="auto" w:fill="auto"/>
                  <w:vAlign w:val="center"/>
                </w:tcPr>
                <w:p w14:paraId="04BC1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525C7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69 </w:t>
                  </w:r>
                </w:p>
              </w:tc>
              <w:tc>
                <w:tcPr>
                  <w:tcW w:w="495" w:type="dxa"/>
                  <w:shd w:val="clear" w:color="auto" w:fill="auto"/>
                  <w:vAlign w:val="center"/>
                </w:tcPr>
                <w:p w14:paraId="3C932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52E3F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FADE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84743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0EC68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EF5D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13364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32C45D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39F7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14B77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1CF91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87E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4425EF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184</w:t>
                  </w:r>
                </w:p>
              </w:tc>
              <w:tc>
                <w:tcPr>
                  <w:tcW w:w="1485" w:type="dxa"/>
                  <w:shd w:val="clear" w:color="auto" w:fill="auto"/>
                  <w:vAlign w:val="center"/>
                </w:tcPr>
                <w:p w14:paraId="54FB0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87</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6EB9E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11D6B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80FF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4B678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375" w:type="dxa"/>
                  <w:shd w:val="clear" w:color="auto" w:fill="auto"/>
                  <w:vAlign w:val="center"/>
                </w:tcPr>
                <w:p w14:paraId="5E9F86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37EE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4BDBD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99 </w:t>
                  </w:r>
                </w:p>
              </w:tc>
              <w:tc>
                <w:tcPr>
                  <w:tcW w:w="525" w:type="dxa"/>
                  <w:shd w:val="clear" w:color="auto" w:fill="auto"/>
                  <w:vAlign w:val="center"/>
                </w:tcPr>
                <w:p w14:paraId="53B13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4E4A4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71 </w:t>
                  </w:r>
                </w:p>
              </w:tc>
              <w:tc>
                <w:tcPr>
                  <w:tcW w:w="495" w:type="dxa"/>
                  <w:shd w:val="clear" w:color="auto" w:fill="auto"/>
                  <w:vAlign w:val="center"/>
                </w:tcPr>
                <w:p w14:paraId="7DA96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6174E8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07CF36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570FC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2C98BF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13EA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2B9DB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463CB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6B571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C822A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225EF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4AD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BCB4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185</w:t>
                  </w:r>
                </w:p>
              </w:tc>
              <w:tc>
                <w:tcPr>
                  <w:tcW w:w="1485" w:type="dxa"/>
                  <w:shd w:val="clear" w:color="auto" w:fill="auto"/>
                  <w:vAlign w:val="center"/>
                </w:tcPr>
                <w:p w14:paraId="3B47CD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6C718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0BD47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5EFA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46F38D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375" w:type="dxa"/>
                  <w:shd w:val="clear" w:color="auto" w:fill="auto"/>
                  <w:vAlign w:val="center"/>
                </w:tcPr>
                <w:p w14:paraId="205301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AA7D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75C615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97 </w:t>
                  </w:r>
                </w:p>
              </w:tc>
              <w:tc>
                <w:tcPr>
                  <w:tcW w:w="525" w:type="dxa"/>
                  <w:shd w:val="clear" w:color="auto" w:fill="auto"/>
                  <w:vAlign w:val="center"/>
                </w:tcPr>
                <w:p w14:paraId="44804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23FF2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 </w:t>
                  </w:r>
                </w:p>
              </w:tc>
              <w:tc>
                <w:tcPr>
                  <w:tcW w:w="495" w:type="dxa"/>
                  <w:shd w:val="clear" w:color="auto" w:fill="auto"/>
                  <w:vAlign w:val="center"/>
                </w:tcPr>
                <w:p w14:paraId="23B366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64FF3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8DF8D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0B6A3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5A0B1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331DE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947B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43480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2D2B7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75BF25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31A3E4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338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81123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186</w:t>
                  </w:r>
                </w:p>
              </w:tc>
              <w:tc>
                <w:tcPr>
                  <w:tcW w:w="1485" w:type="dxa"/>
                  <w:shd w:val="clear" w:color="auto" w:fill="auto"/>
                  <w:vAlign w:val="center"/>
                </w:tcPr>
                <w:p w14:paraId="518F7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89</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A8E8F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7A98ED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573A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646EF2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5" w:type="dxa"/>
                  <w:shd w:val="clear" w:color="auto" w:fill="auto"/>
                  <w:vAlign w:val="center"/>
                </w:tcPr>
                <w:p w14:paraId="6AA4EA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2121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78D03B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 </w:t>
                  </w:r>
                </w:p>
              </w:tc>
              <w:tc>
                <w:tcPr>
                  <w:tcW w:w="525" w:type="dxa"/>
                  <w:shd w:val="clear" w:color="auto" w:fill="auto"/>
                  <w:vAlign w:val="center"/>
                </w:tcPr>
                <w:p w14:paraId="4DD87C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359AC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75 </w:t>
                  </w:r>
                </w:p>
              </w:tc>
              <w:tc>
                <w:tcPr>
                  <w:tcW w:w="495" w:type="dxa"/>
                  <w:shd w:val="clear" w:color="auto" w:fill="auto"/>
                  <w:vAlign w:val="center"/>
                </w:tcPr>
                <w:p w14:paraId="6D501C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0015B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0EAD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CCE6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27DCF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CFEF3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CA109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58892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012D18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68E0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7067BF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110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7BDF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187</w:t>
                  </w:r>
                </w:p>
              </w:tc>
              <w:tc>
                <w:tcPr>
                  <w:tcW w:w="1485" w:type="dxa"/>
                  <w:shd w:val="clear" w:color="auto" w:fill="auto"/>
                  <w:vAlign w:val="center"/>
                </w:tcPr>
                <w:p w14:paraId="06F44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1A29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2C2289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DDD04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581A2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375" w:type="dxa"/>
                  <w:shd w:val="clear" w:color="auto" w:fill="auto"/>
                  <w:vAlign w:val="center"/>
                </w:tcPr>
                <w:p w14:paraId="766B4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1A8C0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22D7A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 </w:t>
                  </w:r>
                </w:p>
              </w:tc>
              <w:tc>
                <w:tcPr>
                  <w:tcW w:w="525" w:type="dxa"/>
                  <w:shd w:val="clear" w:color="auto" w:fill="auto"/>
                  <w:vAlign w:val="center"/>
                </w:tcPr>
                <w:p w14:paraId="03E56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7424A3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77 </w:t>
                  </w:r>
                </w:p>
              </w:tc>
              <w:tc>
                <w:tcPr>
                  <w:tcW w:w="495" w:type="dxa"/>
                  <w:shd w:val="clear" w:color="auto" w:fill="auto"/>
                  <w:vAlign w:val="center"/>
                </w:tcPr>
                <w:p w14:paraId="1AD03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4A2B1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C89E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1ECF2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0FD28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152F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4EB6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2103F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1724E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445505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CD90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76D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41F22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188</w:t>
                  </w:r>
                </w:p>
              </w:tc>
              <w:tc>
                <w:tcPr>
                  <w:tcW w:w="1485" w:type="dxa"/>
                  <w:shd w:val="clear" w:color="auto" w:fill="auto"/>
                  <w:vAlign w:val="center"/>
                </w:tcPr>
                <w:p w14:paraId="1F373C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91</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101CB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E1DC7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1CA91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0AB86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375" w:type="dxa"/>
                  <w:shd w:val="clear" w:color="auto" w:fill="auto"/>
                  <w:vAlign w:val="center"/>
                </w:tcPr>
                <w:p w14:paraId="03516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44EF3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05D28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91 </w:t>
                  </w:r>
                </w:p>
              </w:tc>
              <w:tc>
                <w:tcPr>
                  <w:tcW w:w="525" w:type="dxa"/>
                  <w:shd w:val="clear" w:color="auto" w:fill="auto"/>
                  <w:vAlign w:val="center"/>
                </w:tcPr>
                <w:p w14:paraId="62F5C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4ECD4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79 </w:t>
                  </w:r>
                </w:p>
              </w:tc>
              <w:tc>
                <w:tcPr>
                  <w:tcW w:w="495" w:type="dxa"/>
                  <w:shd w:val="clear" w:color="auto" w:fill="auto"/>
                  <w:vAlign w:val="center"/>
                </w:tcPr>
                <w:p w14:paraId="724AA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172CFE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4B1011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8094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1FEF36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9BC57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8B06E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0489D7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4D6D9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2C17B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653B2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63B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97E9D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189</w:t>
                  </w:r>
                </w:p>
              </w:tc>
              <w:tc>
                <w:tcPr>
                  <w:tcW w:w="1485" w:type="dxa"/>
                  <w:shd w:val="clear" w:color="auto" w:fill="auto"/>
                  <w:vAlign w:val="center"/>
                </w:tcPr>
                <w:p w14:paraId="1B7325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92</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3C02B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9E517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E339E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70BAB6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375" w:type="dxa"/>
                  <w:shd w:val="clear" w:color="auto" w:fill="auto"/>
                  <w:vAlign w:val="center"/>
                </w:tcPr>
                <w:p w14:paraId="55290F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CC05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512DD9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89 </w:t>
                  </w:r>
                </w:p>
              </w:tc>
              <w:tc>
                <w:tcPr>
                  <w:tcW w:w="525" w:type="dxa"/>
                  <w:shd w:val="clear" w:color="auto" w:fill="auto"/>
                  <w:vAlign w:val="center"/>
                </w:tcPr>
                <w:p w14:paraId="251809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11F59C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 </w:t>
                  </w:r>
                </w:p>
              </w:tc>
              <w:tc>
                <w:tcPr>
                  <w:tcW w:w="495" w:type="dxa"/>
                  <w:shd w:val="clear" w:color="auto" w:fill="auto"/>
                  <w:vAlign w:val="center"/>
                </w:tcPr>
                <w:p w14:paraId="3F67C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1C397A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31FF2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6AB193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15EDB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991D1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3BD3F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5CAEE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7A0E46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FA6B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0BD42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F7F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673D1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190</w:t>
                  </w:r>
                </w:p>
              </w:tc>
              <w:tc>
                <w:tcPr>
                  <w:tcW w:w="1485" w:type="dxa"/>
                  <w:shd w:val="clear" w:color="auto" w:fill="auto"/>
                  <w:vAlign w:val="center"/>
                </w:tcPr>
                <w:p w14:paraId="34EEB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93</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4AB0EC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61E5C9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4F26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40D727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375" w:type="dxa"/>
                  <w:shd w:val="clear" w:color="auto" w:fill="auto"/>
                  <w:vAlign w:val="center"/>
                </w:tcPr>
                <w:p w14:paraId="3B03EE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936A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18639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525" w:type="dxa"/>
                  <w:shd w:val="clear" w:color="auto" w:fill="auto"/>
                  <w:vAlign w:val="center"/>
                </w:tcPr>
                <w:p w14:paraId="1081AC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73CEBE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83 </w:t>
                  </w:r>
                </w:p>
              </w:tc>
              <w:tc>
                <w:tcPr>
                  <w:tcW w:w="495" w:type="dxa"/>
                  <w:shd w:val="clear" w:color="auto" w:fill="auto"/>
                  <w:vAlign w:val="center"/>
                </w:tcPr>
                <w:p w14:paraId="1265A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5177E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71B2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46D25F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475BF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00EE6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012B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26826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11B1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3A4D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5683C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703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C2674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191</w:t>
                  </w:r>
                </w:p>
              </w:tc>
              <w:tc>
                <w:tcPr>
                  <w:tcW w:w="1485" w:type="dxa"/>
                  <w:shd w:val="clear" w:color="auto" w:fill="auto"/>
                  <w:vAlign w:val="center"/>
                </w:tcPr>
                <w:p w14:paraId="3CFA4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94</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7607F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497459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ADF2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5402AA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375" w:type="dxa"/>
                  <w:shd w:val="clear" w:color="auto" w:fill="auto"/>
                  <w:vAlign w:val="center"/>
                </w:tcPr>
                <w:p w14:paraId="03ACC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A1955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02FCF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85 </w:t>
                  </w:r>
                </w:p>
              </w:tc>
              <w:tc>
                <w:tcPr>
                  <w:tcW w:w="525" w:type="dxa"/>
                  <w:shd w:val="clear" w:color="auto" w:fill="auto"/>
                  <w:vAlign w:val="center"/>
                </w:tcPr>
                <w:p w14:paraId="79EFD4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70C631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85 </w:t>
                  </w:r>
                </w:p>
              </w:tc>
              <w:tc>
                <w:tcPr>
                  <w:tcW w:w="495" w:type="dxa"/>
                  <w:shd w:val="clear" w:color="auto" w:fill="auto"/>
                  <w:vAlign w:val="center"/>
                </w:tcPr>
                <w:p w14:paraId="5CCB3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15E7A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78120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72716B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9FB3D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5E7E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6464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5619D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16D07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3163D8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47F1D3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6C8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3794C6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192</w:t>
                  </w:r>
                </w:p>
              </w:tc>
              <w:tc>
                <w:tcPr>
                  <w:tcW w:w="1485" w:type="dxa"/>
                  <w:shd w:val="clear" w:color="auto" w:fill="auto"/>
                  <w:vAlign w:val="center"/>
                </w:tcPr>
                <w:p w14:paraId="1506F4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w:t>
                  </w:r>
                  <w:r>
                    <w:rPr>
                      <w:rFonts w:hint="eastAsia" w:ascii="宋体" w:hAnsi="宋体" w:eastAsia="宋体" w:cs="宋体"/>
                      <w:i w:val="0"/>
                      <w:iCs w:val="0"/>
                      <w:color w:val="auto"/>
                      <w:kern w:val="0"/>
                      <w:sz w:val="18"/>
                      <w:szCs w:val="18"/>
                      <w:u w:val="none"/>
                      <w:lang w:val="en-US" w:eastAsia="zh-CN" w:bidi="ar"/>
                    </w:rPr>
                    <w:t>#滑块钻铣机</w:t>
                  </w:r>
                </w:p>
              </w:tc>
              <w:tc>
                <w:tcPr>
                  <w:tcW w:w="765" w:type="dxa"/>
                  <w:shd w:val="clear" w:color="auto" w:fill="auto"/>
                  <w:vAlign w:val="center"/>
                </w:tcPr>
                <w:p w14:paraId="2E011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9D21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7D3A2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630" w:type="dxa"/>
                  <w:shd w:val="clear" w:color="auto" w:fill="auto"/>
                  <w:vAlign w:val="center"/>
                </w:tcPr>
                <w:p w14:paraId="23B7F9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375" w:type="dxa"/>
                  <w:shd w:val="clear" w:color="auto" w:fill="auto"/>
                  <w:vAlign w:val="center"/>
                </w:tcPr>
                <w:p w14:paraId="6B510A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7A1BE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70" w:type="dxa"/>
                  <w:shd w:val="clear" w:color="auto" w:fill="auto"/>
                  <w:vAlign w:val="center"/>
                </w:tcPr>
                <w:p w14:paraId="10C52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83 </w:t>
                  </w:r>
                </w:p>
              </w:tc>
              <w:tc>
                <w:tcPr>
                  <w:tcW w:w="525" w:type="dxa"/>
                  <w:shd w:val="clear" w:color="auto" w:fill="auto"/>
                  <w:vAlign w:val="center"/>
                </w:tcPr>
                <w:p w14:paraId="1817D8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585" w:type="dxa"/>
                  <w:shd w:val="clear" w:color="auto" w:fill="auto"/>
                  <w:vAlign w:val="center"/>
                </w:tcPr>
                <w:p w14:paraId="6D723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495" w:type="dxa"/>
                  <w:shd w:val="clear" w:color="auto" w:fill="auto"/>
                  <w:vAlign w:val="center"/>
                </w:tcPr>
                <w:p w14:paraId="51A14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14783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35" w:type="dxa"/>
                  <w:shd w:val="clear" w:color="auto" w:fill="auto"/>
                  <w:vAlign w:val="center"/>
                </w:tcPr>
                <w:p w14:paraId="6D04C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3FCDB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0226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3912B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310B0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1AEAC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05" w:type="dxa"/>
                  <w:shd w:val="clear" w:color="auto" w:fill="auto"/>
                  <w:vAlign w:val="center"/>
                </w:tcPr>
                <w:p w14:paraId="39378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51A6A3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2CC84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514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4C4DF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193</w:t>
                  </w:r>
                </w:p>
              </w:tc>
              <w:tc>
                <w:tcPr>
                  <w:tcW w:w="1485" w:type="dxa"/>
                  <w:shd w:val="clear" w:color="auto" w:fill="auto"/>
                  <w:vAlign w:val="center"/>
                </w:tcPr>
                <w:p w14:paraId="2EBF1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1#球道磨</w:t>
                  </w:r>
                </w:p>
              </w:tc>
              <w:tc>
                <w:tcPr>
                  <w:tcW w:w="765" w:type="dxa"/>
                  <w:shd w:val="clear" w:color="auto" w:fill="auto"/>
                  <w:vAlign w:val="center"/>
                </w:tcPr>
                <w:p w14:paraId="1BB683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EE5A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3F6A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35.5</w:t>
                  </w:r>
                </w:p>
              </w:tc>
              <w:tc>
                <w:tcPr>
                  <w:tcW w:w="630" w:type="dxa"/>
                  <w:shd w:val="clear" w:color="auto" w:fill="auto"/>
                  <w:vAlign w:val="center"/>
                </w:tcPr>
                <w:p w14:paraId="5B411E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w:t>
                  </w:r>
                </w:p>
              </w:tc>
              <w:tc>
                <w:tcPr>
                  <w:tcW w:w="375" w:type="dxa"/>
                  <w:shd w:val="clear" w:color="auto" w:fill="auto"/>
                  <w:vAlign w:val="center"/>
                </w:tcPr>
                <w:p w14:paraId="7EA87B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66CCC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570" w:type="dxa"/>
                  <w:shd w:val="clear" w:color="auto" w:fill="auto"/>
                  <w:vAlign w:val="center"/>
                </w:tcPr>
                <w:p w14:paraId="77E5A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139 </w:t>
                  </w:r>
                </w:p>
              </w:tc>
              <w:tc>
                <w:tcPr>
                  <w:tcW w:w="525" w:type="dxa"/>
                  <w:shd w:val="clear" w:color="auto" w:fill="auto"/>
                  <w:vAlign w:val="center"/>
                </w:tcPr>
                <w:p w14:paraId="118F0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98 </w:t>
                  </w:r>
                </w:p>
              </w:tc>
              <w:tc>
                <w:tcPr>
                  <w:tcW w:w="585" w:type="dxa"/>
                  <w:shd w:val="clear" w:color="auto" w:fill="auto"/>
                  <w:vAlign w:val="center"/>
                </w:tcPr>
                <w:p w14:paraId="331456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495" w:type="dxa"/>
                  <w:shd w:val="clear" w:color="auto" w:fill="auto"/>
                  <w:vAlign w:val="center"/>
                </w:tcPr>
                <w:p w14:paraId="43D98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0" w:type="dxa"/>
                  <w:shd w:val="clear" w:color="auto" w:fill="auto"/>
                  <w:vAlign w:val="center"/>
                </w:tcPr>
                <w:p w14:paraId="1F45C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6A97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361A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53FD8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12C4F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FA59B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80" w:type="dxa"/>
                  <w:shd w:val="clear" w:color="auto" w:fill="auto"/>
                  <w:vAlign w:val="center"/>
                </w:tcPr>
                <w:p w14:paraId="3E87C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986A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AF918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13F9B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0D8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C3CC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194</w:t>
                  </w:r>
                </w:p>
              </w:tc>
              <w:tc>
                <w:tcPr>
                  <w:tcW w:w="1485" w:type="dxa"/>
                  <w:shd w:val="clear" w:color="auto" w:fill="auto"/>
                  <w:vAlign w:val="center"/>
                </w:tcPr>
                <w:p w14:paraId="3533D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2#球道磨</w:t>
                  </w:r>
                </w:p>
              </w:tc>
              <w:tc>
                <w:tcPr>
                  <w:tcW w:w="765" w:type="dxa"/>
                  <w:shd w:val="clear" w:color="auto" w:fill="auto"/>
                  <w:vAlign w:val="center"/>
                </w:tcPr>
                <w:p w14:paraId="45523A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C32D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C49F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35.5</w:t>
                  </w:r>
                </w:p>
              </w:tc>
              <w:tc>
                <w:tcPr>
                  <w:tcW w:w="630" w:type="dxa"/>
                  <w:shd w:val="clear" w:color="auto" w:fill="auto"/>
                  <w:vAlign w:val="center"/>
                </w:tcPr>
                <w:p w14:paraId="411CD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375" w:type="dxa"/>
                  <w:shd w:val="clear" w:color="auto" w:fill="auto"/>
                  <w:vAlign w:val="center"/>
                </w:tcPr>
                <w:p w14:paraId="0F002A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963DB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570" w:type="dxa"/>
                  <w:shd w:val="clear" w:color="auto" w:fill="auto"/>
                  <w:vAlign w:val="center"/>
                </w:tcPr>
                <w:p w14:paraId="1DB0B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132 </w:t>
                  </w:r>
                </w:p>
              </w:tc>
              <w:tc>
                <w:tcPr>
                  <w:tcW w:w="525" w:type="dxa"/>
                  <w:shd w:val="clear" w:color="auto" w:fill="auto"/>
                  <w:vAlign w:val="center"/>
                </w:tcPr>
                <w:p w14:paraId="0A033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98 </w:t>
                  </w:r>
                </w:p>
              </w:tc>
              <w:tc>
                <w:tcPr>
                  <w:tcW w:w="585" w:type="dxa"/>
                  <w:shd w:val="clear" w:color="auto" w:fill="auto"/>
                  <w:vAlign w:val="center"/>
                </w:tcPr>
                <w:p w14:paraId="7EC88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c>
                <w:tcPr>
                  <w:tcW w:w="495" w:type="dxa"/>
                  <w:shd w:val="clear" w:color="auto" w:fill="auto"/>
                  <w:vAlign w:val="center"/>
                </w:tcPr>
                <w:p w14:paraId="2C9881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0" w:type="dxa"/>
                  <w:shd w:val="clear" w:color="auto" w:fill="auto"/>
                  <w:vAlign w:val="center"/>
                </w:tcPr>
                <w:p w14:paraId="51E73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E74E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B077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030C0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B489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D3F0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80" w:type="dxa"/>
                  <w:shd w:val="clear" w:color="auto" w:fill="auto"/>
                  <w:vAlign w:val="center"/>
                </w:tcPr>
                <w:p w14:paraId="70B43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A441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FF17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4A123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6F6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3FD0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195</w:t>
                  </w:r>
                </w:p>
              </w:tc>
              <w:tc>
                <w:tcPr>
                  <w:tcW w:w="1485" w:type="dxa"/>
                  <w:shd w:val="clear" w:color="auto" w:fill="auto"/>
                  <w:vAlign w:val="center"/>
                </w:tcPr>
                <w:p w14:paraId="0EC9D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3#球道磨</w:t>
                  </w:r>
                </w:p>
              </w:tc>
              <w:tc>
                <w:tcPr>
                  <w:tcW w:w="765" w:type="dxa"/>
                  <w:shd w:val="clear" w:color="auto" w:fill="auto"/>
                  <w:vAlign w:val="center"/>
                </w:tcPr>
                <w:p w14:paraId="794E8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46592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1371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35.5</w:t>
                  </w:r>
                </w:p>
              </w:tc>
              <w:tc>
                <w:tcPr>
                  <w:tcW w:w="630" w:type="dxa"/>
                  <w:shd w:val="clear" w:color="auto" w:fill="auto"/>
                  <w:vAlign w:val="center"/>
                </w:tcPr>
                <w:p w14:paraId="500102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75" w:type="dxa"/>
                  <w:shd w:val="clear" w:color="auto" w:fill="auto"/>
                  <w:vAlign w:val="center"/>
                </w:tcPr>
                <w:p w14:paraId="195566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98B32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570" w:type="dxa"/>
                  <w:shd w:val="clear" w:color="auto" w:fill="auto"/>
                  <w:vAlign w:val="center"/>
                </w:tcPr>
                <w:p w14:paraId="0F661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125 </w:t>
                  </w:r>
                </w:p>
              </w:tc>
              <w:tc>
                <w:tcPr>
                  <w:tcW w:w="525" w:type="dxa"/>
                  <w:shd w:val="clear" w:color="auto" w:fill="auto"/>
                  <w:vAlign w:val="center"/>
                </w:tcPr>
                <w:p w14:paraId="0CB47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98 </w:t>
                  </w:r>
                </w:p>
              </w:tc>
              <w:tc>
                <w:tcPr>
                  <w:tcW w:w="585" w:type="dxa"/>
                  <w:shd w:val="clear" w:color="auto" w:fill="auto"/>
                  <w:vAlign w:val="center"/>
                </w:tcPr>
                <w:p w14:paraId="7F474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495" w:type="dxa"/>
                  <w:shd w:val="clear" w:color="auto" w:fill="auto"/>
                  <w:vAlign w:val="center"/>
                </w:tcPr>
                <w:p w14:paraId="0E5B32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0" w:type="dxa"/>
                  <w:shd w:val="clear" w:color="auto" w:fill="auto"/>
                  <w:vAlign w:val="center"/>
                </w:tcPr>
                <w:p w14:paraId="02A45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EFFB9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B325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56718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497F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2ABB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80" w:type="dxa"/>
                  <w:shd w:val="clear" w:color="auto" w:fill="auto"/>
                  <w:vAlign w:val="center"/>
                </w:tcPr>
                <w:p w14:paraId="7ABE2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C9A4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6DB1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4C4278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BA3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61DC3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196</w:t>
                  </w:r>
                </w:p>
              </w:tc>
              <w:tc>
                <w:tcPr>
                  <w:tcW w:w="1485" w:type="dxa"/>
                  <w:shd w:val="clear" w:color="auto" w:fill="auto"/>
                  <w:vAlign w:val="center"/>
                </w:tcPr>
                <w:p w14:paraId="61D4FB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4#球道磨</w:t>
                  </w:r>
                </w:p>
              </w:tc>
              <w:tc>
                <w:tcPr>
                  <w:tcW w:w="765" w:type="dxa"/>
                  <w:shd w:val="clear" w:color="auto" w:fill="auto"/>
                  <w:vAlign w:val="center"/>
                </w:tcPr>
                <w:p w14:paraId="04511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2BB0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1B298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35.5</w:t>
                  </w:r>
                </w:p>
              </w:tc>
              <w:tc>
                <w:tcPr>
                  <w:tcW w:w="630" w:type="dxa"/>
                  <w:shd w:val="clear" w:color="auto" w:fill="auto"/>
                  <w:vAlign w:val="center"/>
                </w:tcPr>
                <w:p w14:paraId="3A13CF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w:t>
                  </w:r>
                </w:p>
              </w:tc>
              <w:tc>
                <w:tcPr>
                  <w:tcW w:w="375" w:type="dxa"/>
                  <w:shd w:val="clear" w:color="auto" w:fill="auto"/>
                  <w:vAlign w:val="center"/>
                </w:tcPr>
                <w:p w14:paraId="6CD3D9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05F8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570" w:type="dxa"/>
                  <w:shd w:val="clear" w:color="auto" w:fill="auto"/>
                  <w:vAlign w:val="center"/>
                </w:tcPr>
                <w:p w14:paraId="7BAAF4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525" w:type="dxa"/>
                  <w:shd w:val="clear" w:color="auto" w:fill="auto"/>
                  <w:vAlign w:val="center"/>
                </w:tcPr>
                <w:p w14:paraId="3DEE1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98 </w:t>
                  </w:r>
                </w:p>
              </w:tc>
              <w:tc>
                <w:tcPr>
                  <w:tcW w:w="585" w:type="dxa"/>
                  <w:shd w:val="clear" w:color="auto" w:fill="auto"/>
                  <w:vAlign w:val="center"/>
                </w:tcPr>
                <w:p w14:paraId="6EF1E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495" w:type="dxa"/>
                  <w:shd w:val="clear" w:color="auto" w:fill="auto"/>
                  <w:vAlign w:val="center"/>
                </w:tcPr>
                <w:p w14:paraId="2F42E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0" w:type="dxa"/>
                  <w:shd w:val="clear" w:color="auto" w:fill="auto"/>
                  <w:vAlign w:val="center"/>
                </w:tcPr>
                <w:p w14:paraId="53AF1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AAA0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1E4A5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41F6C7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D0C01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5222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80" w:type="dxa"/>
                  <w:shd w:val="clear" w:color="auto" w:fill="auto"/>
                  <w:vAlign w:val="center"/>
                </w:tcPr>
                <w:p w14:paraId="60986F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E3AA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0678D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7525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036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51BED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197</w:t>
                  </w:r>
                </w:p>
              </w:tc>
              <w:tc>
                <w:tcPr>
                  <w:tcW w:w="1485" w:type="dxa"/>
                  <w:shd w:val="clear" w:color="auto" w:fill="auto"/>
                  <w:vAlign w:val="center"/>
                </w:tcPr>
                <w:p w14:paraId="108683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5#球道磨</w:t>
                  </w:r>
                </w:p>
              </w:tc>
              <w:tc>
                <w:tcPr>
                  <w:tcW w:w="765" w:type="dxa"/>
                  <w:shd w:val="clear" w:color="auto" w:fill="auto"/>
                  <w:vAlign w:val="center"/>
                </w:tcPr>
                <w:p w14:paraId="481AE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FC60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CA6F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35.5</w:t>
                  </w:r>
                </w:p>
              </w:tc>
              <w:tc>
                <w:tcPr>
                  <w:tcW w:w="630" w:type="dxa"/>
                  <w:shd w:val="clear" w:color="auto" w:fill="auto"/>
                  <w:vAlign w:val="center"/>
                </w:tcPr>
                <w:p w14:paraId="7BE183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375" w:type="dxa"/>
                  <w:shd w:val="clear" w:color="auto" w:fill="auto"/>
                  <w:vAlign w:val="center"/>
                </w:tcPr>
                <w:p w14:paraId="3BCCB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0AC49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570" w:type="dxa"/>
                  <w:shd w:val="clear" w:color="auto" w:fill="auto"/>
                  <w:vAlign w:val="center"/>
                </w:tcPr>
                <w:p w14:paraId="4A262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25" w:type="dxa"/>
                  <w:shd w:val="clear" w:color="auto" w:fill="auto"/>
                  <w:vAlign w:val="center"/>
                </w:tcPr>
                <w:p w14:paraId="3D225D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98 </w:t>
                  </w:r>
                </w:p>
              </w:tc>
              <w:tc>
                <w:tcPr>
                  <w:tcW w:w="585" w:type="dxa"/>
                  <w:shd w:val="clear" w:color="auto" w:fill="auto"/>
                  <w:vAlign w:val="center"/>
                </w:tcPr>
                <w:p w14:paraId="5FB10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95" w:type="dxa"/>
                  <w:shd w:val="clear" w:color="auto" w:fill="auto"/>
                  <w:vAlign w:val="center"/>
                </w:tcPr>
                <w:p w14:paraId="1EB35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0" w:type="dxa"/>
                  <w:shd w:val="clear" w:color="auto" w:fill="auto"/>
                  <w:vAlign w:val="center"/>
                </w:tcPr>
                <w:p w14:paraId="46C7A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0385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43575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D98B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AC57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15762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80" w:type="dxa"/>
                  <w:shd w:val="clear" w:color="auto" w:fill="auto"/>
                  <w:vAlign w:val="center"/>
                </w:tcPr>
                <w:p w14:paraId="4E003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7B20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F67AA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4025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14D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C57D9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198</w:t>
                  </w:r>
                </w:p>
              </w:tc>
              <w:tc>
                <w:tcPr>
                  <w:tcW w:w="1485" w:type="dxa"/>
                  <w:shd w:val="clear" w:color="auto" w:fill="auto"/>
                  <w:vAlign w:val="center"/>
                </w:tcPr>
                <w:p w14:paraId="44479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6#球道磨</w:t>
                  </w:r>
                </w:p>
              </w:tc>
              <w:tc>
                <w:tcPr>
                  <w:tcW w:w="765" w:type="dxa"/>
                  <w:shd w:val="clear" w:color="auto" w:fill="auto"/>
                  <w:vAlign w:val="center"/>
                </w:tcPr>
                <w:p w14:paraId="7DECDD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FAE8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023AD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630" w:type="dxa"/>
                  <w:shd w:val="clear" w:color="auto" w:fill="auto"/>
                  <w:vAlign w:val="center"/>
                </w:tcPr>
                <w:p w14:paraId="063BF2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375" w:type="dxa"/>
                  <w:shd w:val="clear" w:color="auto" w:fill="auto"/>
                  <w:vAlign w:val="center"/>
                </w:tcPr>
                <w:p w14:paraId="6390EA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C249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570" w:type="dxa"/>
                  <w:shd w:val="clear" w:color="auto" w:fill="auto"/>
                  <w:vAlign w:val="center"/>
                </w:tcPr>
                <w:p w14:paraId="730EE9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107 </w:t>
                  </w:r>
                </w:p>
              </w:tc>
              <w:tc>
                <w:tcPr>
                  <w:tcW w:w="525" w:type="dxa"/>
                  <w:shd w:val="clear" w:color="auto" w:fill="auto"/>
                  <w:vAlign w:val="center"/>
                </w:tcPr>
                <w:p w14:paraId="3761D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85" w:type="dxa"/>
                  <w:shd w:val="clear" w:color="auto" w:fill="auto"/>
                  <w:vAlign w:val="center"/>
                </w:tcPr>
                <w:p w14:paraId="4919B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95" w:type="dxa"/>
                  <w:shd w:val="clear" w:color="auto" w:fill="auto"/>
                  <w:vAlign w:val="center"/>
                </w:tcPr>
                <w:p w14:paraId="1CAB7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02DD7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415D2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51589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4625E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69FC6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DB59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2EC841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15FAA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244F9A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63DB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7EF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D7263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199</w:t>
                  </w:r>
                </w:p>
              </w:tc>
              <w:tc>
                <w:tcPr>
                  <w:tcW w:w="1485" w:type="dxa"/>
                  <w:shd w:val="clear" w:color="auto" w:fill="auto"/>
                  <w:vAlign w:val="center"/>
                </w:tcPr>
                <w:p w14:paraId="54B44F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7#球道磨</w:t>
                  </w:r>
                </w:p>
              </w:tc>
              <w:tc>
                <w:tcPr>
                  <w:tcW w:w="765" w:type="dxa"/>
                  <w:shd w:val="clear" w:color="auto" w:fill="auto"/>
                  <w:vAlign w:val="center"/>
                </w:tcPr>
                <w:p w14:paraId="14FE4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DAA8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8C51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630" w:type="dxa"/>
                  <w:shd w:val="clear" w:color="auto" w:fill="auto"/>
                  <w:vAlign w:val="center"/>
                </w:tcPr>
                <w:p w14:paraId="03719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375" w:type="dxa"/>
                  <w:shd w:val="clear" w:color="auto" w:fill="auto"/>
                  <w:vAlign w:val="center"/>
                </w:tcPr>
                <w:p w14:paraId="03E19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6C349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570" w:type="dxa"/>
                  <w:shd w:val="clear" w:color="auto" w:fill="auto"/>
                  <w:vAlign w:val="center"/>
                </w:tcPr>
                <w:p w14:paraId="0F9518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25" w:type="dxa"/>
                  <w:shd w:val="clear" w:color="auto" w:fill="auto"/>
                  <w:vAlign w:val="center"/>
                </w:tcPr>
                <w:p w14:paraId="1AB81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85" w:type="dxa"/>
                  <w:shd w:val="clear" w:color="auto" w:fill="auto"/>
                  <w:vAlign w:val="center"/>
                </w:tcPr>
                <w:p w14:paraId="4D526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95" w:type="dxa"/>
                  <w:shd w:val="clear" w:color="auto" w:fill="auto"/>
                  <w:vAlign w:val="center"/>
                </w:tcPr>
                <w:p w14:paraId="7A626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1F37DB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676D0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727D8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7B8DB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D07E3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6F122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60647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92083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3165ED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3BAF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562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90EB2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200</w:t>
                  </w:r>
                </w:p>
              </w:tc>
              <w:tc>
                <w:tcPr>
                  <w:tcW w:w="1485" w:type="dxa"/>
                  <w:shd w:val="clear" w:color="auto" w:fill="auto"/>
                  <w:vAlign w:val="center"/>
                </w:tcPr>
                <w:p w14:paraId="013EB1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8#球道磨</w:t>
                  </w:r>
                </w:p>
              </w:tc>
              <w:tc>
                <w:tcPr>
                  <w:tcW w:w="765" w:type="dxa"/>
                  <w:shd w:val="clear" w:color="auto" w:fill="auto"/>
                  <w:vAlign w:val="center"/>
                </w:tcPr>
                <w:p w14:paraId="488CE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2C2BD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5E67A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630" w:type="dxa"/>
                  <w:shd w:val="clear" w:color="auto" w:fill="auto"/>
                  <w:vAlign w:val="center"/>
                </w:tcPr>
                <w:p w14:paraId="11F7D8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3177E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C2F7E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570" w:type="dxa"/>
                  <w:shd w:val="clear" w:color="auto" w:fill="auto"/>
                  <w:vAlign w:val="center"/>
                </w:tcPr>
                <w:p w14:paraId="4DE79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25" w:type="dxa"/>
                  <w:shd w:val="clear" w:color="auto" w:fill="auto"/>
                  <w:vAlign w:val="center"/>
                </w:tcPr>
                <w:p w14:paraId="75B511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85" w:type="dxa"/>
                  <w:shd w:val="clear" w:color="auto" w:fill="auto"/>
                  <w:vAlign w:val="center"/>
                </w:tcPr>
                <w:p w14:paraId="21CDB7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95" w:type="dxa"/>
                  <w:shd w:val="clear" w:color="auto" w:fill="auto"/>
                  <w:vAlign w:val="center"/>
                </w:tcPr>
                <w:p w14:paraId="5F865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35E6CF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87B3E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65AA7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D3CED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50A9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BCBA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67CD3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D35AE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3014FF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97146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631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194CF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201</w:t>
                  </w:r>
                </w:p>
              </w:tc>
              <w:tc>
                <w:tcPr>
                  <w:tcW w:w="1485" w:type="dxa"/>
                  <w:shd w:val="clear" w:color="auto" w:fill="auto"/>
                  <w:vAlign w:val="center"/>
                </w:tcPr>
                <w:p w14:paraId="70E250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9#球道磨</w:t>
                  </w:r>
                </w:p>
              </w:tc>
              <w:tc>
                <w:tcPr>
                  <w:tcW w:w="765" w:type="dxa"/>
                  <w:shd w:val="clear" w:color="auto" w:fill="auto"/>
                  <w:vAlign w:val="center"/>
                </w:tcPr>
                <w:p w14:paraId="622583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ACBB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916B0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630" w:type="dxa"/>
                  <w:shd w:val="clear" w:color="auto" w:fill="auto"/>
                  <w:vAlign w:val="center"/>
                </w:tcPr>
                <w:p w14:paraId="317E2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375" w:type="dxa"/>
                  <w:shd w:val="clear" w:color="auto" w:fill="auto"/>
                  <w:vAlign w:val="center"/>
                </w:tcPr>
                <w:p w14:paraId="7CC30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4907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570" w:type="dxa"/>
                  <w:shd w:val="clear" w:color="auto" w:fill="auto"/>
                  <w:vAlign w:val="center"/>
                </w:tcPr>
                <w:p w14:paraId="017AE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119 </w:t>
                  </w:r>
                </w:p>
              </w:tc>
              <w:tc>
                <w:tcPr>
                  <w:tcW w:w="525" w:type="dxa"/>
                  <w:shd w:val="clear" w:color="auto" w:fill="auto"/>
                  <w:vAlign w:val="center"/>
                </w:tcPr>
                <w:p w14:paraId="7B8DA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85" w:type="dxa"/>
                  <w:shd w:val="clear" w:color="auto" w:fill="auto"/>
                  <w:vAlign w:val="center"/>
                </w:tcPr>
                <w:p w14:paraId="44D6AB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95" w:type="dxa"/>
                  <w:shd w:val="clear" w:color="auto" w:fill="auto"/>
                  <w:vAlign w:val="center"/>
                </w:tcPr>
                <w:p w14:paraId="6BD6D0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2B2EF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A158F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0857B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4BFE0D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5177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95C7E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2F603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04DC5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3B76A1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52CA6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D11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EED0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202</w:t>
                  </w:r>
                </w:p>
              </w:tc>
              <w:tc>
                <w:tcPr>
                  <w:tcW w:w="1485" w:type="dxa"/>
                  <w:shd w:val="clear" w:color="auto" w:fill="auto"/>
                  <w:vAlign w:val="center"/>
                </w:tcPr>
                <w:p w14:paraId="1F8FF0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10#球道磨</w:t>
                  </w:r>
                </w:p>
              </w:tc>
              <w:tc>
                <w:tcPr>
                  <w:tcW w:w="765" w:type="dxa"/>
                  <w:shd w:val="clear" w:color="auto" w:fill="auto"/>
                  <w:vAlign w:val="center"/>
                </w:tcPr>
                <w:p w14:paraId="2A795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AB749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D056C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630" w:type="dxa"/>
                  <w:shd w:val="clear" w:color="auto" w:fill="auto"/>
                  <w:vAlign w:val="center"/>
                </w:tcPr>
                <w:p w14:paraId="54EF0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375" w:type="dxa"/>
                  <w:shd w:val="clear" w:color="auto" w:fill="auto"/>
                  <w:vAlign w:val="center"/>
                </w:tcPr>
                <w:p w14:paraId="7D7BE7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E8C5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570" w:type="dxa"/>
                  <w:shd w:val="clear" w:color="auto" w:fill="auto"/>
                  <w:vAlign w:val="center"/>
                </w:tcPr>
                <w:p w14:paraId="16654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123 </w:t>
                  </w:r>
                </w:p>
              </w:tc>
              <w:tc>
                <w:tcPr>
                  <w:tcW w:w="525" w:type="dxa"/>
                  <w:shd w:val="clear" w:color="auto" w:fill="auto"/>
                  <w:vAlign w:val="center"/>
                </w:tcPr>
                <w:p w14:paraId="2FAECD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85" w:type="dxa"/>
                  <w:shd w:val="clear" w:color="auto" w:fill="auto"/>
                  <w:vAlign w:val="center"/>
                </w:tcPr>
                <w:p w14:paraId="6DE7D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 </w:t>
                  </w:r>
                </w:p>
              </w:tc>
              <w:tc>
                <w:tcPr>
                  <w:tcW w:w="495" w:type="dxa"/>
                  <w:shd w:val="clear" w:color="auto" w:fill="auto"/>
                  <w:vAlign w:val="center"/>
                </w:tcPr>
                <w:p w14:paraId="6E1F6A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17B00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E900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57E5E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4181A2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19CB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92E36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3D1D3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89983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3120CE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361C1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BE0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8725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203</w:t>
                  </w:r>
                </w:p>
              </w:tc>
              <w:tc>
                <w:tcPr>
                  <w:tcW w:w="1485" w:type="dxa"/>
                  <w:shd w:val="clear" w:color="auto" w:fill="auto"/>
                  <w:vAlign w:val="center"/>
                </w:tcPr>
                <w:p w14:paraId="4EAE57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11#球道磨</w:t>
                  </w:r>
                </w:p>
              </w:tc>
              <w:tc>
                <w:tcPr>
                  <w:tcW w:w="765" w:type="dxa"/>
                  <w:shd w:val="clear" w:color="auto" w:fill="auto"/>
                  <w:vAlign w:val="center"/>
                </w:tcPr>
                <w:p w14:paraId="5D486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C64A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616B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630" w:type="dxa"/>
                  <w:shd w:val="clear" w:color="auto" w:fill="auto"/>
                  <w:vAlign w:val="center"/>
                </w:tcPr>
                <w:p w14:paraId="15F16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375" w:type="dxa"/>
                  <w:shd w:val="clear" w:color="auto" w:fill="auto"/>
                  <w:vAlign w:val="center"/>
                </w:tcPr>
                <w:p w14:paraId="7FBF6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A0074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570" w:type="dxa"/>
                  <w:shd w:val="clear" w:color="auto" w:fill="auto"/>
                  <w:vAlign w:val="center"/>
                </w:tcPr>
                <w:p w14:paraId="4F5EBF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127 </w:t>
                  </w:r>
                </w:p>
              </w:tc>
              <w:tc>
                <w:tcPr>
                  <w:tcW w:w="525" w:type="dxa"/>
                  <w:shd w:val="clear" w:color="auto" w:fill="auto"/>
                  <w:vAlign w:val="center"/>
                </w:tcPr>
                <w:p w14:paraId="0C5796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85" w:type="dxa"/>
                  <w:shd w:val="clear" w:color="auto" w:fill="auto"/>
                  <w:vAlign w:val="center"/>
                </w:tcPr>
                <w:p w14:paraId="4B236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95" w:type="dxa"/>
                  <w:shd w:val="clear" w:color="auto" w:fill="auto"/>
                  <w:vAlign w:val="center"/>
                </w:tcPr>
                <w:p w14:paraId="10BB6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3802EF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ED4FF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D245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38EA3D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1A8B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D172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0B52F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CEBE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3592C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3365F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AEE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CF7F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204</w:t>
                  </w:r>
                </w:p>
              </w:tc>
              <w:tc>
                <w:tcPr>
                  <w:tcW w:w="1485" w:type="dxa"/>
                  <w:shd w:val="clear" w:color="auto" w:fill="auto"/>
                  <w:vAlign w:val="center"/>
                </w:tcPr>
                <w:p w14:paraId="14910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12#球道磨</w:t>
                  </w:r>
                </w:p>
              </w:tc>
              <w:tc>
                <w:tcPr>
                  <w:tcW w:w="765" w:type="dxa"/>
                  <w:shd w:val="clear" w:color="auto" w:fill="auto"/>
                  <w:vAlign w:val="center"/>
                </w:tcPr>
                <w:p w14:paraId="133CD6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70E7F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8AA8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630" w:type="dxa"/>
                  <w:shd w:val="clear" w:color="auto" w:fill="auto"/>
                  <w:vAlign w:val="center"/>
                </w:tcPr>
                <w:p w14:paraId="6675AF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375" w:type="dxa"/>
                  <w:shd w:val="clear" w:color="auto" w:fill="auto"/>
                  <w:vAlign w:val="center"/>
                </w:tcPr>
                <w:p w14:paraId="0B8BE6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1FFAA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570" w:type="dxa"/>
                  <w:shd w:val="clear" w:color="auto" w:fill="auto"/>
                  <w:vAlign w:val="center"/>
                </w:tcPr>
                <w:p w14:paraId="5A5243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131 </w:t>
                  </w:r>
                </w:p>
              </w:tc>
              <w:tc>
                <w:tcPr>
                  <w:tcW w:w="525" w:type="dxa"/>
                  <w:shd w:val="clear" w:color="auto" w:fill="auto"/>
                  <w:vAlign w:val="center"/>
                </w:tcPr>
                <w:p w14:paraId="02F12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85" w:type="dxa"/>
                  <w:shd w:val="clear" w:color="auto" w:fill="auto"/>
                  <w:vAlign w:val="center"/>
                </w:tcPr>
                <w:p w14:paraId="283391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39 </w:t>
                  </w:r>
                </w:p>
              </w:tc>
              <w:tc>
                <w:tcPr>
                  <w:tcW w:w="495" w:type="dxa"/>
                  <w:shd w:val="clear" w:color="auto" w:fill="auto"/>
                  <w:vAlign w:val="center"/>
                </w:tcPr>
                <w:p w14:paraId="6994D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527C6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58E0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01DA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60B7F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A404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0004D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74F2EE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A6D8C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FAB79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69D9A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42D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030C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205</w:t>
                  </w:r>
                </w:p>
              </w:tc>
              <w:tc>
                <w:tcPr>
                  <w:tcW w:w="1485" w:type="dxa"/>
                  <w:shd w:val="clear" w:color="auto" w:fill="auto"/>
                  <w:vAlign w:val="center"/>
                </w:tcPr>
                <w:p w14:paraId="6FEF8E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13#球道磨</w:t>
                  </w:r>
                </w:p>
              </w:tc>
              <w:tc>
                <w:tcPr>
                  <w:tcW w:w="765" w:type="dxa"/>
                  <w:shd w:val="clear" w:color="auto" w:fill="auto"/>
                  <w:vAlign w:val="center"/>
                </w:tcPr>
                <w:p w14:paraId="7C44A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EC84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558E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630" w:type="dxa"/>
                  <w:shd w:val="clear" w:color="auto" w:fill="auto"/>
                  <w:vAlign w:val="center"/>
                </w:tcPr>
                <w:p w14:paraId="1DF21D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75" w:type="dxa"/>
                  <w:shd w:val="clear" w:color="auto" w:fill="auto"/>
                  <w:vAlign w:val="center"/>
                </w:tcPr>
                <w:p w14:paraId="68FDE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5E7E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570" w:type="dxa"/>
                  <w:shd w:val="clear" w:color="auto" w:fill="auto"/>
                  <w:vAlign w:val="center"/>
                </w:tcPr>
                <w:p w14:paraId="01028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135 </w:t>
                  </w:r>
                </w:p>
              </w:tc>
              <w:tc>
                <w:tcPr>
                  <w:tcW w:w="525" w:type="dxa"/>
                  <w:shd w:val="clear" w:color="auto" w:fill="auto"/>
                  <w:vAlign w:val="center"/>
                </w:tcPr>
                <w:p w14:paraId="0C54F2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85" w:type="dxa"/>
                  <w:shd w:val="clear" w:color="auto" w:fill="auto"/>
                  <w:vAlign w:val="center"/>
                </w:tcPr>
                <w:p w14:paraId="1B283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95" w:type="dxa"/>
                  <w:shd w:val="clear" w:color="auto" w:fill="auto"/>
                  <w:vAlign w:val="center"/>
                </w:tcPr>
                <w:p w14:paraId="4382AF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28FDC4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6CB3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17A33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461D7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D462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59B2F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2CEB17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71505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FF45B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038B61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AE2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9C4F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206</w:t>
                  </w:r>
                </w:p>
              </w:tc>
              <w:tc>
                <w:tcPr>
                  <w:tcW w:w="1485" w:type="dxa"/>
                  <w:shd w:val="clear" w:color="auto" w:fill="auto"/>
                  <w:vAlign w:val="center"/>
                </w:tcPr>
                <w:p w14:paraId="611725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14#球道磨</w:t>
                  </w:r>
                </w:p>
              </w:tc>
              <w:tc>
                <w:tcPr>
                  <w:tcW w:w="765" w:type="dxa"/>
                  <w:shd w:val="clear" w:color="auto" w:fill="auto"/>
                  <w:vAlign w:val="center"/>
                </w:tcPr>
                <w:p w14:paraId="674B3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CF91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05012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630" w:type="dxa"/>
                  <w:shd w:val="clear" w:color="auto" w:fill="auto"/>
                  <w:vAlign w:val="center"/>
                </w:tcPr>
                <w:p w14:paraId="40114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w:t>
                  </w:r>
                </w:p>
              </w:tc>
              <w:tc>
                <w:tcPr>
                  <w:tcW w:w="375" w:type="dxa"/>
                  <w:shd w:val="clear" w:color="auto" w:fill="auto"/>
                  <w:vAlign w:val="center"/>
                </w:tcPr>
                <w:p w14:paraId="296FB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F892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570" w:type="dxa"/>
                  <w:shd w:val="clear" w:color="auto" w:fill="auto"/>
                  <w:vAlign w:val="center"/>
                </w:tcPr>
                <w:p w14:paraId="62A42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139 </w:t>
                  </w:r>
                </w:p>
              </w:tc>
              <w:tc>
                <w:tcPr>
                  <w:tcW w:w="525" w:type="dxa"/>
                  <w:shd w:val="clear" w:color="auto" w:fill="auto"/>
                  <w:vAlign w:val="center"/>
                </w:tcPr>
                <w:p w14:paraId="350FE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85" w:type="dxa"/>
                  <w:shd w:val="clear" w:color="auto" w:fill="auto"/>
                  <w:vAlign w:val="center"/>
                </w:tcPr>
                <w:p w14:paraId="06D3C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495" w:type="dxa"/>
                  <w:shd w:val="clear" w:color="auto" w:fill="auto"/>
                  <w:vAlign w:val="center"/>
                </w:tcPr>
                <w:p w14:paraId="78C961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34879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E1BBC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E7BE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5BF3C0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AC1C0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2EA4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4D484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D8B3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4E1C6A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0DC82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BB8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EE50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207</w:t>
                  </w:r>
                </w:p>
              </w:tc>
              <w:tc>
                <w:tcPr>
                  <w:tcW w:w="1485" w:type="dxa"/>
                  <w:shd w:val="clear" w:color="auto" w:fill="auto"/>
                  <w:vAlign w:val="center"/>
                </w:tcPr>
                <w:p w14:paraId="7855EE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15#球道磨</w:t>
                  </w:r>
                </w:p>
              </w:tc>
              <w:tc>
                <w:tcPr>
                  <w:tcW w:w="765" w:type="dxa"/>
                  <w:shd w:val="clear" w:color="auto" w:fill="auto"/>
                  <w:vAlign w:val="center"/>
                </w:tcPr>
                <w:p w14:paraId="053F9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F8D4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BDBC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630" w:type="dxa"/>
                  <w:shd w:val="clear" w:color="auto" w:fill="auto"/>
                  <w:vAlign w:val="center"/>
                </w:tcPr>
                <w:p w14:paraId="1708E9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w:t>
                  </w:r>
                </w:p>
              </w:tc>
              <w:tc>
                <w:tcPr>
                  <w:tcW w:w="375" w:type="dxa"/>
                  <w:shd w:val="clear" w:color="auto" w:fill="auto"/>
                  <w:vAlign w:val="center"/>
                </w:tcPr>
                <w:p w14:paraId="787DB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5483E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570" w:type="dxa"/>
                  <w:shd w:val="clear" w:color="auto" w:fill="auto"/>
                  <w:vAlign w:val="center"/>
                </w:tcPr>
                <w:p w14:paraId="42694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143 </w:t>
                  </w:r>
                </w:p>
              </w:tc>
              <w:tc>
                <w:tcPr>
                  <w:tcW w:w="525" w:type="dxa"/>
                  <w:shd w:val="clear" w:color="auto" w:fill="auto"/>
                  <w:vAlign w:val="center"/>
                </w:tcPr>
                <w:p w14:paraId="46DD2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85" w:type="dxa"/>
                  <w:shd w:val="clear" w:color="auto" w:fill="auto"/>
                  <w:vAlign w:val="center"/>
                </w:tcPr>
                <w:p w14:paraId="2CC26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95" w:type="dxa"/>
                  <w:shd w:val="clear" w:color="auto" w:fill="auto"/>
                  <w:vAlign w:val="center"/>
                </w:tcPr>
                <w:p w14:paraId="53F471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13369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AF3AF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A0E2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4" w:type="dxa"/>
                  <w:vMerge w:val="continue"/>
                  <w:shd w:val="clear" w:color="auto" w:fill="auto"/>
                  <w:vAlign w:val="center"/>
                </w:tcPr>
                <w:p w14:paraId="2124F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8F4E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CF827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3D18F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D15B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10FF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681" w:type="dxa"/>
                  <w:shd w:val="clear" w:color="auto" w:fill="auto"/>
                  <w:vAlign w:val="center"/>
                </w:tcPr>
                <w:p w14:paraId="527256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3B5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163EF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208</w:t>
                  </w:r>
                </w:p>
              </w:tc>
              <w:tc>
                <w:tcPr>
                  <w:tcW w:w="1485" w:type="dxa"/>
                  <w:shd w:val="clear" w:color="auto" w:fill="auto"/>
                  <w:vAlign w:val="center"/>
                </w:tcPr>
                <w:p w14:paraId="21294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16#球道磨</w:t>
                  </w:r>
                </w:p>
              </w:tc>
              <w:tc>
                <w:tcPr>
                  <w:tcW w:w="765" w:type="dxa"/>
                  <w:shd w:val="clear" w:color="auto" w:fill="auto"/>
                  <w:vAlign w:val="center"/>
                </w:tcPr>
                <w:p w14:paraId="6AB18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4632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C67D9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1256D0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375" w:type="dxa"/>
                  <w:shd w:val="clear" w:color="auto" w:fill="auto"/>
                  <w:vAlign w:val="center"/>
                </w:tcPr>
                <w:p w14:paraId="5799E7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59137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22F1E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107 </w:t>
                  </w:r>
                </w:p>
              </w:tc>
              <w:tc>
                <w:tcPr>
                  <w:tcW w:w="525" w:type="dxa"/>
                  <w:shd w:val="clear" w:color="auto" w:fill="auto"/>
                  <w:vAlign w:val="center"/>
                </w:tcPr>
                <w:p w14:paraId="1105E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72837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 </w:t>
                  </w:r>
                </w:p>
              </w:tc>
              <w:tc>
                <w:tcPr>
                  <w:tcW w:w="495" w:type="dxa"/>
                  <w:shd w:val="clear" w:color="auto" w:fill="auto"/>
                  <w:vAlign w:val="center"/>
                </w:tcPr>
                <w:p w14:paraId="58CE27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6BB835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2BF1A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2780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48516F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F262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0437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5EBC6B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ED25E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21AC3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0594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CC5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BFBC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209</w:t>
                  </w:r>
                </w:p>
              </w:tc>
              <w:tc>
                <w:tcPr>
                  <w:tcW w:w="1485" w:type="dxa"/>
                  <w:shd w:val="clear" w:color="auto" w:fill="auto"/>
                  <w:vAlign w:val="center"/>
                </w:tcPr>
                <w:p w14:paraId="71F7C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17#球道磨</w:t>
                  </w:r>
                </w:p>
              </w:tc>
              <w:tc>
                <w:tcPr>
                  <w:tcW w:w="765" w:type="dxa"/>
                  <w:shd w:val="clear" w:color="auto" w:fill="auto"/>
                  <w:vAlign w:val="center"/>
                </w:tcPr>
                <w:p w14:paraId="03BDD2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83193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1EF88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1D826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375" w:type="dxa"/>
                  <w:shd w:val="clear" w:color="auto" w:fill="auto"/>
                  <w:vAlign w:val="center"/>
                </w:tcPr>
                <w:p w14:paraId="3ADD5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01A5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3BDC1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25" w:type="dxa"/>
                  <w:shd w:val="clear" w:color="auto" w:fill="auto"/>
                  <w:vAlign w:val="center"/>
                </w:tcPr>
                <w:p w14:paraId="7B0600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1CEE80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95" w:type="dxa"/>
                  <w:shd w:val="clear" w:color="auto" w:fill="auto"/>
                  <w:vAlign w:val="center"/>
                </w:tcPr>
                <w:p w14:paraId="0CAD67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18C84C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D82B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4378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3117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32FF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9814F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78F31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6FF2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48D9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CD62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044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75525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210</w:t>
                  </w:r>
                </w:p>
              </w:tc>
              <w:tc>
                <w:tcPr>
                  <w:tcW w:w="1485" w:type="dxa"/>
                  <w:shd w:val="clear" w:color="auto" w:fill="auto"/>
                  <w:vAlign w:val="center"/>
                </w:tcPr>
                <w:p w14:paraId="0006F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18#球道磨</w:t>
                  </w:r>
                </w:p>
              </w:tc>
              <w:tc>
                <w:tcPr>
                  <w:tcW w:w="765" w:type="dxa"/>
                  <w:shd w:val="clear" w:color="auto" w:fill="auto"/>
                  <w:vAlign w:val="center"/>
                </w:tcPr>
                <w:p w14:paraId="34A36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EE309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C501B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31A97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432AB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D0A87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053AF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25" w:type="dxa"/>
                  <w:shd w:val="clear" w:color="auto" w:fill="auto"/>
                  <w:vAlign w:val="center"/>
                </w:tcPr>
                <w:p w14:paraId="4B642C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31999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95" w:type="dxa"/>
                  <w:shd w:val="clear" w:color="auto" w:fill="auto"/>
                  <w:vAlign w:val="center"/>
                </w:tcPr>
                <w:p w14:paraId="5E8E55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5776DF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27B0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744E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797CB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879B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606A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09E5C4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F80C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C66B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19E0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6E1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5333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211</w:t>
                  </w:r>
                </w:p>
              </w:tc>
              <w:tc>
                <w:tcPr>
                  <w:tcW w:w="1485" w:type="dxa"/>
                  <w:shd w:val="clear" w:color="auto" w:fill="auto"/>
                  <w:vAlign w:val="center"/>
                </w:tcPr>
                <w:p w14:paraId="2EDF9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19#球道磨</w:t>
                  </w:r>
                </w:p>
              </w:tc>
              <w:tc>
                <w:tcPr>
                  <w:tcW w:w="765" w:type="dxa"/>
                  <w:shd w:val="clear" w:color="auto" w:fill="auto"/>
                  <w:vAlign w:val="center"/>
                </w:tcPr>
                <w:p w14:paraId="6797C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AB9C5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4DD7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2C0D9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375" w:type="dxa"/>
                  <w:shd w:val="clear" w:color="auto" w:fill="auto"/>
                  <w:vAlign w:val="center"/>
                </w:tcPr>
                <w:p w14:paraId="52DBB5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451FE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4CEC2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119 </w:t>
                  </w:r>
                </w:p>
              </w:tc>
              <w:tc>
                <w:tcPr>
                  <w:tcW w:w="525" w:type="dxa"/>
                  <w:shd w:val="clear" w:color="auto" w:fill="auto"/>
                  <w:vAlign w:val="center"/>
                </w:tcPr>
                <w:p w14:paraId="0A7B0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1222D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95" w:type="dxa"/>
                  <w:shd w:val="clear" w:color="auto" w:fill="auto"/>
                  <w:vAlign w:val="center"/>
                </w:tcPr>
                <w:p w14:paraId="4CDDDC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7E44F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4C890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D355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74E2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CA111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7C582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3C51CD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14614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F878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0D8E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19F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49D97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212</w:t>
                  </w:r>
                </w:p>
              </w:tc>
              <w:tc>
                <w:tcPr>
                  <w:tcW w:w="1485" w:type="dxa"/>
                  <w:shd w:val="clear" w:color="auto" w:fill="auto"/>
                  <w:vAlign w:val="center"/>
                </w:tcPr>
                <w:p w14:paraId="78A97B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20#球道磨</w:t>
                  </w:r>
                </w:p>
              </w:tc>
              <w:tc>
                <w:tcPr>
                  <w:tcW w:w="765" w:type="dxa"/>
                  <w:shd w:val="clear" w:color="auto" w:fill="auto"/>
                  <w:vAlign w:val="center"/>
                </w:tcPr>
                <w:p w14:paraId="43579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9C3C6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DDE1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10116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375" w:type="dxa"/>
                  <w:shd w:val="clear" w:color="auto" w:fill="auto"/>
                  <w:vAlign w:val="center"/>
                </w:tcPr>
                <w:p w14:paraId="1E0C0B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FB7E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147CC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123 </w:t>
                  </w:r>
                </w:p>
              </w:tc>
              <w:tc>
                <w:tcPr>
                  <w:tcW w:w="525" w:type="dxa"/>
                  <w:shd w:val="clear" w:color="auto" w:fill="auto"/>
                  <w:vAlign w:val="center"/>
                </w:tcPr>
                <w:p w14:paraId="79CDAA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5AEF2E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 </w:t>
                  </w:r>
                </w:p>
              </w:tc>
              <w:tc>
                <w:tcPr>
                  <w:tcW w:w="495" w:type="dxa"/>
                  <w:shd w:val="clear" w:color="auto" w:fill="auto"/>
                  <w:vAlign w:val="center"/>
                </w:tcPr>
                <w:p w14:paraId="223117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02AC1E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8D40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71FD5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3AB2F5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87B7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07B9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0021B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3E001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42B53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50C51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28E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22E8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213</w:t>
                  </w:r>
                </w:p>
              </w:tc>
              <w:tc>
                <w:tcPr>
                  <w:tcW w:w="1485" w:type="dxa"/>
                  <w:shd w:val="clear" w:color="auto" w:fill="auto"/>
                  <w:vAlign w:val="center"/>
                </w:tcPr>
                <w:p w14:paraId="23A45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21#球道磨</w:t>
                  </w:r>
                </w:p>
              </w:tc>
              <w:tc>
                <w:tcPr>
                  <w:tcW w:w="765" w:type="dxa"/>
                  <w:shd w:val="clear" w:color="auto" w:fill="auto"/>
                  <w:vAlign w:val="center"/>
                </w:tcPr>
                <w:p w14:paraId="5D0B8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279D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EAA6B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196D0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375" w:type="dxa"/>
                  <w:shd w:val="clear" w:color="auto" w:fill="auto"/>
                  <w:vAlign w:val="center"/>
                </w:tcPr>
                <w:p w14:paraId="05295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D887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4040CF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127 </w:t>
                  </w:r>
                </w:p>
              </w:tc>
              <w:tc>
                <w:tcPr>
                  <w:tcW w:w="525" w:type="dxa"/>
                  <w:shd w:val="clear" w:color="auto" w:fill="auto"/>
                  <w:vAlign w:val="center"/>
                </w:tcPr>
                <w:p w14:paraId="14FF0D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3E148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95" w:type="dxa"/>
                  <w:shd w:val="clear" w:color="auto" w:fill="auto"/>
                  <w:vAlign w:val="center"/>
                </w:tcPr>
                <w:p w14:paraId="6E2C8B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158BAA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74C8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F3E69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4407B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3E774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89AF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655F60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6E43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49655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5B692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9ED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F9B01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214</w:t>
                  </w:r>
                </w:p>
              </w:tc>
              <w:tc>
                <w:tcPr>
                  <w:tcW w:w="1485" w:type="dxa"/>
                  <w:shd w:val="clear" w:color="auto" w:fill="auto"/>
                  <w:vAlign w:val="center"/>
                </w:tcPr>
                <w:p w14:paraId="649734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22#球道磨</w:t>
                  </w:r>
                </w:p>
              </w:tc>
              <w:tc>
                <w:tcPr>
                  <w:tcW w:w="765" w:type="dxa"/>
                  <w:shd w:val="clear" w:color="auto" w:fill="auto"/>
                  <w:vAlign w:val="center"/>
                </w:tcPr>
                <w:p w14:paraId="7E20B4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0586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A40C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407A2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375" w:type="dxa"/>
                  <w:shd w:val="clear" w:color="auto" w:fill="auto"/>
                  <w:vAlign w:val="center"/>
                </w:tcPr>
                <w:p w14:paraId="56D53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BF2B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1D10E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131 </w:t>
                  </w:r>
                </w:p>
              </w:tc>
              <w:tc>
                <w:tcPr>
                  <w:tcW w:w="525" w:type="dxa"/>
                  <w:shd w:val="clear" w:color="auto" w:fill="auto"/>
                  <w:vAlign w:val="center"/>
                </w:tcPr>
                <w:p w14:paraId="1344F4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66205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39 </w:t>
                  </w:r>
                </w:p>
              </w:tc>
              <w:tc>
                <w:tcPr>
                  <w:tcW w:w="495" w:type="dxa"/>
                  <w:shd w:val="clear" w:color="auto" w:fill="auto"/>
                  <w:vAlign w:val="center"/>
                </w:tcPr>
                <w:p w14:paraId="6AF3B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753D8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473CE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52CE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4227D5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F0734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C756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52FE2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7903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314D9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7BC64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140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9BC3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215</w:t>
                  </w:r>
                </w:p>
              </w:tc>
              <w:tc>
                <w:tcPr>
                  <w:tcW w:w="1485" w:type="dxa"/>
                  <w:shd w:val="clear" w:color="auto" w:fill="auto"/>
                  <w:vAlign w:val="center"/>
                </w:tcPr>
                <w:p w14:paraId="320FF2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23#球道磨</w:t>
                  </w:r>
                </w:p>
              </w:tc>
              <w:tc>
                <w:tcPr>
                  <w:tcW w:w="765" w:type="dxa"/>
                  <w:shd w:val="clear" w:color="auto" w:fill="auto"/>
                  <w:vAlign w:val="center"/>
                </w:tcPr>
                <w:p w14:paraId="6C402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A397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5765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62D8C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75" w:type="dxa"/>
                  <w:shd w:val="clear" w:color="auto" w:fill="auto"/>
                  <w:vAlign w:val="center"/>
                </w:tcPr>
                <w:p w14:paraId="623FA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8B9E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15F03F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135 </w:t>
                  </w:r>
                </w:p>
              </w:tc>
              <w:tc>
                <w:tcPr>
                  <w:tcW w:w="525" w:type="dxa"/>
                  <w:shd w:val="clear" w:color="auto" w:fill="auto"/>
                  <w:vAlign w:val="center"/>
                </w:tcPr>
                <w:p w14:paraId="18DEA1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65403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95" w:type="dxa"/>
                  <w:shd w:val="clear" w:color="auto" w:fill="auto"/>
                  <w:vAlign w:val="center"/>
                </w:tcPr>
                <w:p w14:paraId="326EA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1D48B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AAEB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7EF9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210B2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D40B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F15A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0F8199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6C73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4652E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57116F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328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5742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216</w:t>
                  </w:r>
                </w:p>
              </w:tc>
              <w:tc>
                <w:tcPr>
                  <w:tcW w:w="1485" w:type="dxa"/>
                  <w:shd w:val="clear" w:color="auto" w:fill="auto"/>
                  <w:vAlign w:val="center"/>
                </w:tcPr>
                <w:p w14:paraId="77EF7B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24#球道磨</w:t>
                  </w:r>
                </w:p>
              </w:tc>
              <w:tc>
                <w:tcPr>
                  <w:tcW w:w="765" w:type="dxa"/>
                  <w:shd w:val="clear" w:color="auto" w:fill="auto"/>
                  <w:vAlign w:val="center"/>
                </w:tcPr>
                <w:p w14:paraId="3E44F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635D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C3A4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7BFFFA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w:t>
                  </w:r>
                </w:p>
              </w:tc>
              <w:tc>
                <w:tcPr>
                  <w:tcW w:w="375" w:type="dxa"/>
                  <w:shd w:val="clear" w:color="auto" w:fill="auto"/>
                  <w:vAlign w:val="center"/>
                </w:tcPr>
                <w:p w14:paraId="65CA3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11C9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0C5E1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139 </w:t>
                  </w:r>
                </w:p>
              </w:tc>
              <w:tc>
                <w:tcPr>
                  <w:tcW w:w="525" w:type="dxa"/>
                  <w:shd w:val="clear" w:color="auto" w:fill="auto"/>
                  <w:vAlign w:val="center"/>
                </w:tcPr>
                <w:p w14:paraId="6AE00B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03EE98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495" w:type="dxa"/>
                  <w:shd w:val="clear" w:color="auto" w:fill="auto"/>
                  <w:vAlign w:val="center"/>
                </w:tcPr>
                <w:p w14:paraId="1C993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2564E9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05625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02F73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5A5DB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3C8E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2348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7F3B6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8CE5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41B0E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411CD2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059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D6C4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217</w:t>
                  </w:r>
                </w:p>
              </w:tc>
              <w:tc>
                <w:tcPr>
                  <w:tcW w:w="1485" w:type="dxa"/>
                  <w:shd w:val="clear" w:color="auto" w:fill="auto"/>
                  <w:vAlign w:val="center"/>
                </w:tcPr>
                <w:p w14:paraId="7B383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25#球道磨</w:t>
                  </w:r>
                </w:p>
              </w:tc>
              <w:tc>
                <w:tcPr>
                  <w:tcW w:w="765" w:type="dxa"/>
                  <w:shd w:val="clear" w:color="auto" w:fill="auto"/>
                  <w:vAlign w:val="center"/>
                </w:tcPr>
                <w:p w14:paraId="58EF8A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A310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D048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47FD62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w:t>
                  </w:r>
                </w:p>
              </w:tc>
              <w:tc>
                <w:tcPr>
                  <w:tcW w:w="375" w:type="dxa"/>
                  <w:shd w:val="clear" w:color="auto" w:fill="auto"/>
                  <w:vAlign w:val="center"/>
                </w:tcPr>
                <w:p w14:paraId="09BE7E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46AB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737D4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143 </w:t>
                  </w:r>
                </w:p>
              </w:tc>
              <w:tc>
                <w:tcPr>
                  <w:tcW w:w="525" w:type="dxa"/>
                  <w:shd w:val="clear" w:color="auto" w:fill="auto"/>
                  <w:vAlign w:val="center"/>
                </w:tcPr>
                <w:p w14:paraId="45F916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6A7CF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95" w:type="dxa"/>
                  <w:shd w:val="clear" w:color="auto" w:fill="auto"/>
                  <w:vAlign w:val="center"/>
                </w:tcPr>
                <w:p w14:paraId="6B7608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037FE6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0E09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EC1F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4" w:type="dxa"/>
                  <w:vMerge w:val="continue"/>
                  <w:shd w:val="clear" w:color="auto" w:fill="auto"/>
                  <w:vAlign w:val="center"/>
                </w:tcPr>
                <w:p w14:paraId="7A2B6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DA42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9DAA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10421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4F557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11F7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681" w:type="dxa"/>
                  <w:shd w:val="clear" w:color="auto" w:fill="auto"/>
                  <w:vAlign w:val="center"/>
                </w:tcPr>
                <w:p w14:paraId="3FA6B7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3A7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BE3C0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218</w:t>
                  </w:r>
                </w:p>
              </w:tc>
              <w:tc>
                <w:tcPr>
                  <w:tcW w:w="1485" w:type="dxa"/>
                  <w:shd w:val="clear" w:color="auto" w:fill="auto"/>
                  <w:vAlign w:val="center"/>
                </w:tcPr>
                <w:p w14:paraId="3C0E9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26#球道磨</w:t>
                  </w:r>
                </w:p>
              </w:tc>
              <w:tc>
                <w:tcPr>
                  <w:tcW w:w="765" w:type="dxa"/>
                  <w:shd w:val="clear" w:color="auto" w:fill="auto"/>
                  <w:vAlign w:val="center"/>
                </w:tcPr>
                <w:p w14:paraId="2161DE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2456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78E9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0E7F9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w:t>
                  </w:r>
                </w:p>
              </w:tc>
              <w:tc>
                <w:tcPr>
                  <w:tcW w:w="375" w:type="dxa"/>
                  <w:shd w:val="clear" w:color="auto" w:fill="auto"/>
                  <w:vAlign w:val="center"/>
                </w:tcPr>
                <w:p w14:paraId="646A4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0787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5050C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147 </w:t>
                  </w:r>
                </w:p>
              </w:tc>
              <w:tc>
                <w:tcPr>
                  <w:tcW w:w="525" w:type="dxa"/>
                  <w:shd w:val="clear" w:color="auto" w:fill="auto"/>
                  <w:vAlign w:val="center"/>
                </w:tcPr>
                <w:p w14:paraId="69C7D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55EA9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23 </w:t>
                  </w:r>
                </w:p>
              </w:tc>
              <w:tc>
                <w:tcPr>
                  <w:tcW w:w="495" w:type="dxa"/>
                  <w:shd w:val="clear" w:color="auto" w:fill="auto"/>
                  <w:vAlign w:val="center"/>
                </w:tcPr>
                <w:p w14:paraId="4A462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24674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1DA82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83F8B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4" w:type="dxa"/>
                  <w:vMerge w:val="continue"/>
                  <w:shd w:val="clear" w:color="auto" w:fill="auto"/>
                  <w:vAlign w:val="center"/>
                </w:tcPr>
                <w:p w14:paraId="78F458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DBBDA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D2227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0DFCD0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052BE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36103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681" w:type="dxa"/>
                  <w:shd w:val="clear" w:color="auto" w:fill="auto"/>
                  <w:vAlign w:val="center"/>
                </w:tcPr>
                <w:p w14:paraId="46F23B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9B2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F881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219</w:t>
                  </w:r>
                </w:p>
              </w:tc>
              <w:tc>
                <w:tcPr>
                  <w:tcW w:w="1485" w:type="dxa"/>
                  <w:shd w:val="clear" w:color="auto" w:fill="auto"/>
                  <w:vAlign w:val="center"/>
                </w:tcPr>
                <w:p w14:paraId="34288D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27#球道磨</w:t>
                  </w:r>
                </w:p>
              </w:tc>
              <w:tc>
                <w:tcPr>
                  <w:tcW w:w="765" w:type="dxa"/>
                  <w:shd w:val="clear" w:color="auto" w:fill="auto"/>
                  <w:vAlign w:val="center"/>
                </w:tcPr>
                <w:p w14:paraId="0DE9AF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30A9E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80EAC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7ADCB8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66</w:t>
                  </w:r>
                </w:p>
              </w:tc>
              <w:tc>
                <w:tcPr>
                  <w:tcW w:w="375" w:type="dxa"/>
                  <w:shd w:val="clear" w:color="auto" w:fill="auto"/>
                  <w:vAlign w:val="center"/>
                </w:tcPr>
                <w:p w14:paraId="040FB7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A44F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70" w:type="dxa"/>
                  <w:shd w:val="clear" w:color="auto" w:fill="auto"/>
                  <w:vAlign w:val="center"/>
                </w:tcPr>
                <w:p w14:paraId="7D7333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151 </w:t>
                  </w:r>
                </w:p>
              </w:tc>
              <w:tc>
                <w:tcPr>
                  <w:tcW w:w="525" w:type="dxa"/>
                  <w:shd w:val="clear" w:color="auto" w:fill="auto"/>
                  <w:vAlign w:val="center"/>
                </w:tcPr>
                <w:p w14:paraId="39B24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85" w:type="dxa"/>
                  <w:shd w:val="clear" w:color="auto" w:fill="auto"/>
                  <w:vAlign w:val="center"/>
                </w:tcPr>
                <w:p w14:paraId="5127B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19 </w:t>
                  </w:r>
                </w:p>
              </w:tc>
              <w:tc>
                <w:tcPr>
                  <w:tcW w:w="495" w:type="dxa"/>
                  <w:shd w:val="clear" w:color="auto" w:fill="auto"/>
                  <w:vAlign w:val="center"/>
                </w:tcPr>
                <w:p w14:paraId="4B76E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79344A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5EED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F2CA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84" w:type="dxa"/>
                  <w:vMerge w:val="continue"/>
                  <w:shd w:val="clear" w:color="auto" w:fill="auto"/>
                  <w:vAlign w:val="center"/>
                </w:tcPr>
                <w:p w14:paraId="12BBB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5695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F0CC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2A071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2A32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D139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681" w:type="dxa"/>
                  <w:shd w:val="clear" w:color="auto" w:fill="auto"/>
                  <w:vAlign w:val="center"/>
                </w:tcPr>
                <w:p w14:paraId="6BB4DB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7B9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E8755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220</w:t>
                  </w:r>
                </w:p>
              </w:tc>
              <w:tc>
                <w:tcPr>
                  <w:tcW w:w="1485" w:type="dxa"/>
                  <w:shd w:val="clear" w:color="auto" w:fill="auto"/>
                  <w:vAlign w:val="center"/>
                </w:tcPr>
                <w:p w14:paraId="42517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28#球道磨</w:t>
                  </w:r>
                </w:p>
              </w:tc>
              <w:tc>
                <w:tcPr>
                  <w:tcW w:w="765" w:type="dxa"/>
                  <w:shd w:val="clear" w:color="auto" w:fill="auto"/>
                  <w:vAlign w:val="center"/>
                </w:tcPr>
                <w:p w14:paraId="1301D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D141A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A599C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56380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w:t>
                  </w:r>
                </w:p>
              </w:tc>
              <w:tc>
                <w:tcPr>
                  <w:tcW w:w="375" w:type="dxa"/>
                  <w:shd w:val="clear" w:color="auto" w:fill="auto"/>
                  <w:vAlign w:val="center"/>
                </w:tcPr>
                <w:p w14:paraId="3D8DE5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D3BE3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70" w:type="dxa"/>
                  <w:shd w:val="clear" w:color="auto" w:fill="auto"/>
                  <w:vAlign w:val="center"/>
                </w:tcPr>
                <w:p w14:paraId="2D8469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147 </w:t>
                  </w:r>
                </w:p>
              </w:tc>
              <w:tc>
                <w:tcPr>
                  <w:tcW w:w="525" w:type="dxa"/>
                  <w:shd w:val="clear" w:color="auto" w:fill="auto"/>
                  <w:vAlign w:val="center"/>
                </w:tcPr>
                <w:p w14:paraId="5C96A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78 </w:t>
                  </w:r>
                </w:p>
              </w:tc>
              <w:tc>
                <w:tcPr>
                  <w:tcW w:w="585" w:type="dxa"/>
                  <w:shd w:val="clear" w:color="auto" w:fill="auto"/>
                  <w:vAlign w:val="center"/>
                </w:tcPr>
                <w:p w14:paraId="7B027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23 </w:t>
                  </w:r>
                </w:p>
              </w:tc>
              <w:tc>
                <w:tcPr>
                  <w:tcW w:w="495" w:type="dxa"/>
                  <w:shd w:val="clear" w:color="auto" w:fill="auto"/>
                  <w:vAlign w:val="center"/>
                </w:tcPr>
                <w:p w14:paraId="76EC9E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4D108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9D102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3823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4" w:type="dxa"/>
                  <w:vMerge w:val="continue"/>
                  <w:shd w:val="clear" w:color="auto" w:fill="auto"/>
                  <w:vAlign w:val="center"/>
                </w:tcPr>
                <w:p w14:paraId="07514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A799B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8180C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0B6BB0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CC1E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9F04B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681" w:type="dxa"/>
                  <w:shd w:val="clear" w:color="auto" w:fill="auto"/>
                  <w:vAlign w:val="center"/>
                </w:tcPr>
                <w:p w14:paraId="0B3D3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F37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96BA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221</w:t>
                  </w:r>
                </w:p>
              </w:tc>
              <w:tc>
                <w:tcPr>
                  <w:tcW w:w="1485" w:type="dxa"/>
                  <w:shd w:val="clear" w:color="auto" w:fill="auto"/>
                  <w:vAlign w:val="center"/>
                </w:tcPr>
                <w:p w14:paraId="00408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29#球道磨</w:t>
                  </w:r>
                </w:p>
              </w:tc>
              <w:tc>
                <w:tcPr>
                  <w:tcW w:w="765" w:type="dxa"/>
                  <w:shd w:val="clear" w:color="auto" w:fill="auto"/>
                  <w:vAlign w:val="center"/>
                </w:tcPr>
                <w:p w14:paraId="1754A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10B8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A540D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70B1D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375" w:type="dxa"/>
                  <w:shd w:val="clear" w:color="auto" w:fill="auto"/>
                  <w:vAlign w:val="center"/>
                </w:tcPr>
                <w:p w14:paraId="6A31E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AA8D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70" w:type="dxa"/>
                  <w:shd w:val="clear" w:color="auto" w:fill="auto"/>
                  <w:vAlign w:val="center"/>
                </w:tcPr>
                <w:p w14:paraId="522D4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140 </w:t>
                  </w:r>
                </w:p>
              </w:tc>
              <w:tc>
                <w:tcPr>
                  <w:tcW w:w="525" w:type="dxa"/>
                  <w:shd w:val="clear" w:color="auto" w:fill="auto"/>
                  <w:vAlign w:val="center"/>
                </w:tcPr>
                <w:p w14:paraId="65E8D1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78 </w:t>
                  </w:r>
                </w:p>
              </w:tc>
              <w:tc>
                <w:tcPr>
                  <w:tcW w:w="585" w:type="dxa"/>
                  <w:shd w:val="clear" w:color="auto" w:fill="auto"/>
                  <w:vAlign w:val="center"/>
                </w:tcPr>
                <w:p w14:paraId="2D9BB4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495" w:type="dxa"/>
                  <w:shd w:val="clear" w:color="auto" w:fill="auto"/>
                  <w:vAlign w:val="center"/>
                </w:tcPr>
                <w:p w14:paraId="5F4E4F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5F70D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4CBC0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87F4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3D393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4228C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8F7A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467483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9AB76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FBBA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1E9BCD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E84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064AC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222</w:t>
                  </w:r>
                </w:p>
              </w:tc>
              <w:tc>
                <w:tcPr>
                  <w:tcW w:w="1485" w:type="dxa"/>
                  <w:shd w:val="clear" w:color="auto" w:fill="auto"/>
                  <w:vAlign w:val="center"/>
                </w:tcPr>
                <w:p w14:paraId="0DC3A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30#球道磨</w:t>
                  </w:r>
                </w:p>
              </w:tc>
              <w:tc>
                <w:tcPr>
                  <w:tcW w:w="765" w:type="dxa"/>
                  <w:shd w:val="clear" w:color="auto" w:fill="auto"/>
                  <w:vAlign w:val="center"/>
                </w:tcPr>
                <w:p w14:paraId="360C6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A597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7A946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1B411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w:t>
                  </w:r>
                </w:p>
              </w:tc>
              <w:tc>
                <w:tcPr>
                  <w:tcW w:w="375" w:type="dxa"/>
                  <w:shd w:val="clear" w:color="auto" w:fill="auto"/>
                  <w:vAlign w:val="center"/>
                </w:tcPr>
                <w:p w14:paraId="55D95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6837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70" w:type="dxa"/>
                  <w:shd w:val="clear" w:color="auto" w:fill="auto"/>
                  <w:vAlign w:val="center"/>
                </w:tcPr>
                <w:p w14:paraId="0A607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133 </w:t>
                  </w:r>
                </w:p>
              </w:tc>
              <w:tc>
                <w:tcPr>
                  <w:tcW w:w="525" w:type="dxa"/>
                  <w:shd w:val="clear" w:color="auto" w:fill="auto"/>
                  <w:vAlign w:val="center"/>
                </w:tcPr>
                <w:p w14:paraId="04C16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78 </w:t>
                  </w:r>
                </w:p>
              </w:tc>
              <w:tc>
                <w:tcPr>
                  <w:tcW w:w="585" w:type="dxa"/>
                  <w:shd w:val="clear" w:color="auto" w:fill="auto"/>
                  <w:vAlign w:val="center"/>
                </w:tcPr>
                <w:p w14:paraId="6C04C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495" w:type="dxa"/>
                  <w:shd w:val="clear" w:color="auto" w:fill="auto"/>
                  <w:vAlign w:val="center"/>
                </w:tcPr>
                <w:p w14:paraId="7B5A01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68ABA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E4FF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597C8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323349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7664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826F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244056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2D195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BF9D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0CE4AD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80C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E7806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223</w:t>
                  </w:r>
                </w:p>
              </w:tc>
              <w:tc>
                <w:tcPr>
                  <w:tcW w:w="1485" w:type="dxa"/>
                  <w:shd w:val="clear" w:color="auto" w:fill="auto"/>
                  <w:vAlign w:val="center"/>
                </w:tcPr>
                <w:p w14:paraId="728A0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31#球道磨</w:t>
                  </w:r>
                </w:p>
              </w:tc>
              <w:tc>
                <w:tcPr>
                  <w:tcW w:w="765" w:type="dxa"/>
                  <w:shd w:val="clear" w:color="auto" w:fill="auto"/>
                  <w:vAlign w:val="center"/>
                </w:tcPr>
                <w:p w14:paraId="763C6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73C8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9A09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4D223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w:t>
                  </w:r>
                </w:p>
              </w:tc>
              <w:tc>
                <w:tcPr>
                  <w:tcW w:w="375" w:type="dxa"/>
                  <w:shd w:val="clear" w:color="auto" w:fill="auto"/>
                  <w:vAlign w:val="center"/>
                </w:tcPr>
                <w:p w14:paraId="4CAF7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34EF1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70" w:type="dxa"/>
                  <w:shd w:val="clear" w:color="auto" w:fill="auto"/>
                  <w:vAlign w:val="center"/>
                </w:tcPr>
                <w:p w14:paraId="1D637F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126 </w:t>
                  </w:r>
                </w:p>
              </w:tc>
              <w:tc>
                <w:tcPr>
                  <w:tcW w:w="525" w:type="dxa"/>
                  <w:shd w:val="clear" w:color="auto" w:fill="auto"/>
                  <w:vAlign w:val="center"/>
                </w:tcPr>
                <w:p w14:paraId="05228C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78 </w:t>
                  </w:r>
                </w:p>
              </w:tc>
              <w:tc>
                <w:tcPr>
                  <w:tcW w:w="585" w:type="dxa"/>
                  <w:shd w:val="clear" w:color="auto" w:fill="auto"/>
                  <w:vAlign w:val="center"/>
                </w:tcPr>
                <w:p w14:paraId="7B259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495" w:type="dxa"/>
                  <w:shd w:val="clear" w:color="auto" w:fill="auto"/>
                  <w:vAlign w:val="center"/>
                </w:tcPr>
                <w:p w14:paraId="4768D2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7159F7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30F8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5DCF3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6C507F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CE068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94349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2F4DDD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634A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28609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5BCAE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09E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09870E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224</w:t>
                  </w:r>
                </w:p>
              </w:tc>
              <w:tc>
                <w:tcPr>
                  <w:tcW w:w="1485" w:type="dxa"/>
                  <w:shd w:val="clear" w:color="auto" w:fill="auto"/>
                  <w:vAlign w:val="center"/>
                </w:tcPr>
                <w:p w14:paraId="1C039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32#球道磨</w:t>
                  </w:r>
                </w:p>
              </w:tc>
              <w:tc>
                <w:tcPr>
                  <w:tcW w:w="765" w:type="dxa"/>
                  <w:shd w:val="clear" w:color="auto" w:fill="auto"/>
                  <w:vAlign w:val="center"/>
                </w:tcPr>
                <w:p w14:paraId="77FB17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D31D3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35D2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56F78B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375" w:type="dxa"/>
                  <w:shd w:val="clear" w:color="auto" w:fill="auto"/>
                  <w:vAlign w:val="center"/>
                </w:tcPr>
                <w:p w14:paraId="3F33A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D05FF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70" w:type="dxa"/>
                  <w:shd w:val="clear" w:color="auto" w:fill="auto"/>
                  <w:vAlign w:val="center"/>
                </w:tcPr>
                <w:p w14:paraId="1FB765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119 </w:t>
                  </w:r>
                </w:p>
              </w:tc>
              <w:tc>
                <w:tcPr>
                  <w:tcW w:w="525" w:type="dxa"/>
                  <w:shd w:val="clear" w:color="auto" w:fill="auto"/>
                  <w:vAlign w:val="center"/>
                </w:tcPr>
                <w:p w14:paraId="6B43DE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78 </w:t>
                  </w:r>
                </w:p>
              </w:tc>
              <w:tc>
                <w:tcPr>
                  <w:tcW w:w="585" w:type="dxa"/>
                  <w:shd w:val="clear" w:color="auto" w:fill="auto"/>
                  <w:vAlign w:val="center"/>
                </w:tcPr>
                <w:p w14:paraId="4F499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95" w:type="dxa"/>
                  <w:shd w:val="clear" w:color="auto" w:fill="auto"/>
                  <w:vAlign w:val="center"/>
                </w:tcPr>
                <w:p w14:paraId="75754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41EE5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F55A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7A201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31A0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2F8F6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BBC85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60DE95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3D9B3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B6DB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05CF2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A26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BBE0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225</w:t>
                  </w:r>
                </w:p>
              </w:tc>
              <w:tc>
                <w:tcPr>
                  <w:tcW w:w="1485" w:type="dxa"/>
                  <w:shd w:val="clear" w:color="auto" w:fill="auto"/>
                  <w:vAlign w:val="center"/>
                </w:tcPr>
                <w:p w14:paraId="377911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33#球道磨</w:t>
                  </w:r>
                </w:p>
              </w:tc>
              <w:tc>
                <w:tcPr>
                  <w:tcW w:w="765" w:type="dxa"/>
                  <w:shd w:val="clear" w:color="auto" w:fill="auto"/>
                  <w:vAlign w:val="center"/>
                </w:tcPr>
                <w:p w14:paraId="20611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EC262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DB15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630" w:type="dxa"/>
                  <w:shd w:val="clear" w:color="auto" w:fill="auto"/>
                  <w:vAlign w:val="center"/>
                </w:tcPr>
                <w:p w14:paraId="2139B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c>
                <w:tcPr>
                  <w:tcW w:w="375" w:type="dxa"/>
                  <w:shd w:val="clear" w:color="auto" w:fill="auto"/>
                  <w:vAlign w:val="center"/>
                </w:tcPr>
                <w:p w14:paraId="1F4ABD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6D5D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570" w:type="dxa"/>
                  <w:shd w:val="clear" w:color="auto" w:fill="auto"/>
                  <w:vAlign w:val="center"/>
                </w:tcPr>
                <w:p w14:paraId="39FD3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525" w:type="dxa"/>
                  <w:shd w:val="clear" w:color="auto" w:fill="auto"/>
                  <w:vAlign w:val="center"/>
                </w:tcPr>
                <w:p w14:paraId="5B084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78 </w:t>
                  </w:r>
                </w:p>
              </w:tc>
              <w:tc>
                <w:tcPr>
                  <w:tcW w:w="585" w:type="dxa"/>
                  <w:shd w:val="clear" w:color="auto" w:fill="auto"/>
                  <w:vAlign w:val="center"/>
                </w:tcPr>
                <w:p w14:paraId="0E952C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495" w:type="dxa"/>
                  <w:shd w:val="clear" w:color="auto" w:fill="auto"/>
                  <w:vAlign w:val="center"/>
                </w:tcPr>
                <w:p w14:paraId="77E758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66E4EA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E8B7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6E3F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63AF6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F70C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49BE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162EBD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8C69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A07C5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5C59F2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436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7CFA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226</w:t>
                  </w:r>
                </w:p>
              </w:tc>
              <w:tc>
                <w:tcPr>
                  <w:tcW w:w="1485" w:type="dxa"/>
                  <w:shd w:val="clear" w:color="auto" w:fill="auto"/>
                  <w:vAlign w:val="center"/>
                </w:tcPr>
                <w:p w14:paraId="0194F1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34#球道磨</w:t>
                  </w:r>
                </w:p>
              </w:tc>
              <w:tc>
                <w:tcPr>
                  <w:tcW w:w="765" w:type="dxa"/>
                  <w:shd w:val="clear" w:color="auto" w:fill="auto"/>
                  <w:vAlign w:val="center"/>
                </w:tcPr>
                <w:p w14:paraId="7CBC9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CFDF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F8962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630" w:type="dxa"/>
                  <w:shd w:val="clear" w:color="auto" w:fill="auto"/>
                  <w:vAlign w:val="center"/>
                </w:tcPr>
                <w:p w14:paraId="41D3C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w:t>
                  </w:r>
                </w:p>
              </w:tc>
              <w:tc>
                <w:tcPr>
                  <w:tcW w:w="375" w:type="dxa"/>
                  <w:shd w:val="clear" w:color="auto" w:fill="auto"/>
                  <w:vAlign w:val="center"/>
                </w:tcPr>
                <w:p w14:paraId="6B463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7793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570" w:type="dxa"/>
                  <w:shd w:val="clear" w:color="auto" w:fill="auto"/>
                  <w:vAlign w:val="center"/>
                </w:tcPr>
                <w:p w14:paraId="235F0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142 </w:t>
                  </w:r>
                </w:p>
              </w:tc>
              <w:tc>
                <w:tcPr>
                  <w:tcW w:w="525" w:type="dxa"/>
                  <w:shd w:val="clear" w:color="auto" w:fill="auto"/>
                  <w:vAlign w:val="center"/>
                </w:tcPr>
                <w:p w14:paraId="04406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 </w:t>
                  </w:r>
                </w:p>
              </w:tc>
              <w:tc>
                <w:tcPr>
                  <w:tcW w:w="585" w:type="dxa"/>
                  <w:shd w:val="clear" w:color="auto" w:fill="auto"/>
                  <w:vAlign w:val="center"/>
                </w:tcPr>
                <w:p w14:paraId="089CA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95" w:type="dxa"/>
                  <w:shd w:val="clear" w:color="auto" w:fill="auto"/>
                  <w:vAlign w:val="center"/>
                </w:tcPr>
                <w:p w14:paraId="5C124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534BB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C6858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8997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4" w:type="dxa"/>
                  <w:vMerge w:val="continue"/>
                  <w:shd w:val="clear" w:color="auto" w:fill="auto"/>
                  <w:vAlign w:val="center"/>
                </w:tcPr>
                <w:p w14:paraId="7423D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E4EF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A25E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36A9C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48C7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20165B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681" w:type="dxa"/>
                  <w:shd w:val="clear" w:color="auto" w:fill="auto"/>
                  <w:vAlign w:val="center"/>
                </w:tcPr>
                <w:p w14:paraId="1173B0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ADC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F6AB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227</w:t>
                  </w:r>
                </w:p>
              </w:tc>
              <w:tc>
                <w:tcPr>
                  <w:tcW w:w="1485" w:type="dxa"/>
                  <w:shd w:val="clear" w:color="auto" w:fill="auto"/>
                  <w:vAlign w:val="center"/>
                </w:tcPr>
                <w:p w14:paraId="318C8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35#球道磨</w:t>
                  </w:r>
                </w:p>
              </w:tc>
              <w:tc>
                <w:tcPr>
                  <w:tcW w:w="765" w:type="dxa"/>
                  <w:shd w:val="clear" w:color="auto" w:fill="auto"/>
                  <w:vAlign w:val="center"/>
                </w:tcPr>
                <w:p w14:paraId="13E74E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35C5B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736C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630" w:type="dxa"/>
                  <w:shd w:val="clear" w:color="auto" w:fill="auto"/>
                  <w:vAlign w:val="center"/>
                </w:tcPr>
                <w:p w14:paraId="1FF4A3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53</w:t>
                  </w:r>
                </w:p>
              </w:tc>
              <w:tc>
                <w:tcPr>
                  <w:tcW w:w="375" w:type="dxa"/>
                  <w:shd w:val="clear" w:color="auto" w:fill="auto"/>
                  <w:vAlign w:val="center"/>
                </w:tcPr>
                <w:p w14:paraId="7E920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879F4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570" w:type="dxa"/>
                  <w:shd w:val="clear" w:color="auto" w:fill="auto"/>
                  <w:vAlign w:val="center"/>
                </w:tcPr>
                <w:p w14:paraId="51B2E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138 </w:t>
                  </w:r>
                </w:p>
              </w:tc>
              <w:tc>
                <w:tcPr>
                  <w:tcW w:w="525" w:type="dxa"/>
                  <w:shd w:val="clear" w:color="auto" w:fill="auto"/>
                  <w:vAlign w:val="center"/>
                </w:tcPr>
                <w:p w14:paraId="6FA5C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 </w:t>
                  </w:r>
                </w:p>
              </w:tc>
              <w:tc>
                <w:tcPr>
                  <w:tcW w:w="585" w:type="dxa"/>
                  <w:shd w:val="clear" w:color="auto" w:fill="auto"/>
                  <w:vAlign w:val="center"/>
                </w:tcPr>
                <w:p w14:paraId="631ED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95" w:type="dxa"/>
                  <w:shd w:val="clear" w:color="auto" w:fill="auto"/>
                  <w:vAlign w:val="center"/>
                </w:tcPr>
                <w:p w14:paraId="5A52E9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26D36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2007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57E126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0AD4B4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5F82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8AB23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2D258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7729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479D9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205F52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F40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0CA57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228</w:t>
                  </w:r>
                </w:p>
              </w:tc>
              <w:tc>
                <w:tcPr>
                  <w:tcW w:w="1485" w:type="dxa"/>
                  <w:shd w:val="clear" w:color="auto" w:fill="auto"/>
                  <w:vAlign w:val="center"/>
                </w:tcPr>
                <w:p w14:paraId="04D86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36#球道磨</w:t>
                  </w:r>
                </w:p>
              </w:tc>
              <w:tc>
                <w:tcPr>
                  <w:tcW w:w="765" w:type="dxa"/>
                  <w:shd w:val="clear" w:color="auto" w:fill="auto"/>
                  <w:vAlign w:val="center"/>
                </w:tcPr>
                <w:p w14:paraId="0CFA0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2831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1BA76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630" w:type="dxa"/>
                  <w:shd w:val="clear" w:color="auto" w:fill="auto"/>
                  <w:vAlign w:val="center"/>
                </w:tcPr>
                <w:p w14:paraId="70268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375" w:type="dxa"/>
                  <w:shd w:val="clear" w:color="auto" w:fill="auto"/>
                  <w:vAlign w:val="center"/>
                </w:tcPr>
                <w:p w14:paraId="66256D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4368B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570" w:type="dxa"/>
                  <w:shd w:val="clear" w:color="auto" w:fill="auto"/>
                  <w:vAlign w:val="center"/>
                </w:tcPr>
                <w:p w14:paraId="7F051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134 </w:t>
                  </w:r>
                </w:p>
              </w:tc>
              <w:tc>
                <w:tcPr>
                  <w:tcW w:w="525" w:type="dxa"/>
                  <w:shd w:val="clear" w:color="auto" w:fill="auto"/>
                  <w:vAlign w:val="center"/>
                </w:tcPr>
                <w:p w14:paraId="77163D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 </w:t>
                  </w:r>
                </w:p>
              </w:tc>
              <w:tc>
                <w:tcPr>
                  <w:tcW w:w="585" w:type="dxa"/>
                  <w:shd w:val="clear" w:color="auto" w:fill="auto"/>
                  <w:vAlign w:val="center"/>
                </w:tcPr>
                <w:p w14:paraId="45702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495" w:type="dxa"/>
                  <w:shd w:val="clear" w:color="auto" w:fill="auto"/>
                  <w:vAlign w:val="center"/>
                </w:tcPr>
                <w:p w14:paraId="3DE594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18183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98FF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3D3D2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60F023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59DB8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8D10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7DAB7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84335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379EA0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0D6EED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60E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6904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229</w:t>
                  </w:r>
                </w:p>
              </w:tc>
              <w:tc>
                <w:tcPr>
                  <w:tcW w:w="1485" w:type="dxa"/>
                  <w:shd w:val="clear" w:color="auto" w:fill="auto"/>
                  <w:vAlign w:val="center"/>
                </w:tcPr>
                <w:p w14:paraId="231AE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37#球道磨</w:t>
                  </w:r>
                </w:p>
              </w:tc>
              <w:tc>
                <w:tcPr>
                  <w:tcW w:w="765" w:type="dxa"/>
                  <w:shd w:val="clear" w:color="auto" w:fill="auto"/>
                  <w:vAlign w:val="center"/>
                </w:tcPr>
                <w:p w14:paraId="7C513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1780F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2BDA4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630" w:type="dxa"/>
                  <w:shd w:val="clear" w:color="auto" w:fill="auto"/>
                  <w:vAlign w:val="center"/>
                </w:tcPr>
                <w:p w14:paraId="356AD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375" w:type="dxa"/>
                  <w:shd w:val="clear" w:color="auto" w:fill="auto"/>
                  <w:vAlign w:val="center"/>
                </w:tcPr>
                <w:p w14:paraId="039AA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AFA50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570" w:type="dxa"/>
                  <w:shd w:val="clear" w:color="auto" w:fill="auto"/>
                  <w:vAlign w:val="center"/>
                </w:tcPr>
                <w:p w14:paraId="65C7FB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130 </w:t>
                  </w:r>
                </w:p>
              </w:tc>
              <w:tc>
                <w:tcPr>
                  <w:tcW w:w="525" w:type="dxa"/>
                  <w:shd w:val="clear" w:color="auto" w:fill="auto"/>
                  <w:vAlign w:val="center"/>
                </w:tcPr>
                <w:p w14:paraId="25C0F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 </w:t>
                  </w:r>
                </w:p>
              </w:tc>
              <w:tc>
                <w:tcPr>
                  <w:tcW w:w="585" w:type="dxa"/>
                  <w:shd w:val="clear" w:color="auto" w:fill="auto"/>
                  <w:vAlign w:val="center"/>
                </w:tcPr>
                <w:p w14:paraId="22D174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40 </w:t>
                  </w:r>
                </w:p>
              </w:tc>
              <w:tc>
                <w:tcPr>
                  <w:tcW w:w="495" w:type="dxa"/>
                  <w:shd w:val="clear" w:color="auto" w:fill="auto"/>
                  <w:vAlign w:val="center"/>
                </w:tcPr>
                <w:p w14:paraId="5F4730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1E003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68B3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E661E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29E029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C0240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3B2F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78CBCC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1B4D1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3DFF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6364C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684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031C5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230</w:t>
                  </w:r>
                </w:p>
              </w:tc>
              <w:tc>
                <w:tcPr>
                  <w:tcW w:w="1485" w:type="dxa"/>
                  <w:shd w:val="clear" w:color="auto" w:fill="auto"/>
                  <w:vAlign w:val="center"/>
                </w:tcPr>
                <w:p w14:paraId="4862F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38#球道磨</w:t>
                  </w:r>
                </w:p>
              </w:tc>
              <w:tc>
                <w:tcPr>
                  <w:tcW w:w="765" w:type="dxa"/>
                  <w:shd w:val="clear" w:color="auto" w:fill="auto"/>
                  <w:vAlign w:val="center"/>
                </w:tcPr>
                <w:p w14:paraId="216D0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823C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658E7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630" w:type="dxa"/>
                  <w:shd w:val="clear" w:color="auto" w:fill="auto"/>
                  <w:vAlign w:val="center"/>
                </w:tcPr>
                <w:p w14:paraId="2125E7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w:t>
                  </w:r>
                </w:p>
              </w:tc>
              <w:tc>
                <w:tcPr>
                  <w:tcW w:w="375" w:type="dxa"/>
                  <w:shd w:val="clear" w:color="auto" w:fill="auto"/>
                  <w:vAlign w:val="center"/>
                </w:tcPr>
                <w:p w14:paraId="3E728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483D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570" w:type="dxa"/>
                  <w:shd w:val="clear" w:color="auto" w:fill="auto"/>
                  <w:vAlign w:val="center"/>
                </w:tcPr>
                <w:p w14:paraId="579F01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126 </w:t>
                  </w:r>
                </w:p>
              </w:tc>
              <w:tc>
                <w:tcPr>
                  <w:tcW w:w="525" w:type="dxa"/>
                  <w:shd w:val="clear" w:color="auto" w:fill="auto"/>
                  <w:vAlign w:val="center"/>
                </w:tcPr>
                <w:p w14:paraId="3A4DF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 </w:t>
                  </w:r>
                </w:p>
              </w:tc>
              <w:tc>
                <w:tcPr>
                  <w:tcW w:w="585" w:type="dxa"/>
                  <w:shd w:val="clear" w:color="auto" w:fill="auto"/>
                  <w:vAlign w:val="center"/>
                </w:tcPr>
                <w:p w14:paraId="5B756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 </w:t>
                  </w:r>
                </w:p>
              </w:tc>
              <w:tc>
                <w:tcPr>
                  <w:tcW w:w="495" w:type="dxa"/>
                  <w:shd w:val="clear" w:color="auto" w:fill="auto"/>
                  <w:vAlign w:val="center"/>
                </w:tcPr>
                <w:p w14:paraId="0DDD17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203D2C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42A3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3F679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0A71B7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4404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25E16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6F956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2C3B6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C31D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1E02E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290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43293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231</w:t>
                  </w:r>
                </w:p>
              </w:tc>
              <w:tc>
                <w:tcPr>
                  <w:tcW w:w="1485" w:type="dxa"/>
                  <w:shd w:val="clear" w:color="auto" w:fill="auto"/>
                  <w:vAlign w:val="center"/>
                </w:tcPr>
                <w:p w14:paraId="6945AD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39#球道磨</w:t>
                  </w:r>
                </w:p>
              </w:tc>
              <w:tc>
                <w:tcPr>
                  <w:tcW w:w="765" w:type="dxa"/>
                  <w:shd w:val="clear" w:color="auto" w:fill="auto"/>
                  <w:vAlign w:val="center"/>
                </w:tcPr>
                <w:p w14:paraId="5F52C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F5E7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0B643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630" w:type="dxa"/>
                  <w:shd w:val="clear" w:color="auto" w:fill="auto"/>
                  <w:vAlign w:val="center"/>
                </w:tcPr>
                <w:p w14:paraId="3749C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w:t>
                  </w:r>
                </w:p>
              </w:tc>
              <w:tc>
                <w:tcPr>
                  <w:tcW w:w="375" w:type="dxa"/>
                  <w:shd w:val="clear" w:color="auto" w:fill="auto"/>
                  <w:vAlign w:val="center"/>
                </w:tcPr>
                <w:p w14:paraId="0BBD3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CA94E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570" w:type="dxa"/>
                  <w:shd w:val="clear" w:color="auto" w:fill="auto"/>
                  <w:vAlign w:val="center"/>
                </w:tcPr>
                <w:p w14:paraId="0BA311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122 </w:t>
                  </w:r>
                </w:p>
              </w:tc>
              <w:tc>
                <w:tcPr>
                  <w:tcW w:w="525" w:type="dxa"/>
                  <w:shd w:val="clear" w:color="auto" w:fill="auto"/>
                  <w:vAlign w:val="center"/>
                </w:tcPr>
                <w:p w14:paraId="53062F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 </w:t>
                  </w:r>
                </w:p>
              </w:tc>
              <w:tc>
                <w:tcPr>
                  <w:tcW w:w="585" w:type="dxa"/>
                  <w:shd w:val="clear" w:color="auto" w:fill="auto"/>
                  <w:vAlign w:val="center"/>
                </w:tcPr>
                <w:p w14:paraId="05B3A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95" w:type="dxa"/>
                  <w:shd w:val="clear" w:color="auto" w:fill="auto"/>
                  <w:vAlign w:val="center"/>
                </w:tcPr>
                <w:p w14:paraId="063B3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0" w:type="dxa"/>
                  <w:shd w:val="clear" w:color="auto" w:fill="auto"/>
                  <w:vAlign w:val="center"/>
                </w:tcPr>
                <w:p w14:paraId="502E9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F718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BB65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72F09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8A0DD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2788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80" w:type="dxa"/>
                  <w:shd w:val="clear" w:color="auto" w:fill="auto"/>
                  <w:vAlign w:val="center"/>
                </w:tcPr>
                <w:p w14:paraId="7723E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0E84D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7E85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129EE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D7F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142C0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232</w:t>
                  </w:r>
                </w:p>
              </w:tc>
              <w:tc>
                <w:tcPr>
                  <w:tcW w:w="1485" w:type="dxa"/>
                  <w:shd w:val="clear" w:color="auto" w:fill="auto"/>
                  <w:vAlign w:val="center"/>
                </w:tcPr>
                <w:p w14:paraId="7AB70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40#球道磨</w:t>
                  </w:r>
                </w:p>
              </w:tc>
              <w:tc>
                <w:tcPr>
                  <w:tcW w:w="765" w:type="dxa"/>
                  <w:shd w:val="clear" w:color="auto" w:fill="auto"/>
                  <w:vAlign w:val="center"/>
                </w:tcPr>
                <w:p w14:paraId="58EB9D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96D0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5FF64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1B329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w:t>
                  </w:r>
                </w:p>
              </w:tc>
              <w:tc>
                <w:tcPr>
                  <w:tcW w:w="375" w:type="dxa"/>
                  <w:shd w:val="clear" w:color="auto" w:fill="auto"/>
                  <w:vAlign w:val="center"/>
                </w:tcPr>
                <w:p w14:paraId="1E1D1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192B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3E4E3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139 </w:t>
                  </w:r>
                </w:p>
              </w:tc>
              <w:tc>
                <w:tcPr>
                  <w:tcW w:w="525" w:type="dxa"/>
                  <w:shd w:val="clear" w:color="auto" w:fill="auto"/>
                  <w:vAlign w:val="center"/>
                </w:tcPr>
                <w:p w14:paraId="74E62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22280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495" w:type="dxa"/>
                  <w:shd w:val="clear" w:color="auto" w:fill="auto"/>
                  <w:vAlign w:val="center"/>
                </w:tcPr>
                <w:p w14:paraId="0D164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B33F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97724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39962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40B87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85D6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2AC3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36D8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AF3E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6983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57D944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113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B8E1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233</w:t>
                  </w:r>
                </w:p>
              </w:tc>
              <w:tc>
                <w:tcPr>
                  <w:tcW w:w="1485" w:type="dxa"/>
                  <w:shd w:val="clear" w:color="auto" w:fill="auto"/>
                  <w:vAlign w:val="center"/>
                </w:tcPr>
                <w:p w14:paraId="6B703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41#球道磨</w:t>
                  </w:r>
                </w:p>
              </w:tc>
              <w:tc>
                <w:tcPr>
                  <w:tcW w:w="765" w:type="dxa"/>
                  <w:shd w:val="clear" w:color="auto" w:fill="auto"/>
                  <w:vAlign w:val="center"/>
                </w:tcPr>
                <w:p w14:paraId="3C091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069D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54E96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689C2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375" w:type="dxa"/>
                  <w:shd w:val="clear" w:color="auto" w:fill="auto"/>
                  <w:vAlign w:val="center"/>
                </w:tcPr>
                <w:p w14:paraId="65461E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11227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1BEAAE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136 </w:t>
                  </w:r>
                </w:p>
              </w:tc>
              <w:tc>
                <w:tcPr>
                  <w:tcW w:w="525" w:type="dxa"/>
                  <w:shd w:val="clear" w:color="auto" w:fill="auto"/>
                  <w:vAlign w:val="center"/>
                </w:tcPr>
                <w:p w14:paraId="7CBCED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6B359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34 </w:t>
                  </w:r>
                </w:p>
              </w:tc>
              <w:tc>
                <w:tcPr>
                  <w:tcW w:w="495" w:type="dxa"/>
                  <w:shd w:val="clear" w:color="auto" w:fill="auto"/>
                  <w:vAlign w:val="center"/>
                </w:tcPr>
                <w:p w14:paraId="14AFCE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1B2A43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9910F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584DBE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11F84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3252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4BDE9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49EB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8AAF9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6305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2B7872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9BA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061A0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234</w:t>
                  </w:r>
                </w:p>
              </w:tc>
              <w:tc>
                <w:tcPr>
                  <w:tcW w:w="1485" w:type="dxa"/>
                  <w:shd w:val="clear" w:color="auto" w:fill="auto"/>
                  <w:vAlign w:val="center"/>
                </w:tcPr>
                <w:p w14:paraId="545324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42#球道磨</w:t>
                  </w:r>
                </w:p>
              </w:tc>
              <w:tc>
                <w:tcPr>
                  <w:tcW w:w="765" w:type="dxa"/>
                  <w:shd w:val="clear" w:color="auto" w:fill="auto"/>
                  <w:vAlign w:val="center"/>
                </w:tcPr>
                <w:p w14:paraId="48E02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A7FE4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74B4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473E6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w:t>
                  </w:r>
                </w:p>
              </w:tc>
              <w:tc>
                <w:tcPr>
                  <w:tcW w:w="375" w:type="dxa"/>
                  <w:shd w:val="clear" w:color="auto" w:fill="auto"/>
                  <w:vAlign w:val="center"/>
                </w:tcPr>
                <w:p w14:paraId="4B105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F54B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3D0CA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133 </w:t>
                  </w:r>
                </w:p>
              </w:tc>
              <w:tc>
                <w:tcPr>
                  <w:tcW w:w="525" w:type="dxa"/>
                  <w:shd w:val="clear" w:color="auto" w:fill="auto"/>
                  <w:vAlign w:val="center"/>
                </w:tcPr>
                <w:p w14:paraId="3DCB0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068DA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495" w:type="dxa"/>
                  <w:shd w:val="clear" w:color="auto" w:fill="auto"/>
                  <w:vAlign w:val="center"/>
                </w:tcPr>
                <w:p w14:paraId="2BB26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7B8E0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A2DB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A3B4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676AA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054A6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AE494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655A6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787A8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CEB2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1D798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89B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04872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235</w:t>
                  </w:r>
                </w:p>
              </w:tc>
              <w:tc>
                <w:tcPr>
                  <w:tcW w:w="1485" w:type="dxa"/>
                  <w:shd w:val="clear" w:color="auto" w:fill="auto"/>
                  <w:vAlign w:val="center"/>
                </w:tcPr>
                <w:p w14:paraId="50666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43#球道磨</w:t>
                  </w:r>
                </w:p>
              </w:tc>
              <w:tc>
                <w:tcPr>
                  <w:tcW w:w="765" w:type="dxa"/>
                  <w:shd w:val="clear" w:color="auto" w:fill="auto"/>
                  <w:vAlign w:val="center"/>
                </w:tcPr>
                <w:p w14:paraId="750ED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5606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771E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432F5F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375" w:type="dxa"/>
                  <w:shd w:val="clear" w:color="auto" w:fill="auto"/>
                  <w:vAlign w:val="center"/>
                </w:tcPr>
                <w:p w14:paraId="57FB6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7BE7D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085FC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130 </w:t>
                  </w:r>
                </w:p>
              </w:tc>
              <w:tc>
                <w:tcPr>
                  <w:tcW w:w="525" w:type="dxa"/>
                  <w:shd w:val="clear" w:color="auto" w:fill="auto"/>
                  <w:vAlign w:val="center"/>
                </w:tcPr>
                <w:p w14:paraId="7752F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2D632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40 </w:t>
                  </w:r>
                </w:p>
              </w:tc>
              <w:tc>
                <w:tcPr>
                  <w:tcW w:w="495" w:type="dxa"/>
                  <w:shd w:val="clear" w:color="auto" w:fill="auto"/>
                  <w:vAlign w:val="center"/>
                </w:tcPr>
                <w:p w14:paraId="0E1CD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7550E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1902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26736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5ACF72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7725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3BC6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70327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55609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1F922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1FBC8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977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0CBFE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236</w:t>
                  </w:r>
                </w:p>
              </w:tc>
              <w:tc>
                <w:tcPr>
                  <w:tcW w:w="1485" w:type="dxa"/>
                  <w:shd w:val="clear" w:color="auto" w:fill="auto"/>
                  <w:vAlign w:val="center"/>
                </w:tcPr>
                <w:p w14:paraId="0F99A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44#球道磨</w:t>
                  </w:r>
                </w:p>
              </w:tc>
              <w:tc>
                <w:tcPr>
                  <w:tcW w:w="765" w:type="dxa"/>
                  <w:shd w:val="clear" w:color="auto" w:fill="auto"/>
                  <w:vAlign w:val="center"/>
                </w:tcPr>
                <w:p w14:paraId="547A7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AE3A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E3B66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5A985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375" w:type="dxa"/>
                  <w:shd w:val="clear" w:color="auto" w:fill="auto"/>
                  <w:vAlign w:val="center"/>
                </w:tcPr>
                <w:p w14:paraId="481B65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78576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1FBF5C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127 </w:t>
                  </w:r>
                </w:p>
              </w:tc>
              <w:tc>
                <w:tcPr>
                  <w:tcW w:w="525" w:type="dxa"/>
                  <w:shd w:val="clear" w:color="auto" w:fill="auto"/>
                  <w:vAlign w:val="center"/>
                </w:tcPr>
                <w:p w14:paraId="597E6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1B2CA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 </w:t>
                  </w:r>
                </w:p>
              </w:tc>
              <w:tc>
                <w:tcPr>
                  <w:tcW w:w="495" w:type="dxa"/>
                  <w:shd w:val="clear" w:color="auto" w:fill="auto"/>
                  <w:vAlign w:val="center"/>
                </w:tcPr>
                <w:p w14:paraId="4C7C8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92F1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F56B5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1EA70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078C05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B1FA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2F34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A2FA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7A02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F794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1DDC3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1BA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BE5E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237</w:t>
                  </w:r>
                </w:p>
              </w:tc>
              <w:tc>
                <w:tcPr>
                  <w:tcW w:w="1485" w:type="dxa"/>
                  <w:shd w:val="clear" w:color="auto" w:fill="auto"/>
                  <w:vAlign w:val="center"/>
                </w:tcPr>
                <w:p w14:paraId="548DA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45#球道磨</w:t>
                  </w:r>
                </w:p>
              </w:tc>
              <w:tc>
                <w:tcPr>
                  <w:tcW w:w="765" w:type="dxa"/>
                  <w:shd w:val="clear" w:color="auto" w:fill="auto"/>
                  <w:vAlign w:val="center"/>
                </w:tcPr>
                <w:p w14:paraId="58634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E374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B0569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28131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39</w:t>
                  </w:r>
                </w:p>
              </w:tc>
              <w:tc>
                <w:tcPr>
                  <w:tcW w:w="375" w:type="dxa"/>
                  <w:shd w:val="clear" w:color="auto" w:fill="auto"/>
                  <w:vAlign w:val="center"/>
                </w:tcPr>
                <w:p w14:paraId="7DC9A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71EE0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43274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124 </w:t>
                  </w:r>
                </w:p>
              </w:tc>
              <w:tc>
                <w:tcPr>
                  <w:tcW w:w="525" w:type="dxa"/>
                  <w:shd w:val="clear" w:color="auto" w:fill="auto"/>
                  <w:vAlign w:val="center"/>
                </w:tcPr>
                <w:p w14:paraId="2F73A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6F51C2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495" w:type="dxa"/>
                  <w:shd w:val="clear" w:color="auto" w:fill="auto"/>
                  <w:vAlign w:val="center"/>
                </w:tcPr>
                <w:p w14:paraId="71325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8F642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E7A8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FC85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84" w:type="dxa"/>
                  <w:vMerge w:val="continue"/>
                  <w:shd w:val="clear" w:color="auto" w:fill="auto"/>
                  <w:vAlign w:val="center"/>
                </w:tcPr>
                <w:p w14:paraId="29977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8CFB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F718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3A02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BA05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83B0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681" w:type="dxa"/>
                  <w:shd w:val="clear" w:color="auto" w:fill="auto"/>
                  <w:vAlign w:val="center"/>
                </w:tcPr>
                <w:p w14:paraId="396B7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782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4266C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238</w:t>
                  </w:r>
                </w:p>
              </w:tc>
              <w:tc>
                <w:tcPr>
                  <w:tcW w:w="1485" w:type="dxa"/>
                  <w:shd w:val="clear" w:color="auto" w:fill="auto"/>
                  <w:vAlign w:val="center"/>
                </w:tcPr>
                <w:p w14:paraId="728366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46#球道磨</w:t>
                  </w:r>
                </w:p>
              </w:tc>
              <w:tc>
                <w:tcPr>
                  <w:tcW w:w="765" w:type="dxa"/>
                  <w:shd w:val="clear" w:color="auto" w:fill="auto"/>
                  <w:vAlign w:val="center"/>
                </w:tcPr>
                <w:p w14:paraId="100ED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3626C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42237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6175AF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w:t>
                  </w:r>
                </w:p>
              </w:tc>
              <w:tc>
                <w:tcPr>
                  <w:tcW w:w="375" w:type="dxa"/>
                  <w:shd w:val="clear" w:color="auto" w:fill="auto"/>
                  <w:vAlign w:val="center"/>
                </w:tcPr>
                <w:p w14:paraId="08C3FC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8B5B2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12CA4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25" w:type="dxa"/>
                  <w:shd w:val="clear" w:color="auto" w:fill="auto"/>
                  <w:vAlign w:val="center"/>
                </w:tcPr>
                <w:p w14:paraId="641C78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3E585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95" w:type="dxa"/>
                  <w:shd w:val="clear" w:color="auto" w:fill="auto"/>
                  <w:vAlign w:val="center"/>
                </w:tcPr>
                <w:p w14:paraId="030CD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25AD7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AC64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C93EB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4388C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0232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8345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6A7F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55D9C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264FA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54D03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50E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1038E7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239</w:t>
                  </w:r>
                </w:p>
              </w:tc>
              <w:tc>
                <w:tcPr>
                  <w:tcW w:w="1485" w:type="dxa"/>
                  <w:shd w:val="clear" w:color="auto" w:fill="auto"/>
                  <w:vAlign w:val="center"/>
                </w:tcPr>
                <w:p w14:paraId="135FEB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47#球道磨</w:t>
                  </w:r>
                </w:p>
              </w:tc>
              <w:tc>
                <w:tcPr>
                  <w:tcW w:w="765" w:type="dxa"/>
                  <w:shd w:val="clear" w:color="auto" w:fill="auto"/>
                  <w:vAlign w:val="center"/>
                </w:tcPr>
                <w:p w14:paraId="13105F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46EE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A68A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16BA8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w:t>
                  </w:r>
                </w:p>
              </w:tc>
              <w:tc>
                <w:tcPr>
                  <w:tcW w:w="375" w:type="dxa"/>
                  <w:shd w:val="clear" w:color="auto" w:fill="auto"/>
                  <w:vAlign w:val="center"/>
                </w:tcPr>
                <w:p w14:paraId="16B7D4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700D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24089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525" w:type="dxa"/>
                  <w:shd w:val="clear" w:color="auto" w:fill="auto"/>
                  <w:vAlign w:val="center"/>
                </w:tcPr>
                <w:p w14:paraId="4638AC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02CCB8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495" w:type="dxa"/>
                  <w:shd w:val="clear" w:color="auto" w:fill="auto"/>
                  <w:vAlign w:val="center"/>
                </w:tcPr>
                <w:p w14:paraId="4D369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D04A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1D5B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E5BB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65FDE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C3991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DE04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FBA3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DF52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8643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9AC99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1F5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5B4FC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240</w:t>
                  </w:r>
                </w:p>
              </w:tc>
              <w:tc>
                <w:tcPr>
                  <w:tcW w:w="1485" w:type="dxa"/>
                  <w:shd w:val="clear" w:color="auto" w:fill="auto"/>
                  <w:vAlign w:val="center"/>
                </w:tcPr>
                <w:p w14:paraId="36495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48#球道磨</w:t>
                  </w:r>
                </w:p>
              </w:tc>
              <w:tc>
                <w:tcPr>
                  <w:tcW w:w="765" w:type="dxa"/>
                  <w:shd w:val="clear" w:color="auto" w:fill="auto"/>
                  <w:vAlign w:val="center"/>
                </w:tcPr>
                <w:p w14:paraId="00909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B0F6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F140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4E60B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4987AF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6ECB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6AEAF7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25" w:type="dxa"/>
                  <w:shd w:val="clear" w:color="auto" w:fill="auto"/>
                  <w:vAlign w:val="center"/>
                </w:tcPr>
                <w:p w14:paraId="0C741A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7A1A8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95" w:type="dxa"/>
                  <w:shd w:val="clear" w:color="auto" w:fill="auto"/>
                  <w:vAlign w:val="center"/>
                </w:tcPr>
                <w:p w14:paraId="3DDB1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DE5A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CD013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24D66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432128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2A4F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D305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88EC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8B0C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85BB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5AB9E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DC2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578E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241</w:t>
                  </w:r>
                </w:p>
              </w:tc>
              <w:tc>
                <w:tcPr>
                  <w:tcW w:w="1485" w:type="dxa"/>
                  <w:shd w:val="clear" w:color="auto" w:fill="auto"/>
                  <w:vAlign w:val="center"/>
                </w:tcPr>
                <w:p w14:paraId="750112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49#球道磨</w:t>
                  </w:r>
                </w:p>
              </w:tc>
              <w:tc>
                <w:tcPr>
                  <w:tcW w:w="765" w:type="dxa"/>
                  <w:shd w:val="clear" w:color="auto" w:fill="auto"/>
                  <w:vAlign w:val="center"/>
                </w:tcPr>
                <w:p w14:paraId="228DF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2DA9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215D9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4D4BA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c>
                <w:tcPr>
                  <w:tcW w:w="375" w:type="dxa"/>
                  <w:shd w:val="clear" w:color="auto" w:fill="auto"/>
                  <w:vAlign w:val="center"/>
                </w:tcPr>
                <w:p w14:paraId="37C53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A8C5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39448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525" w:type="dxa"/>
                  <w:shd w:val="clear" w:color="auto" w:fill="auto"/>
                  <w:vAlign w:val="center"/>
                </w:tcPr>
                <w:p w14:paraId="2D4556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2AF84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495" w:type="dxa"/>
                  <w:shd w:val="clear" w:color="auto" w:fill="auto"/>
                  <w:vAlign w:val="center"/>
                </w:tcPr>
                <w:p w14:paraId="5988D8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54F96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C17AE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7AB5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CBA17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D04A4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EABE0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0ED03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268D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5698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EF50C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FEC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94C0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242</w:t>
                  </w:r>
                </w:p>
              </w:tc>
              <w:tc>
                <w:tcPr>
                  <w:tcW w:w="1485" w:type="dxa"/>
                  <w:shd w:val="clear" w:color="auto" w:fill="auto"/>
                  <w:vAlign w:val="center"/>
                </w:tcPr>
                <w:p w14:paraId="51A15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50#球道磨</w:t>
                  </w:r>
                </w:p>
              </w:tc>
              <w:tc>
                <w:tcPr>
                  <w:tcW w:w="765" w:type="dxa"/>
                  <w:shd w:val="clear" w:color="auto" w:fill="auto"/>
                  <w:vAlign w:val="center"/>
                </w:tcPr>
                <w:p w14:paraId="08A1C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3187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838F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630" w:type="dxa"/>
                  <w:shd w:val="clear" w:color="auto" w:fill="auto"/>
                  <w:vAlign w:val="center"/>
                </w:tcPr>
                <w:p w14:paraId="5859A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375" w:type="dxa"/>
                  <w:shd w:val="clear" w:color="auto" w:fill="auto"/>
                  <w:vAlign w:val="center"/>
                </w:tcPr>
                <w:p w14:paraId="48471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D0DEF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570" w:type="dxa"/>
                  <w:shd w:val="clear" w:color="auto" w:fill="auto"/>
                  <w:vAlign w:val="center"/>
                </w:tcPr>
                <w:p w14:paraId="41832F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25" w:type="dxa"/>
                  <w:shd w:val="clear" w:color="auto" w:fill="auto"/>
                  <w:vAlign w:val="center"/>
                </w:tcPr>
                <w:p w14:paraId="2E1A1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585" w:type="dxa"/>
                  <w:shd w:val="clear" w:color="auto" w:fill="auto"/>
                  <w:vAlign w:val="center"/>
                </w:tcPr>
                <w:p w14:paraId="6AC915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61 </w:t>
                  </w:r>
                </w:p>
              </w:tc>
              <w:tc>
                <w:tcPr>
                  <w:tcW w:w="495" w:type="dxa"/>
                  <w:shd w:val="clear" w:color="auto" w:fill="auto"/>
                  <w:vAlign w:val="center"/>
                </w:tcPr>
                <w:p w14:paraId="6020F3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93B91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C11DA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5B66C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DEBD5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0587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D07D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3FFED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42A9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206C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515E6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886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9EC3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243</w:t>
                  </w:r>
                </w:p>
              </w:tc>
              <w:tc>
                <w:tcPr>
                  <w:tcW w:w="1485" w:type="dxa"/>
                  <w:shd w:val="clear" w:color="auto" w:fill="auto"/>
                  <w:vAlign w:val="center"/>
                </w:tcPr>
                <w:p w14:paraId="573778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1#滑块打标机</w:t>
                  </w:r>
                </w:p>
              </w:tc>
              <w:tc>
                <w:tcPr>
                  <w:tcW w:w="765" w:type="dxa"/>
                  <w:shd w:val="clear" w:color="auto" w:fill="auto"/>
                  <w:vAlign w:val="center"/>
                </w:tcPr>
                <w:p w14:paraId="26724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8BF1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16AC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630" w:type="dxa"/>
                  <w:shd w:val="clear" w:color="auto" w:fill="auto"/>
                  <w:vAlign w:val="center"/>
                </w:tcPr>
                <w:p w14:paraId="6CC2FF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375" w:type="dxa"/>
                  <w:shd w:val="clear" w:color="auto" w:fill="auto"/>
                  <w:vAlign w:val="center"/>
                </w:tcPr>
                <w:p w14:paraId="05279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581D8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570" w:type="dxa"/>
                  <w:shd w:val="clear" w:color="auto" w:fill="auto"/>
                  <w:vAlign w:val="center"/>
                </w:tcPr>
                <w:p w14:paraId="0BFBC7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111 </w:t>
                  </w:r>
                </w:p>
              </w:tc>
              <w:tc>
                <w:tcPr>
                  <w:tcW w:w="525" w:type="dxa"/>
                  <w:shd w:val="clear" w:color="auto" w:fill="auto"/>
                  <w:vAlign w:val="center"/>
                </w:tcPr>
                <w:p w14:paraId="4C0FA5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585" w:type="dxa"/>
                  <w:shd w:val="clear" w:color="auto" w:fill="auto"/>
                  <w:vAlign w:val="center"/>
                </w:tcPr>
                <w:p w14:paraId="2ED5E0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 </w:t>
                  </w:r>
                </w:p>
              </w:tc>
              <w:tc>
                <w:tcPr>
                  <w:tcW w:w="495" w:type="dxa"/>
                  <w:shd w:val="clear" w:color="auto" w:fill="auto"/>
                  <w:vAlign w:val="center"/>
                </w:tcPr>
                <w:p w14:paraId="27C46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EBBA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3A331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8EC3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5F8B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7C41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F14C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7A5AA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D4E0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49AA96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A08CC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D36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12B4D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244</w:t>
                  </w:r>
                </w:p>
              </w:tc>
              <w:tc>
                <w:tcPr>
                  <w:tcW w:w="1485" w:type="dxa"/>
                  <w:shd w:val="clear" w:color="auto" w:fill="auto"/>
                  <w:vAlign w:val="center"/>
                </w:tcPr>
                <w:p w14:paraId="7DD29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2#滑块打标机</w:t>
                  </w:r>
                </w:p>
              </w:tc>
              <w:tc>
                <w:tcPr>
                  <w:tcW w:w="765" w:type="dxa"/>
                  <w:shd w:val="clear" w:color="auto" w:fill="auto"/>
                  <w:vAlign w:val="center"/>
                </w:tcPr>
                <w:p w14:paraId="29317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F9A6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08B2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630" w:type="dxa"/>
                  <w:shd w:val="clear" w:color="auto" w:fill="auto"/>
                  <w:vAlign w:val="center"/>
                </w:tcPr>
                <w:p w14:paraId="5B1EB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w:t>
                  </w:r>
                </w:p>
              </w:tc>
              <w:tc>
                <w:tcPr>
                  <w:tcW w:w="375" w:type="dxa"/>
                  <w:shd w:val="clear" w:color="auto" w:fill="auto"/>
                  <w:vAlign w:val="center"/>
                </w:tcPr>
                <w:p w14:paraId="79003B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E9AC2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570" w:type="dxa"/>
                  <w:shd w:val="clear" w:color="auto" w:fill="auto"/>
                  <w:vAlign w:val="center"/>
                </w:tcPr>
                <w:p w14:paraId="02F1DF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108 </w:t>
                  </w:r>
                </w:p>
              </w:tc>
              <w:tc>
                <w:tcPr>
                  <w:tcW w:w="525" w:type="dxa"/>
                  <w:shd w:val="clear" w:color="auto" w:fill="auto"/>
                  <w:vAlign w:val="center"/>
                </w:tcPr>
                <w:p w14:paraId="2544F9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585" w:type="dxa"/>
                  <w:shd w:val="clear" w:color="auto" w:fill="auto"/>
                  <w:vAlign w:val="center"/>
                </w:tcPr>
                <w:p w14:paraId="449BE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 </w:t>
                  </w:r>
                </w:p>
              </w:tc>
              <w:tc>
                <w:tcPr>
                  <w:tcW w:w="495" w:type="dxa"/>
                  <w:shd w:val="clear" w:color="auto" w:fill="auto"/>
                  <w:vAlign w:val="center"/>
                </w:tcPr>
                <w:p w14:paraId="01C9BC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52181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3E0B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51A47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1B0B8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A16A5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EAF1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F50F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4E9B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1A8C2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5FE41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D92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4F3F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245</w:t>
                  </w:r>
                </w:p>
              </w:tc>
              <w:tc>
                <w:tcPr>
                  <w:tcW w:w="1485" w:type="dxa"/>
                  <w:shd w:val="clear" w:color="auto" w:fill="auto"/>
                  <w:vAlign w:val="center"/>
                </w:tcPr>
                <w:p w14:paraId="5E5A0B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3#滑块打标机</w:t>
                  </w:r>
                </w:p>
              </w:tc>
              <w:tc>
                <w:tcPr>
                  <w:tcW w:w="765" w:type="dxa"/>
                  <w:shd w:val="clear" w:color="auto" w:fill="auto"/>
                  <w:vAlign w:val="center"/>
                </w:tcPr>
                <w:p w14:paraId="53889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8BBA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6129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630" w:type="dxa"/>
                  <w:shd w:val="clear" w:color="auto" w:fill="auto"/>
                  <w:vAlign w:val="center"/>
                </w:tcPr>
                <w:p w14:paraId="654A0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5" w:type="dxa"/>
                  <w:shd w:val="clear" w:color="auto" w:fill="auto"/>
                  <w:vAlign w:val="center"/>
                </w:tcPr>
                <w:p w14:paraId="10DF76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18317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570" w:type="dxa"/>
                  <w:shd w:val="clear" w:color="auto" w:fill="auto"/>
                  <w:vAlign w:val="center"/>
                </w:tcPr>
                <w:p w14:paraId="2DA9C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105 </w:t>
                  </w:r>
                </w:p>
              </w:tc>
              <w:tc>
                <w:tcPr>
                  <w:tcW w:w="525" w:type="dxa"/>
                  <w:shd w:val="clear" w:color="auto" w:fill="auto"/>
                  <w:vAlign w:val="center"/>
                </w:tcPr>
                <w:p w14:paraId="3CAAE9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585" w:type="dxa"/>
                  <w:shd w:val="clear" w:color="auto" w:fill="auto"/>
                  <w:vAlign w:val="center"/>
                </w:tcPr>
                <w:p w14:paraId="0F12AF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495" w:type="dxa"/>
                  <w:shd w:val="clear" w:color="auto" w:fill="auto"/>
                  <w:vAlign w:val="center"/>
                </w:tcPr>
                <w:p w14:paraId="7E10D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886F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37AAC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1FD1F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7CACC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C0E6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C0269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6B1E1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29A1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204CDE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AE55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1FD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9F2E8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246</w:t>
                  </w:r>
                </w:p>
              </w:tc>
              <w:tc>
                <w:tcPr>
                  <w:tcW w:w="1485" w:type="dxa"/>
                  <w:shd w:val="clear" w:color="auto" w:fill="auto"/>
                  <w:vAlign w:val="center"/>
                </w:tcPr>
                <w:p w14:paraId="1292F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4#滑块打标机</w:t>
                  </w:r>
                </w:p>
              </w:tc>
              <w:tc>
                <w:tcPr>
                  <w:tcW w:w="765" w:type="dxa"/>
                  <w:shd w:val="clear" w:color="auto" w:fill="auto"/>
                  <w:vAlign w:val="center"/>
                </w:tcPr>
                <w:p w14:paraId="0012F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BBDA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12926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630" w:type="dxa"/>
                  <w:shd w:val="clear" w:color="auto" w:fill="auto"/>
                  <w:vAlign w:val="center"/>
                </w:tcPr>
                <w:p w14:paraId="26F5D6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375" w:type="dxa"/>
                  <w:shd w:val="clear" w:color="auto" w:fill="auto"/>
                  <w:vAlign w:val="center"/>
                </w:tcPr>
                <w:p w14:paraId="584222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E9C9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570" w:type="dxa"/>
                  <w:shd w:val="clear" w:color="auto" w:fill="auto"/>
                  <w:vAlign w:val="center"/>
                </w:tcPr>
                <w:p w14:paraId="14731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525" w:type="dxa"/>
                  <w:shd w:val="clear" w:color="auto" w:fill="auto"/>
                  <w:vAlign w:val="center"/>
                </w:tcPr>
                <w:p w14:paraId="6BE4B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585" w:type="dxa"/>
                  <w:shd w:val="clear" w:color="auto" w:fill="auto"/>
                  <w:vAlign w:val="center"/>
                </w:tcPr>
                <w:p w14:paraId="23C41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495" w:type="dxa"/>
                  <w:shd w:val="clear" w:color="auto" w:fill="auto"/>
                  <w:vAlign w:val="center"/>
                </w:tcPr>
                <w:p w14:paraId="73449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05C7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BB79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1A521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143E3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59A7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A76F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044E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64F20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1E916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7C217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E73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13A7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247</w:t>
                  </w:r>
                </w:p>
              </w:tc>
              <w:tc>
                <w:tcPr>
                  <w:tcW w:w="1485" w:type="dxa"/>
                  <w:shd w:val="clear" w:color="auto" w:fill="auto"/>
                  <w:vAlign w:val="center"/>
                </w:tcPr>
                <w:p w14:paraId="441FB5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5#滑块打标机</w:t>
                  </w:r>
                </w:p>
              </w:tc>
              <w:tc>
                <w:tcPr>
                  <w:tcW w:w="765" w:type="dxa"/>
                  <w:shd w:val="clear" w:color="auto" w:fill="auto"/>
                  <w:vAlign w:val="center"/>
                </w:tcPr>
                <w:p w14:paraId="3B48C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1C3B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994B1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630" w:type="dxa"/>
                  <w:shd w:val="clear" w:color="auto" w:fill="auto"/>
                  <w:vAlign w:val="center"/>
                </w:tcPr>
                <w:p w14:paraId="4C6C38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375" w:type="dxa"/>
                  <w:shd w:val="clear" w:color="auto" w:fill="auto"/>
                  <w:vAlign w:val="center"/>
                </w:tcPr>
                <w:p w14:paraId="2B8CB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E5D53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570" w:type="dxa"/>
                  <w:shd w:val="clear" w:color="auto" w:fill="auto"/>
                  <w:vAlign w:val="center"/>
                </w:tcPr>
                <w:p w14:paraId="1EB9B8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99 </w:t>
                  </w:r>
                </w:p>
              </w:tc>
              <w:tc>
                <w:tcPr>
                  <w:tcW w:w="525" w:type="dxa"/>
                  <w:shd w:val="clear" w:color="auto" w:fill="auto"/>
                  <w:vAlign w:val="center"/>
                </w:tcPr>
                <w:p w14:paraId="520E5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585" w:type="dxa"/>
                  <w:shd w:val="clear" w:color="auto" w:fill="auto"/>
                  <w:vAlign w:val="center"/>
                </w:tcPr>
                <w:p w14:paraId="1F75FE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71 </w:t>
                  </w:r>
                </w:p>
              </w:tc>
              <w:tc>
                <w:tcPr>
                  <w:tcW w:w="495" w:type="dxa"/>
                  <w:shd w:val="clear" w:color="auto" w:fill="auto"/>
                  <w:vAlign w:val="center"/>
                </w:tcPr>
                <w:p w14:paraId="3D294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DBFAE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83EFE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898F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7EB43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41EE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94F5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056DE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0EC4C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23F45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35ED8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77D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16BB5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248</w:t>
                  </w:r>
                </w:p>
              </w:tc>
              <w:tc>
                <w:tcPr>
                  <w:tcW w:w="1485" w:type="dxa"/>
                  <w:shd w:val="clear" w:color="auto" w:fill="auto"/>
                  <w:vAlign w:val="center"/>
                </w:tcPr>
                <w:p w14:paraId="0158F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6#滑块打标机</w:t>
                  </w:r>
                </w:p>
              </w:tc>
              <w:tc>
                <w:tcPr>
                  <w:tcW w:w="765" w:type="dxa"/>
                  <w:shd w:val="clear" w:color="auto" w:fill="auto"/>
                  <w:vAlign w:val="center"/>
                </w:tcPr>
                <w:p w14:paraId="7A5807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DB9A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7A35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630" w:type="dxa"/>
                  <w:shd w:val="clear" w:color="auto" w:fill="auto"/>
                  <w:vAlign w:val="center"/>
                </w:tcPr>
                <w:p w14:paraId="625E4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p>
              </w:tc>
              <w:tc>
                <w:tcPr>
                  <w:tcW w:w="375" w:type="dxa"/>
                  <w:shd w:val="clear" w:color="auto" w:fill="auto"/>
                  <w:vAlign w:val="center"/>
                </w:tcPr>
                <w:p w14:paraId="15975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B668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570" w:type="dxa"/>
                  <w:shd w:val="clear" w:color="auto" w:fill="auto"/>
                  <w:vAlign w:val="center"/>
                </w:tcPr>
                <w:p w14:paraId="5397D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96 </w:t>
                  </w:r>
                </w:p>
              </w:tc>
              <w:tc>
                <w:tcPr>
                  <w:tcW w:w="525" w:type="dxa"/>
                  <w:shd w:val="clear" w:color="auto" w:fill="auto"/>
                  <w:vAlign w:val="center"/>
                </w:tcPr>
                <w:p w14:paraId="21F7A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585" w:type="dxa"/>
                  <w:shd w:val="clear" w:color="auto" w:fill="auto"/>
                  <w:vAlign w:val="center"/>
                </w:tcPr>
                <w:p w14:paraId="1F72A3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74 </w:t>
                  </w:r>
                </w:p>
              </w:tc>
              <w:tc>
                <w:tcPr>
                  <w:tcW w:w="495" w:type="dxa"/>
                  <w:shd w:val="clear" w:color="auto" w:fill="auto"/>
                  <w:vAlign w:val="center"/>
                </w:tcPr>
                <w:p w14:paraId="07B4B4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1FA9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2B2AA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09A5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3059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E6C9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2401C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88F40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C5071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402AA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3587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674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101A4B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249</w:t>
                  </w:r>
                </w:p>
              </w:tc>
              <w:tc>
                <w:tcPr>
                  <w:tcW w:w="1485" w:type="dxa"/>
                  <w:shd w:val="clear" w:color="auto" w:fill="auto"/>
                  <w:vAlign w:val="center"/>
                </w:tcPr>
                <w:p w14:paraId="2F0C48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滑块防锈处理机</w:t>
                  </w:r>
                </w:p>
              </w:tc>
              <w:tc>
                <w:tcPr>
                  <w:tcW w:w="765" w:type="dxa"/>
                  <w:shd w:val="clear" w:color="auto" w:fill="auto"/>
                  <w:vAlign w:val="center"/>
                </w:tcPr>
                <w:p w14:paraId="1F086F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19CB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9048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630" w:type="dxa"/>
                  <w:shd w:val="clear" w:color="auto" w:fill="auto"/>
                  <w:vAlign w:val="center"/>
                </w:tcPr>
                <w:p w14:paraId="4B3C8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5" w:type="dxa"/>
                  <w:shd w:val="clear" w:color="auto" w:fill="auto"/>
                  <w:vAlign w:val="center"/>
                </w:tcPr>
                <w:p w14:paraId="057146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CCBA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570" w:type="dxa"/>
                  <w:shd w:val="clear" w:color="auto" w:fill="auto"/>
                  <w:vAlign w:val="center"/>
                </w:tcPr>
                <w:p w14:paraId="329EFE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 </w:t>
                  </w:r>
                </w:p>
              </w:tc>
              <w:tc>
                <w:tcPr>
                  <w:tcW w:w="525" w:type="dxa"/>
                  <w:shd w:val="clear" w:color="auto" w:fill="auto"/>
                  <w:vAlign w:val="center"/>
                </w:tcPr>
                <w:p w14:paraId="0ACF2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585" w:type="dxa"/>
                  <w:shd w:val="clear" w:color="auto" w:fill="auto"/>
                  <w:vAlign w:val="center"/>
                </w:tcPr>
                <w:p w14:paraId="318CB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75 </w:t>
                  </w:r>
                </w:p>
              </w:tc>
              <w:tc>
                <w:tcPr>
                  <w:tcW w:w="495" w:type="dxa"/>
                  <w:shd w:val="clear" w:color="auto" w:fill="auto"/>
                  <w:vAlign w:val="center"/>
                </w:tcPr>
                <w:p w14:paraId="5F0395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3809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2AF27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B83D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2270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110E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F4D88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EEADF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E137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52FE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D21E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C7A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1B089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250</w:t>
                  </w:r>
                </w:p>
              </w:tc>
              <w:tc>
                <w:tcPr>
                  <w:tcW w:w="1485" w:type="dxa"/>
                  <w:shd w:val="clear" w:color="auto" w:fill="auto"/>
                  <w:vAlign w:val="center"/>
                </w:tcPr>
                <w:p w14:paraId="18F47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1#配对打标机</w:t>
                  </w:r>
                </w:p>
              </w:tc>
              <w:tc>
                <w:tcPr>
                  <w:tcW w:w="765" w:type="dxa"/>
                  <w:shd w:val="clear" w:color="auto" w:fill="auto"/>
                  <w:vAlign w:val="center"/>
                </w:tcPr>
                <w:p w14:paraId="37DF6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6C006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1E3FD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630" w:type="dxa"/>
                  <w:shd w:val="clear" w:color="auto" w:fill="auto"/>
                  <w:vAlign w:val="center"/>
                </w:tcPr>
                <w:p w14:paraId="0EC26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5B74F0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B8C3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570" w:type="dxa"/>
                  <w:shd w:val="clear" w:color="auto" w:fill="auto"/>
                  <w:vAlign w:val="center"/>
                </w:tcPr>
                <w:p w14:paraId="1FB6CA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25" w:type="dxa"/>
                  <w:shd w:val="clear" w:color="auto" w:fill="auto"/>
                  <w:vAlign w:val="center"/>
                </w:tcPr>
                <w:p w14:paraId="14A57D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85" w:type="dxa"/>
                  <w:shd w:val="clear" w:color="auto" w:fill="auto"/>
                  <w:vAlign w:val="center"/>
                </w:tcPr>
                <w:p w14:paraId="0B78E5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95" w:type="dxa"/>
                  <w:shd w:val="clear" w:color="auto" w:fill="auto"/>
                  <w:vAlign w:val="center"/>
                </w:tcPr>
                <w:p w14:paraId="1FC6F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ED75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15DD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5E335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6A2155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9D5C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C417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D98A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3CE7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2B35B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CD66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A01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AE07B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251</w:t>
                  </w:r>
                </w:p>
              </w:tc>
              <w:tc>
                <w:tcPr>
                  <w:tcW w:w="1485" w:type="dxa"/>
                  <w:shd w:val="clear" w:color="auto" w:fill="auto"/>
                  <w:vAlign w:val="center"/>
                </w:tcPr>
                <w:p w14:paraId="0FBC0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2#配对打标机</w:t>
                  </w:r>
                </w:p>
              </w:tc>
              <w:tc>
                <w:tcPr>
                  <w:tcW w:w="765" w:type="dxa"/>
                  <w:shd w:val="clear" w:color="auto" w:fill="auto"/>
                  <w:vAlign w:val="center"/>
                </w:tcPr>
                <w:p w14:paraId="15168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FFE1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F1DF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630" w:type="dxa"/>
                  <w:shd w:val="clear" w:color="auto" w:fill="auto"/>
                  <w:vAlign w:val="center"/>
                </w:tcPr>
                <w:p w14:paraId="12C08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c>
                <w:tcPr>
                  <w:tcW w:w="375" w:type="dxa"/>
                  <w:shd w:val="clear" w:color="auto" w:fill="auto"/>
                  <w:vAlign w:val="center"/>
                </w:tcPr>
                <w:p w14:paraId="1D6CC9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4427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570" w:type="dxa"/>
                  <w:shd w:val="clear" w:color="auto" w:fill="auto"/>
                  <w:vAlign w:val="center"/>
                </w:tcPr>
                <w:p w14:paraId="0410B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525" w:type="dxa"/>
                  <w:shd w:val="clear" w:color="auto" w:fill="auto"/>
                  <w:vAlign w:val="center"/>
                </w:tcPr>
                <w:p w14:paraId="7734D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85" w:type="dxa"/>
                  <w:shd w:val="clear" w:color="auto" w:fill="auto"/>
                  <w:vAlign w:val="center"/>
                </w:tcPr>
                <w:p w14:paraId="69BE8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495" w:type="dxa"/>
                  <w:shd w:val="clear" w:color="auto" w:fill="auto"/>
                  <w:vAlign w:val="center"/>
                </w:tcPr>
                <w:p w14:paraId="0481A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EA418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8B45E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1FE0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AE09B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26603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0057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9580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A8450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2A39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58130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E0E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12FF2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252</w:t>
                  </w:r>
                </w:p>
              </w:tc>
              <w:tc>
                <w:tcPr>
                  <w:tcW w:w="1485" w:type="dxa"/>
                  <w:shd w:val="clear" w:color="auto" w:fill="auto"/>
                  <w:vAlign w:val="center"/>
                </w:tcPr>
                <w:p w14:paraId="472A53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3#配对打标机</w:t>
                  </w:r>
                </w:p>
              </w:tc>
              <w:tc>
                <w:tcPr>
                  <w:tcW w:w="765" w:type="dxa"/>
                  <w:shd w:val="clear" w:color="auto" w:fill="auto"/>
                  <w:vAlign w:val="center"/>
                </w:tcPr>
                <w:p w14:paraId="64E0EE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8E48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C2808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630" w:type="dxa"/>
                  <w:shd w:val="clear" w:color="auto" w:fill="auto"/>
                  <w:vAlign w:val="center"/>
                </w:tcPr>
                <w:p w14:paraId="096CA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375" w:type="dxa"/>
                  <w:shd w:val="clear" w:color="auto" w:fill="auto"/>
                  <w:vAlign w:val="center"/>
                </w:tcPr>
                <w:p w14:paraId="06E3C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E6841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570" w:type="dxa"/>
                  <w:shd w:val="clear" w:color="auto" w:fill="auto"/>
                  <w:vAlign w:val="center"/>
                </w:tcPr>
                <w:p w14:paraId="3A1B9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25" w:type="dxa"/>
                  <w:shd w:val="clear" w:color="auto" w:fill="auto"/>
                  <w:vAlign w:val="center"/>
                </w:tcPr>
                <w:p w14:paraId="6DDA2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85" w:type="dxa"/>
                  <w:shd w:val="clear" w:color="auto" w:fill="auto"/>
                  <w:vAlign w:val="center"/>
                </w:tcPr>
                <w:p w14:paraId="2F182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61 </w:t>
                  </w:r>
                </w:p>
              </w:tc>
              <w:tc>
                <w:tcPr>
                  <w:tcW w:w="495" w:type="dxa"/>
                  <w:shd w:val="clear" w:color="auto" w:fill="auto"/>
                  <w:vAlign w:val="center"/>
                </w:tcPr>
                <w:p w14:paraId="09520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F5E66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E31E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8B059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1265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6AD99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979B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1228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925ED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91C8B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3463C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07E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321F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253</w:t>
                  </w:r>
                </w:p>
              </w:tc>
              <w:tc>
                <w:tcPr>
                  <w:tcW w:w="1485" w:type="dxa"/>
                  <w:shd w:val="clear" w:color="auto" w:fill="auto"/>
                  <w:vAlign w:val="center"/>
                </w:tcPr>
                <w:p w14:paraId="1AB9A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4#配对打标机</w:t>
                  </w:r>
                </w:p>
              </w:tc>
              <w:tc>
                <w:tcPr>
                  <w:tcW w:w="765" w:type="dxa"/>
                  <w:shd w:val="clear" w:color="auto" w:fill="auto"/>
                  <w:vAlign w:val="center"/>
                </w:tcPr>
                <w:p w14:paraId="2E1DF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5978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1986B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630" w:type="dxa"/>
                  <w:shd w:val="clear" w:color="auto" w:fill="auto"/>
                  <w:vAlign w:val="center"/>
                </w:tcPr>
                <w:p w14:paraId="215C6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p>
              </w:tc>
              <w:tc>
                <w:tcPr>
                  <w:tcW w:w="375" w:type="dxa"/>
                  <w:shd w:val="clear" w:color="auto" w:fill="auto"/>
                  <w:vAlign w:val="center"/>
                </w:tcPr>
                <w:p w14:paraId="0C2F20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3B3E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570" w:type="dxa"/>
                  <w:shd w:val="clear" w:color="auto" w:fill="auto"/>
                  <w:vAlign w:val="center"/>
                </w:tcPr>
                <w:p w14:paraId="61D8C5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106 </w:t>
                  </w:r>
                </w:p>
              </w:tc>
              <w:tc>
                <w:tcPr>
                  <w:tcW w:w="525" w:type="dxa"/>
                  <w:shd w:val="clear" w:color="auto" w:fill="auto"/>
                  <w:vAlign w:val="center"/>
                </w:tcPr>
                <w:p w14:paraId="32398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85" w:type="dxa"/>
                  <w:shd w:val="clear" w:color="auto" w:fill="auto"/>
                  <w:vAlign w:val="center"/>
                </w:tcPr>
                <w:p w14:paraId="7DA18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64 </w:t>
                  </w:r>
                </w:p>
              </w:tc>
              <w:tc>
                <w:tcPr>
                  <w:tcW w:w="495" w:type="dxa"/>
                  <w:shd w:val="clear" w:color="auto" w:fill="auto"/>
                  <w:vAlign w:val="center"/>
                </w:tcPr>
                <w:p w14:paraId="15E4A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B5CEC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0238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C2C1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0566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77FE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91CED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93F2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DF93E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B5CEC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F25AE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9F0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C587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254</w:t>
                  </w:r>
                </w:p>
              </w:tc>
              <w:tc>
                <w:tcPr>
                  <w:tcW w:w="1485" w:type="dxa"/>
                  <w:shd w:val="clear" w:color="auto" w:fill="auto"/>
                  <w:vAlign w:val="center"/>
                </w:tcPr>
                <w:p w14:paraId="7CAEC4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5#配对打标机</w:t>
                  </w:r>
                </w:p>
              </w:tc>
              <w:tc>
                <w:tcPr>
                  <w:tcW w:w="765" w:type="dxa"/>
                  <w:shd w:val="clear" w:color="auto" w:fill="auto"/>
                  <w:vAlign w:val="center"/>
                </w:tcPr>
                <w:p w14:paraId="083ED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7133B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EA5B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630" w:type="dxa"/>
                  <w:shd w:val="clear" w:color="auto" w:fill="auto"/>
                  <w:vAlign w:val="center"/>
                </w:tcPr>
                <w:p w14:paraId="378297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375" w:type="dxa"/>
                  <w:shd w:val="clear" w:color="auto" w:fill="auto"/>
                  <w:vAlign w:val="center"/>
                </w:tcPr>
                <w:p w14:paraId="2A6B9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E93A7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570" w:type="dxa"/>
                  <w:shd w:val="clear" w:color="auto" w:fill="auto"/>
                  <w:vAlign w:val="center"/>
                </w:tcPr>
                <w:p w14:paraId="2D7517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103 </w:t>
                  </w:r>
                </w:p>
              </w:tc>
              <w:tc>
                <w:tcPr>
                  <w:tcW w:w="525" w:type="dxa"/>
                  <w:shd w:val="clear" w:color="auto" w:fill="auto"/>
                  <w:vAlign w:val="center"/>
                </w:tcPr>
                <w:p w14:paraId="37E61B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85" w:type="dxa"/>
                  <w:shd w:val="clear" w:color="auto" w:fill="auto"/>
                  <w:vAlign w:val="center"/>
                </w:tcPr>
                <w:p w14:paraId="1AA6BB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67 </w:t>
                  </w:r>
                </w:p>
              </w:tc>
              <w:tc>
                <w:tcPr>
                  <w:tcW w:w="495" w:type="dxa"/>
                  <w:shd w:val="clear" w:color="auto" w:fill="auto"/>
                  <w:vAlign w:val="center"/>
                </w:tcPr>
                <w:p w14:paraId="45516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16ECF7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5595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9ACF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382F14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155B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F7838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4E890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D6EF5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64F4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332AFA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1A5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DE432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255</w:t>
                  </w:r>
                </w:p>
              </w:tc>
              <w:tc>
                <w:tcPr>
                  <w:tcW w:w="1485" w:type="dxa"/>
                  <w:shd w:val="clear" w:color="auto" w:fill="auto"/>
                  <w:vAlign w:val="center"/>
                </w:tcPr>
                <w:p w14:paraId="472B6A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6#配对打标机</w:t>
                  </w:r>
                </w:p>
              </w:tc>
              <w:tc>
                <w:tcPr>
                  <w:tcW w:w="765" w:type="dxa"/>
                  <w:shd w:val="clear" w:color="auto" w:fill="auto"/>
                  <w:vAlign w:val="center"/>
                </w:tcPr>
                <w:p w14:paraId="471E7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F08D5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D7299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630" w:type="dxa"/>
                  <w:shd w:val="clear" w:color="auto" w:fill="auto"/>
                  <w:vAlign w:val="center"/>
                </w:tcPr>
                <w:p w14:paraId="652AFF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375" w:type="dxa"/>
                  <w:shd w:val="clear" w:color="auto" w:fill="auto"/>
                  <w:vAlign w:val="center"/>
                </w:tcPr>
                <w:p w14:paraId="7DBADB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AF1D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570" w:type="dxa"/>
                  <w:shd w:val="clear" w:color="auto" w:fill="auto"/>
                  <w:vAlign w:val="center"/>
                </w:tcPr>
                <w:p w14:paraId="50309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25" w:type="dxa"/>
                  <w:shd w:val="clear" w:color="auto" w:fill="auto"/>
                  <w:vAlign w:val="center"/>
                </w:tcPr>
                <w:p w14:paraId="14BBD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585" w:type="dxa"/>
                  <w:shd w:val="clear" w:color="auto" w:fill="auto"/>
                  <w:vAlign w:val="center"/>
                </w:tcPr>
                <w:p w14:paraId="3E55B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95" w:type="dxa"/>
                  <w:shd w:val="clear" w:color="auto" w:fill="auto"/>
                  <w:vAlign w:val="center"/>
                </w:tcPr>
                <w:p w14:paraId="378B5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F2F0E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434B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95271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D261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62AB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CD438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F3DE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83AB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3542AD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8358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233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A926A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256</w:t>
                  </w:r>
                </w:p>
              </w:tc>
              <w:tc>
                <w:tcPr>
                  <w:tcW w:w="1485" w:type="dxa"/>
                  <w:shd w:val="clear" w:color="auto" w:fill="auto"/>
                  <w:vAlign w:val="center"/>
                </w:tcPr>
                <w:p w14:paraId="3D3936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1#平面磨床</w:t>
                  </w:r>
                </w:p>
              </w:tc>
              <w:tc>
                <w:tcPr>
                  <w:tcW w:w="765" w:type="dxa"/>
                  <w:shd w:val="clear" w:color="auto" w:fill="auto"/>
                  <w:vAlign w:val="center"/>
                </w:tcPr>
                <w:p w14:paraId="20F10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2C541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197B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50146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5" w:type="dxa"/>
                  <w:shd w:val="clear" w:color="auto" w:fill="auto"/>
                  <w:vAlign w:val="center"/>
                </w:tcPr>
                <w:p w14:paraId="3667B5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31EC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6280F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 </w:t>
                  </w:r>
                </w:p>
              </w:tc>
              <w:tc>
                <w:tcPr>
                  <w:tcW w:w="525" w:type="dxa"/>
                  <w:shd w:val="clear" w:color="auto" w:fill="auto"/>
                  <w:vAlign w:val="center"/>
                </w:tcPr>
                <w:p w14:paraId="1F036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5319C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75 </w:t>
                  </w:r>
                </w:p>
              </w:tc>
              <w:tc>
                <w:tcPr>
                  <w:tcW w:w="495" w:type="dxa"/>
                  <w:shd w:val="clear" w:color="auto" w:fill="auto"/>
                  <w:vAlign w:val="center"/>
                </w:tcPr>
                <w:p w14:paraId="20EC0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9724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7E24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59D8B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383A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5E671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9D7DE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05D5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124E4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2ED0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38BB1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B09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DD94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257</w:t>
                  </w:r>
                </w:p>
              </w:tc>
              <w:tc>
                <w:tcPr>
                  <w:tcW w:w="1485" w:type="dxa"/>
                  <w:shd w:val="clear" w:color="auto" w:fill="auto"/>
                  <w:vAlign w:val="center"/>
                </w:tcPr>
                <w:p w14:paraId="737087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2#平面磨床</w:t>
                  </w:r>
                </w:p>
              </w:tc>
              <w:tc>
                <w:tcPr>
                  <w:tcW w:w="765" w:type="dxa"/>
                  <w:shd w:val="clear" w:color="auto" w:fill="auto"/>
                  <w:vAlign w:val="center"/>
                </w:tcPr>
                <w:p w14:paraId="2FF386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4C9C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B73C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1671C7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375" w:type="dxa"/>
                  <w:shd w:val="clear" w:color="auto" w:fill="auto"/>
                  <w:vAlign w:val="center"/>
                </w:tcPr>
                <w:p w14:paraId="40D07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520B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6FDCD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90 </w:t>
                  </w:r>
                </w:p>
              </w:tc>
              <w:tc>
                <w:tcPr>
                  <w:tcW w:w="525" w:type="dxa"/>
                  <w:shd w:val="clear" w:color="auto" w:fill="auto"/>
                  <w:vAlign w:val="center"/>
                </w:tcPr>
                <w:p w14:paraId="6A3A5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599BD8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80 </w:t>
                  </w:r>
                </w:p>
              </w:tc>
              <w:tc>
                <w:tcPr>
                  <w:tcW w:w="495" w:type="dxa"/>
                  <w:shd w:val="clear" w:color="auto" w:fill="auto"/>
                  <w:vAlign w:val="center"/>
                </w:tcPr>
                <w:p w14:paraId="4D40CB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422BB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46913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B4733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216F5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E6B8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D7FA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363D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47C5C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2228F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C188D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B01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460E2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258</w:t>
                  </w:r>
                </w:p>
              </w:tc>
              <w:tc>
                <w:tcPr>
                  <w:tcW w:w="1485" w:type="dxa"/>
                  <w:shd w:val="clear" w:color="auto" w:fill="auto"/>
                  <w:vAlign w:val="center"/>
                </w:tcPr>
                <w:p w14:paraId="03E5EB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3#平面磨床</w:t>
                  </w:r>
                </w:p>
              </w:tc>
              <w:tc>
                <w:tcPr>
                  <w:tcW w:w="765" w:type="dxa"/>
                  <w:shd w:val="clear" w:color="auto" w:fill="auto"/>
                  <w:vAlign w:val="center"/>
                </w:tcPr>
                <w:p w14:paraId="62D24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F20C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9D54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21F6B6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375" w:type="dxa"/>
                  <w:shd w:val="clear" w:color="auto" w:fill="auto"/>
                  <w:vAlign w:val="center"/>
                </w:tcPr>
                <w:p w14:paraId="3811F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5D4A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7079C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85 </w:t>
                  </w:r>
                </w:p>
              </w:tc>
              <w:tc>
                <w:tcPr>
                  <w:tcW w:w="525" w:type="dxa"/>
                  <w:shd w:val="clear" w:color="auto" w:fill="auto"/>
                  <w:vAlign w:val="center"/>
                </w:tcPr>
                <w:p w14:paraId="6F434E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37583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85 </w:t>
                  </w:r>
                </w:p>
              </w:tc>
              <w:tc>
                <w:tcPr>
                  <w:tcW w:w="495" w:type="dxa"/>
                  <w:shd w:val="clear" w:color="auto" w:fill="auto"/>
                  <w:vAlign w:val="center"/>
                </w:tcPr>
                <w:p w14:paraId="5F19A8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9B64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60025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FC51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A09A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29EBE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ED2AC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E257E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0AD50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35759D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38864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53A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9256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259</w:t>
                  </w:r>
                </w:p>
              </w:tc>
              <w:tc>
                <w:tcPr>
                  <w:tcW w:w="1485" w:type="dxa"/>
                  <w:shd w:val="clear" w:color="auto" w:fill="auto"/>
                  <w:vAlign w:val="center"/>
                </w:tcPr>
                <w:p w14:paraId="15ACE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4#平面磨床</w:t>
                  </w:r>
                </w:p>
              </w:tc>
              <w:tc>
                <w:tcPr>
                  <w:tcW w:w="765" w:type="dxa"/>
                  <w:shd w:val="clear" w:color="auto" w:fill="auto"/>
                  <w:vAlign w:val="center"/>
                </w:tcPr>
                <w:p w14:paraId="6C9536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02D6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7D2A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4C4F3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375" w:type="dxa"/>
                  <w:shd w:val="clear" w:color="auto" w:fill="auto"/>
                  <w:vAlign w:val="center"/>
                </w:tcPr>
                <w:p w14:paraId="74D85A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8F26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1FFC8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80 </w:t>
                  </w:r>
                </w:p>
              </w:tc>
              <w:tc>
                <w:tcPr>
                  <w:tcW w:w="525" w:type="dxa"/>
                  <w:shd w:val="clear" w:color="auto" w:fill="auto"/>
                  <w:vAlign w:val="center"/>
                </w:tcPr>
                <w:p w14:paraId="63D355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5CB79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90 </w:t>
                  </w:r>
                </w:p>
              </w:tc>
              <w:tc>
                <w:tcPr>
                  <w:tcW w:w="495" w:type="dxa"/>
                  <w:shd w:val="clear" w:color="auto" w:fill="auto"/>
                  <w:vAlign w:val="center"/>
                </w:tcPr>
                <w:p w14:paraId="6B4A0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16748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18DA1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D760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9138C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E1D3A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4F5A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884DE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DB30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BD59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C1EDD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58C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ECF4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260</w:t>
                  </w:r>
                </w:p>
              </w:tc>
              <w:tc>
                <w:tcPr>
                  <w:tcW w:w="1485" w:type="dxa"/>
                  <w:shd w:val="clear" w:color="auto" w:fill="auto"/>
                  <w:vAlign w:val="center"/>
                </w:tcPr>
                <w:p w14:paraId="138CF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5#平面磨床</w:t>
                  </w:r>
                </w:p>
              </w:tc>
              <w:tc>
                <w:tcPr>
                  <w:tcW w:w="765" w:type="dxa"/>
                  <w:shd w:val="clear" w:color="auto" w:fill="auto"/>
                  <w:vAlign w:val="center"/>
                </w:tcPr>
                <w:p w14:paraId="1C275F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2973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E07FC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4549E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5" w:type="dxa"/>
                  <w:shd w:val="clear" w:color="auto" w:fill="auto"/>
                  <w:vAlign w:val="center"/>
                </w:tcPr>
                <w:p w14:paraId="638B6B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8DFA6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5B212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75 </w:t>
                  </w:r>
                </w:p>
              </w:tc>
              <w:tc>
                <w:tcPr>
                  <w:tcW w:w="525" w:type="dxa"/>
                  <w:shd w:val="clear" w:color="auto" w:fill="auto"/>
                  <w:vAlign w:val="center"/>
                </w:tcPr>
                <w:p w14:paraId="39FAAF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1EE5B7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 </w:t>
                  </w:r>
                </w:p>
              </w:tc>
              <w:tc>
                <w:tcPr>
                  <w:tcW w:w="495" w:type="dxa"/>
                  <w:shd w:val="clear" w:color="auto" w:fill="auto"/>
                  <w:vAlign w:val="center"/>
                </w:tcPr>
                <w:p w14:paraId="5DB38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C3901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11D6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284F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6C75B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2D512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CE2F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A6BE5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A9218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D28C5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9FEC6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813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82A0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261</w:t>
                  </w:r>
                </w:p>
              </w:tc>
              <w:tc>
                <w:tcPr>
                  <w:tcW w:w="1485" w:type="dxa"/>
                  <w:shd w:val="clear" w:color="auto" w:fill="auto"/>
                  <w:vAlign w:val="center"/>
                </w:tcPr>
                <w:p w14:paraId="485A2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6#平面磨床</w:t>
                  </w:r>
                </w:p>
              </w:tc>
              <w:tc>
                <w:tcPr>
                  <w:tcW w:w="765" w:type="dxa"/>
                  <w:shd w:val="clear" w:color="auto" w:fill="auto"/>
                  <w:vAlign w:val="center"/>
                </w:tcPr>
                <w:p w14:paraId="183FD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99735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FF0C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1CDC4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375" w:type="dxa"/>
                  <w:shd w:val="clear" w:color="auto" w:fill="auto"/>
                  <w:vAlign w:val="center"/>
                </w:tcPr>
                <w:p w14:paraId="5A8E5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3CB33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050B5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525" w:type="dxa"/>
                  <w:shd w:val="clear" w:color="auto" w:fill="auto"/>
                  <w:vAlign w:val="center"/>
                </w:tcPr>
                <w:p w14:paraId="07FCE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65CA9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495" w:type="dxa"/>
                  <w:shd w:val="clear" w:color="auto" w:fill="auto"/>
                  <w:vAlign w:val="center"/>
                </w:tcPr>
                <w:p w14:paraId="1EF684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50295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3A29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BE98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367D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B4D8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7E127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4F2B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02F32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17E2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340D1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8CE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26F6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262</w:t>
                  </w:r>
                </w:p>
              </w:tc>
              <w:tc>
                <w:tcPr>
                  <w:tcW w:w="1485" w:type="dxa"/>
                  <w:shd w:val="clear" w:color="auto" w:fill="auto"/>
                  <w:vAlign w:val="center"/>
                </w:tcPr>
                <w:p w14:paraId="008ABC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7#平面磨床</w:t>
                  </w:r>
                </w:p>
              </w:tc>
              <w:tc>
                <w:tcPr>
                  <w:tcW w:w="765" w:type="dxa"/>
                  <w:shd w:val="clear" w:color="auto" w:fill="auto"/>
                  <w:vAlign w:val="center"/>
                </w:tcPr>
                <w:p w14:paraId="21817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94D4A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C560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28FA8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5" w:type="dxa"/>
                  <w:shd w:val="clear" w:color="auto" w:fill="auto"/>
                  <w:vAlign w:val="center"/>
                </w:tcPr>
                <w:p w14:paraId="05F1A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3D60C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2DA7C3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 </w:t>
                  </w:r>
                </w:p>
              </w:tc>
              <w:tc>
                <w:tcPr>
                  <w:tcW w:w="525" w:type="dxa"/>
                  <w:shd w:val="clear" w:color="auto" w:fill="auto"/>
                  <w:vAlign w:val="center"/>
                </w:tcPr>
                <w:p w14:paraId="511766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53E17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105 </w:t>
                  </w:r>
                </w:p>
              </w:tc>
              <w:tc>
                <w:tcPr>
                  <w:tcW w:w="495" w:type="dxa"/>
                  <w:shd w:val="clear" w:color="auto" w:fill="auto"/>
                  <w:vAlign w:val="center"/>
                </w:tcPr>
                <w:p w14:paraId="5C9D05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2DFE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237A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680473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1546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79207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093E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5B9CC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2D86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FA6B1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C3C1C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F4C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C90FD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263</w:t>
                  </w:r>
                </w:p>
              </w:tc>
              <w:tc>
                <w:tcPr>
                  <w:tcW w:w="1485" w:type="dxa"/>
                  <w:shd w:val="clear" w:color="auto" w:fill="auto"/>
                  <w:vAlign w:val="center"/>
                </w:tcPr>
                <w:p w14:paraId="76685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8#平面磨床</w:t>
                  </w:r>
                </w:p>
              </w:tc>
              <w:tc>
                <w:tcPr>
                  <w:tcW w:w="765" w:type="dxa"/>
                  <w:shd w:val="clear" w:color="auto" w:fill="auto"/>
                  <w:vAlign w:val="center"/>
                </w:tcPr>
                <w:p w14:paraId="4F5FFD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2CBB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8BE5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2F85A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375" w:type="dxa"/>
                  <w:shd w:val="clear" w:color="auto" w:fill="auto"/>
                  <w:vAlign w:val="center"/>
                </w:tcPr>
                <w:p w14:paraId="7B05CB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3A705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6BC79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60 </w:t>
                  </w:r>
                </w:p>
              </w:tc>
              <w:tc>
                <w:tcPr>
                  <w:tcW w:w="525" w:type="dxa"/>
                  <w:shd w:val="clear" w:color="auto" w:fill="auto"/>
                  <w:vAlign w:val="center"/>
                </w:tcPr>
                <w:p w14:paraId="08BFBA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32CDB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110 </w:t>
                  </w:r>
                </w:p>
              </w:tc>
              <w:tc>
                <w:tcPr>
                  <w:tcW w:w="495" w:type="dxa"/>
                  <w:shd w:val="clear" w:color="auto" w:fill="auto"/>
                  <w:vAlign w:val="center"/>
                </w:tcPr>
                <w:p w14:paraId="3CDF5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07F52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D902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75D1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C866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9B8B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2699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6CE67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A191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AC91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C9A0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DC1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2052B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264</w:t>
                  </w:r>
                </w:p>
              </w:tc>
              <w:tc>
                <w:tcPr>
                  <w:tcW w:w="1485" w:type="dxa"/>
                  <w:shd w:val="clear" w:color="auto" w:fill="auto"/>
                  <w:vAlign w:val="center"/>
                </w:tcPr>
                <w:p w14:paraId="0898BA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9#平面磨床</w:t>
                  </w:r>
                </w:p>
              </w:tc>
              <w:tc>
                <w:tcPr>
                  <w:tcW w:w="765" w:type="dxa"/>
                  <w:shd w:val="clear" w:color="auto" w:fill="auto"/>
                  <w:vAlign w:val="center"/>
                </w:tcPr>
                <w:p w14:paraId="397A9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C3D5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206B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043EC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4165A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4604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26ED3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525" w:type="dxa"/>
                  <w:shd w:val="clear" w:color="auto" w:fill="auto"/>
                  <w:vAlign w:val="center"/>
                </w:tcPr>
                <w:p w14:paraId="2E01A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397DD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495" w:type="dxa"/>
                  <w:shd w:val="clear" w:color="auto" w:fill="auto"/>
                  <w:vAlign w:val="center"/>
                </w:tcPr>
                <w:p w14:paraId="7ADE0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066E0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6344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E95F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111E7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619B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3C08D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EF373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B130D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229E4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C047A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639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0773C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265</w:t>
                  </w:r>
                </w:p>
              </w:tc>
              <w:tc>
                <w:tcPr>
                  <w:tcW w:w="1485" w:type="dxa"/>
                  <w:shd w:val="clear" w:color="auto" w:fill="auto"/>
                  <w:vAlign w:val="center"/>
                </w:tcPr>
                <w:p w14:paraId="6665A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10#平面磨床</w:t>
                  </w:r>
                </w:p>
              </w:tc>
              <w:tc>
                <w:tcPr>
                  <w:tcW w:w="765" w:type="dxa"/>
                  <w:shd w:val="clear" w:color="auto" w:fill="auto"/>
                  <w:vAlign w:val="center"/>
                </w:tcPr>
                <w:p w14:paraId="7BA75A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1F7A4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12521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72B055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w:t>
                  </w:r>
                </w:p>
              </w:tc>
              <w:tc>
                <w:tcPr>
                  <w:tcW w:w="375" w:type="dxa"/>
                  <w:shd w:val="clear" w:color="auto" w:fill="auto"/>
                  <w:vAlign w:val="center"/>
                </w:tcPr>
                <w:p w14:paraId="3AEEFA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78FC1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1322D2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525" w:type="dxa"/>
                  <w:shd w:val="clear" w:color="auto" w:fill="auto"/>
                  <w:vAlign w:val="center"/>
                </w:tcPr>
                <w:p w14:paraId="1B8DE5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08960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120 </w:t>
                  </w:r>
                </w:p>
              </w:tc>
              <w:tc>
                <w:tcPr>
                  <w:tcW w:w="495" w:type="dxa"/>
                  <w:shd w:val="clear" w:color="auto" w:fill="auto"/>
                  <w:vAlign w:val="center"/>
                </w:tcPr>
                <w:p w14:paraId="355C1B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F64B2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0976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A1D2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45444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8D069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2F08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F4C3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35C12F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8612B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1F92C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88A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66F7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266</w:t>
                  </w:r>
                </w:p>
              </w:tc>
              <w:tc>
                <w:tcPr>
                  <w:tcW w:w="1485" w:type="dxa"/>
                  <w:shd w:val="clear" w:color="auto" w:fill="auto"/>
                  <w:vAlign w:val="center"/>
                </w:tcPr>
                <w:p w14:paraId="5E321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11#平面磨床</w:t>
                  </w:r>
                </w:p>
              </w:tc>
              <w:tc>
                <w:tcPr>
                  <w:tcW w:w="765" w:type="dxa"/>
                  <w:shd w:val="clear" w:color="auto" w:fill="auto"/>
                  <w:vAlign w:val="center"/>
                </w:tcPr>
                <w:p w14:paraId="22F326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E410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9E44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03F5D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75" w:type="dxa"/>
                  <w:shd w:val="clear" w:color="auto" w:fill="auto"/>
                  <w:vAlign w:val="center"/>
                </w:tcPr>
                <w:p w14:paraId="36871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E7C4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7D927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 </w:t>
                  </w:r>
                </w:p>
              </w:tc>
              <w:tc>
                <w:tcPr>
                  <w:tcW w:w="525" w:type="dxa"/>
                  <w:shd w:val="clear" w:color="auto" w:fill="auto"/>
                  <w:vAlign w:val="center"/>
                </w:tcPr>
                <w:p w14:paraId="16CCE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5D635A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125 </w:t>
                  </w:r>
                </w:p>
              </w:tc>
              <w:tc>
                <w:tcPr>
                  <w:tcW w:w="495" w:type="dxa"/>
                  <w:shd w:val="clear" w:color="auto" w:fill="auto"/>
                  <w:vAlign w:val="center"/>
                </w:tcPr>
                <w:p w14:paraId="564713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589A5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35" w:type="dxa"/>
                  <w:shd w:val="clear" w:color="auto" w:fill="auto"/>
                  <w:vAlign w:val="center"/>
                </w:tcPr>
                <w:p w14:paraId="2A7E7F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18E6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3A5EC2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EBCD5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5C6CB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2A18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05" w:type="dxa"/>
                  <w:shd w:val="clear" w:color="auto" w:fill="auto"/>
                  <w:vAlign w:val="center"/>
                </w:tcPr>
                <w:p w14:paraId="17F741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C0DE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78EF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E92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00687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267</w:t>
                  </w:r>
                </w:p>
              </w:tc>
              <w:tc>
                <w:tcPr>
                  <w:tcW w:w="1485" w:type="dxa"/>
                  <w:shd w:val="clear" w:color="auto" w:fill="auto"/>
                  <w:vAlign w:val="center"/>
                </w:tcPr>
                <w:p w14:paraId="6B2BB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12#平面磨床</w:t>
                  </w:r>
                </w:p>
              </w:tc>
              <w:tc>
                <w:tcPr>
                  <w:tcW w:w="765" w:type="dxa"/>
                  <w:shd w:val="clear" w:color="auto" w:fill="auto"/>
                  <w:vAlign w:val="center"/>
                </w:tcPr>
                <w:p w14:paraId="7883B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4E20B0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72945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605BB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375" w:type="dxa"/>
                  <w:shd w:val="clear" w:color="auto" w:fill="auto"/>
                  <w:vAlign w:val="center"/>
                </w:tcPr>
                <w:p w14:paraId="4A75ED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32845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5E7745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40 </w:t>
                  </w:r>
                </w:p>
              </w:tc>
              <w:tc>
                <w:tcPr>
                  <w:tcW w:w="525" w:type="dxa"/>
                  <w:shd w:val="clear" w:color="auto" w:fill="auto"/>
                  <w:vAlign w:val="center"/>
                </w:tcPr>
                <w:p w14:paraId="57B17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074695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130 </w:t>
                  </w:r>
                </w:p>
              </w:tc>
              <w:tc>
                <w:tcPr>
                  <w:tcW w:w="495" w:type="dxa"/>
                  <w:shd w:val="clear" w:color="auto" w:fill="auto"/>
                  <w:vAlign w:val="center"/>
                </w:tcPr>
                <w:p w14:paraId="30578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8966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35" w:type="dxa"/>
                  <w:shd w:val="clear" w:color="auto" w:fill="auto"/>
                  <w:vAlign w:val="center"/>
                </w:tcPr>
                <w:p w14:paraId="3C3D0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EBD8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2C85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D8A8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5EAEF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165E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05" w:type="dxa"/>
                  <w:shd w:val="clear" w:color="auto" w:fill="auto"/>
                  <w:vAlign w:val="center"/>
                </w:tcPr>
                <w:p w14:paraId="390BE7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8AAF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3A442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8D8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8F97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268</w:t>
                  </w:r>
                </w:p>
              </w:tc>
              <w:tc>
                <w:tcPr>
                  <w:tcW w:w="1485" w:type="dxa"/>
                  <w:shd w:val="clear" w:color="auto" w:fill="auto"/>
                  <w:vAlign w:val="center"/>
                </w:tcPr>
                <w:p w14:paraId="487B1D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13#平面磨床</w:t>
                  </w:r>
                </w:p>
              </w:tc>
              <w:tc>
                <w:tcPr>
                  <w:tcW w:w="765" w:type="dxa"/>
                  <w:shd w:val="clear" w:color="auto" w:fill="auto"/>
                  <w:vAlign w:val="center"/>
                </w:tcPr>
                <w:p w14:paraId="332683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F8632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F4F3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4BC3D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75" w:type="dxa"/>
                  <w:shd w:val="clear" w:color="auto" w:fill="auto"/>
                  <w:vAlign w:val="center"/>
                </w:tcPr>
                <w:p w14:paraId="30917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B3B50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5BF03D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525" w:type="dxa"/>
                  <w:shd w:val="clear" w:color="auto" w:fill="auto"/>
                  <w:vAlign w:val="center"/>
                </w:tcPr>
                <w:p w14:paraId="046E06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217CA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135 </w:t>
                  </w:r>
                </w:p>
              </w:tc>
              <w:tc>
                <w:tcPr>
                  <w:tcW w:w="495" w:type="dxa"/>
                  <w:shd w:val="clear" w:color="auto" w:fill="auto"/>
                  <w:vAlign w:val="center"/>
                </w:tcPr>
                <w:p w14:paraId="3D25C3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74A7F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35" w:type="dxa"/>
                  <w:shd w:val="clear" w:color="auto" w:fill="auto"/>
                  <w:vAlign w:val="center"/>
                </w:tcPr>
                <w:p w14:paraId="69F376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11DCD2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36370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4605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A2179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B2FE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05" w:type="dxa"/>
                  <w:shd w:val="clear" w:color="auto" w:fill="auto"/>
                  <w:vAlign w:val="center"/>
                </w:tcPr>
                <w:p w14:paraId="75ACDA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72E2A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32AD7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E13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62293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269</w:t>
                  </w:r>
                </w:p>
              </w:tc>
              <w:tc>
                <w:tcPr>
                  <w:tcW w:w="1485" w:type="dxa"/>
                  <w:shd w:val="clear" w:color="auto" w:fill="auto"/>
                  <w:vAlign w:val="center"/>
                </w:tcPr>
                <w:p w14:paraId="3755A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1#砂轮切割机</w:t>
                  </w:r>
                </w:p>
              </w:tc>
              <w:tc>
                <w:tcPr>
                  <w:tcW w:w="765" w:type="dxa"/>
                  <w:shd w:val="clear" w:color="auto" w:fill="auto"/>
                  <w:vAlign w:val="center"/>
                </w:tcPr>
                <w:p w14:paraId="53E0BA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892D2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DFA77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0DC845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375" w:type="dxa"/>
                  <w:shd w:val="clear" w:color="auto" w:fill="auto"/>
                  <w:vAlign w:val="center"/>
                </w:tcPr>
                <w:p w14:paraId="0E62A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E16BE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3660E0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525" w:type="dxa"/>
                  <w:shd w:val="clear" w:color="auto" w:fill="auto"/>
                  <w:vAlign w:val="center"/>
                </w:tcPr>
                <w:p w14:paraId="55F2F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692DFD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140 </w:t>
                  </w:r>
                </w:p>
              </w:tc>
              <w:tc>
                <w:tcPr>
                  <w:tcW w:w="495" w:type="dxa"/>
                  <w:shd w:val="clear" w:color="auto" w:fill="auto"/>
                  <w:vAlign w:val="center"/>
                </w:tcPr>
                <w:p w14:paraId="4FD97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631111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 </w:t>
                  </w:r>
                </w:p>
              </w:tc>
              <w:tc>
                <w:tcPr>
                  <w:tcW w:w="435" w:type="dxa"/>
                  <w:shd w:val="clear" w:color="auto" w:fill="auto"/>
                  <w:vAlign w:val="center"/>
                </w:tcPr>
                <w:p w14:paraId="4B0AD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5A50D4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78D86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B513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F0640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283FC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405" w:type="dxa"/>
                  <w:shd w:val="clear" w:color="auto" w:fill="auto"/>
                  <w:vAlign w:val="center"/>
                </w:tcPr>
                <w:p w14:paraId="0215F8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0376C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30EF9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EAF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10B8A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270</w:t>
                  </w:r>
                </w:p>
              </w:tc>
              <w:tc>
                <w:tcPr>
                  <w:tcW w:w="1485" w:type="dxa"/>
                  <w:shd w:val="clear" w:color="auto" w:fill="auto"/>
                  <w:vAlign w:val="center"/>
                </w:tcPr>
                <w:p w14:paraId="3DE8A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2#砂轮切割机</w:t>
                  </w:r>
                </w:p>
              </w:tc>
              <w:tc>
                <w:tcPr>
                  <w:tcW w:w="765" w:type="dxa"/>
                  <w:shd w:val="clear" w:color="auto" w:fill="auto"/>
                  <w:vAlign w:val="center"/>
                </w:tcPr>
                <w:p w14:paraId="061B8B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330" w:type="dxa"/>
                  <w:vMerge w:val="continue"/>
                  <w:shd w:val="clear" w:color="auto" w:fill="auto"/>
                  <w:vAlign w:val="center"/>
                </w:tcPr>
                <w:p w14:paraId="5B2A78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8827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3A38E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375" w:type="dxa"/>
                  <w:shd w:val="clear" w:color="auto" w:fill="auto"/>
                  <w:vAlign w:val="center"/>
                </w:tcPr>
                <w:p w14:paraId="1AEAC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5554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51D53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25 </w:t>
                  </w:r>
                </w:p>
              </w:tc>
              <w:tc>
                <w:tcPr>
                  <w:tcW w:w="525" w:type="dxa"/>
                  <w:shd w:val="clear" w:color="auto" w:fill="auto"/>
                  <w:vAlign w:val="center"/>
                </w:tcPr>
                <w:p w14:paraId="546EE2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548686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145 </w:t>
                  </w:r>
                </w:p>
              </w:tc>
              <w:tc>
                <w:tcPr>
                  <w:tcW w:w="495" w:type="dxa"/>
                  <w:shd w:val="clear" w:color="auto" w:fill="auto"/>
                  <w:vAlign w:val="center"/>
                </w:tcPr>
                <w:p w14:paraId="58F27F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0" w:type="dxa"/>
                  <w:shd w:val="clear" w:color="auto" w:fill="auto"/>
                  <w:vAlign w:val="center"/>
                </w:tcPr>
                <w:p w14:paraId="118DE7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35" w:type="dxa"/>
                  <w:shd w:val="clear" w:color="auto" w:fill="auto"/>
                  <w:vAlign w:val="center"/>
                </w:tcPr>
                <w:p w14:paraId="55468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670" w:type="dxa"/>
                  <w:shd w:val="clear" w:color="auto" w:fill="auto"/>
                  <w:vAlign w:val="center"/>
                </w:tcPr>
                <w:p w14:paraId="00124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 </w:t>
                  </w:r>
                </w:p>
              </w:tc>
              <w:tc>
                <w:tcPr>
                  <w:tcW w:w="484" w:type="dxa"/>
                  <w:vMerge w:val="continue"/>
                  <w:shd w:val="clear" w:color="auto" w:fill="auto"/>
                  <w:vAlign w:val="center"/>
                </w:tcPr>
                <w:p w14:paraId="3C5A13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12A28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619C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80" w:type="dxa"/>
                  <w:shd w:val="clear" w:color="auto" w:fill="auto"/>
                  <w:vAlign w:val="center"/>
                </w:tcPr>
                <w:p w14:paraId="3FE9FB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34 </w:t>
                  </w:r>
                </w:p>
              </w:tc>
              <w:tc>
                <w:tcPr>
                  <w:tcW w:w="405" w:type="dxa"/>
                  <w:shd w:val="clear" w:color="auto" w:fill="auto"/>
                  <w:vAlign w:val="center"/>
                </w:tcPr>
                <w:p w14:paraId="3A716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450" w:type="dxa"/>
                  <w:shd w:val="clear" w:color="auto" w:fill="auto"/>
                  <w:vAlign w:val="center"/>
                </w:tcPr>
                <w:p w14:paraId="67EE6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681" w:type="dxa"/>
                  <w:shd w:val="clear" w:color="auto" w:fill="auto"/>
                  <w:vAlign w:val="center"/>
                </w:tcPr>
                <w:p w14:paraId="10274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11F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4C4EE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271</w:t>
                  </w:r>
                </w:p>
              </w:tc>
              <w:tc>
                <w:tcPr>
                  <w:tcW w:w="1485" w:type="dxa"/>
                  <w:shd w:val="clear" w:color="auto" w:fill="auto"/>
                  <w:vAlign w:val="center"/>
                </w:tcPr>
                <w:p w14:paraId="289019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1#倒角机</w:t>
                  </w:r>
                </w:p>
              </w:tc>
              <w:tc>
                <w:tcPr>
                  <w:tcW w:w="765" w:type="dxa"/>
                  <w:shd w:val="clear" w:color="auto" w:fill="auto"/>
                  <w:vAlign w:val="center"/>
                </w:tcPr>
                <w:p w14:paraId="39DEFA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64BC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28585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6F2E90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375" w:type="dxa"/>
                  <w:shd w:val="clear" w:color="auto" w:fill="auto"/>
                  <w:vAlign w:val="center"/>
                </w:tcPr>
                <w:p w14:paraId="41BBAC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C4FE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13A66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 </w:t>
                  </w:r>
                </w:p>
              </w:tc>
              <w:tc>
                <w:tcPr>
                  <w:tcW w:w="525" w:type="dxa"/>
                  <w:shd w:val="clear" w:color="auto" w:fill="auto"/>
                  <w:vAlign w:val="center"/>
                </w:tcPr>
                <w:p w14:paraId="7DC1B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1CD916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150 </w:t>
                  </w:r>
                </w:p>
              </w:tc>
              <w:tc>
                <w:tcPr>
                  <w:tcW w:w="495" w:type="dxa"/>
                  <w:shd w:val="clear" w:color="auto" w:fill="auto"/>
                  <w:vAlign w:val="center"/>
                </w:tcPr>
                <w:p w14:paraId="36F6A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775E06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 </w:t>
                  </w:r>
                </w:p>
              </w:tc>
              <w:tc>
                <w:tcPr>
                  <w:tcW w:w="435" w:type="dxa"/>
                  <w:shd w:val="clear" w:color="auto" w:fill="auto"/>
                  <w:vAlign w:val="center"/>
                </w:tcPr>
                <w:p w14:paraId="0DE528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315A92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D7F3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44BA9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9385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5833F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c>
                <w:tcPr>
                  <w:tcW w:w="405" w:type="dxa"/>
                  <w:shd w:val="clear" w:color="auto" w:fill="auto"/>
                  <w:vAlign w:val="center"/>
                </w:tcPr>
                <w:p w14:paraId="5A773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142F9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174F5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F75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61770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272</w:t>
                  </w:r>
                </w:p>
              </w:tc>
              <w:tc>
                <w:tcPr>
                  <w:tcW w:w="1485" w:type="dxa"/>
                  <w:shd w:val="clear" w:color="auto" w:fill="auto"/>
                  <w:vAlign w:val="center"/>
                </w:tcPr>
                <w:p w14:paraId="211B2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2#倒角机</w:t>
                  </w:r>
                </w:p>
              </w:tc>
              <w:tc>
                <w:tcPr>
                  <w:tcW w:w="765" w:type="dxa"/>
                  <w:shd w:val="clear" w:color="auto" w:fill="auto"/>
                  <w:vAlign w:val="center"/>
                </w:tcPr>
                <w:p w14:paraId="6FBF1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B252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9D53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30" w:type="dxa"/>
                  <w:shd w:val="clear" w:color="auto" w:fill="auto"/>
                  <w:vAlign w:val="center"/>
                </w:tcPr>
                <w:p w14:paraId="72A374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p>
              </w:tc>
              <w:tc>
                <w:tcPr>
                  <w:tcW w:w="375" w:type="dxa"/>
                  <w:shd w:val="clear" w:color="auto" w:fill="auto"/>
                  <w:vAlign w:val="center"/>
                </w:tcPr>
                <w:p w14:paraId="1E4A9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D4E0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570" w:type="dxa"/>
                  <w:shd w:val="clear" w:color="auto" w:fill="auto"/>
                  <w:vAlign w:val="center"/>
                </w:tcPr>
                <w:p w14:paraId="05947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 </w:t>
                  </w:r>
                </w:p>
              </w:tc>
              <w:tc>
                <w:tcPr>
                  <w:tcW w:w="525" w:type="dxa"/>
                  <w:shd w:val="clear" w:color="auto" w:fill="auto"/>
                  <w:vAlign w:val="center"/>
                </w:tcPr>
                <w:p w14:paraId="6994D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 </w:t>
                  </w:r>
                </w:p>
              </w:tc>
              <w:tc>
                <w:tcPr>
                  <w:tcW w:w="585" w:type="dxa"/>
                  <w:shd w:val="clear" w:color="auto" w:fill="auto"/>
                  <w:vAlign w:val="center"/>
                </w:tcPr>
                <w:p w14:paraId="2963D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155 </w:t>
                  </w:r>
                </w:p>
              </w:tc>
              <w:tc>
                <w:tcPr>
                  <w:tcW w:w="495" w:type="dxa"/>
                  <w:shd w:val="clear" w:color="auto" w:fill="auto"/>
                  <w:vAlign w:val="center"/>
                </w:tcPr>
                <w:p w14:paraId="116ABF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3873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435" w:type="dxa"/>
                  <w:shd w:val="clear" w:color="auto" w:fill="auto"/>
                  <w:vAlign w:val="center"/>
                </w:tcPr>
                <w:p w14:paraId="0DA074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4A33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927A4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E6978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4C016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5AFF6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405" w:type="dxa"/>
                  <w:shd w:val="clear" w:color="auto" w:fill="auto"/>
                  <w:vAlign w:val="center"/>
                </w:tcPr>
                <w:p w14:paraId="331BB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D0E5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548718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810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A5EE3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273</w:t>
                  </w:r>
                </w:p>
              </w:tc>
              <w:tc>
                <w:tcPr>
                  <w:tcW w:w="1485" w:type="dxa"/>
                  <w:shd w:val="clear" w:color="auto" w:fill="auto"/>
                  <w:vAlign w:val="center"/>
                </w:tcPr>
                <w:p w14:paraId="4F8F6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1#线切割</w:t>
                  </w:r>
                </w:p>
              </w:tc>
              <w:tc>
                <w:tcPr>
                  <w:tcW w:w="765" w:type="dxa"/>
                  <w:shd w:val="clear" w:color="auto" w:fill="auto"/>
                  <w:vAlign w:val="center"/>
                </w:tcPr>
                <w:p w14:paraId="142B3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FCDF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C2ABB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295EDC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w:t>
                  </w:r>
                </w:p>
              </w:tc>
              <w:tc>
                <w:tcPr>
                  <w:tcW w:w="375" w:type="dxa"/>
                  <w:shd w:val="clear" w:color="auto" w:fill="auto"/>
                  <w:vAlign w:val="center"/>
                </w:tcPr>
                <w:p w14:paraId="3F7F77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AB94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70" w:type="dxa"/>
                  <w:shd w:val="clear" w:color="auto" w:fill="auto"/>
                  <w:vAlign w:val="center"/>
                </w:tcPr>
                <w:p w14:paraId="313136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25" w:type="dxa"/>
                  <w:shd w:val="clear" w:color="auto" w:fill="auto"/>
                  <w:vAlign w:val="center"/>
                </w:tcPr>
                <w:p w14:paraId="09748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85" w:type="dxa"/>
                  <w:shd w:val="clear" w:color="auto" w:fill="auto"/>
                  <w:vAlign w:val="center"/>
                </w:tcPr>
                <w:p w14:paraId="4C544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95" w:type="dxa"/>
                  <w:shd w:val="clear" w:color="auto" w:fill="auto"/>
                  <w:vAlign w:val="center"/>
                </w:tcPr>
                <w:p w14:paraId="34C61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A6851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74F8A5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2181C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702E2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0EE4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700A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9EA9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494B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70B0F5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32A3E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66A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71B1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274</w:t>
                  </w:r>
                </w:p>
              </w:tc>
              <w:tc>
                <w:tcPr>
                  <w:tcW w:w="1485" w:type="dxa"/>
                  <w:shd w:val="clear" w:color="auto" w:fill="auto"/>
                  <w:vAlign w:val="center"/>
                </w:tcPr>
                <w:p w14:paraId="350C6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2#线切割</w:t>
                  </w:r>
                </w:p>
              </w:tc>
              <w:tc>
                <w:tcPr>
                  <w:tcW w:w="765" w:type="dxa"/>
                  <w:shd w:val="clear" w:color="auto" w:fill="auto"/>
                  <w:vAlign w:val="center"/>
                </w:tcPr>
                <w:p w14:paraId="4F6F7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6799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B5B4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082A4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w:t>
                  </w:r>
                </w:p>
              </w:tc>
              <w:tc>
                <w:tcPr>
                  <w:tcW w:w="375" w:type="dxa"/>
                  <w:shd w:val="clear" w:color="auto" w:fill="auto"/>
                  <w:vAlign w:val="center"/>
                </w:tcPr>
                <w:p w14:paraId="1D9BB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A3B4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70" w:type="dxa"/>
                  <w:shd w:val="clear" w:color="auto" w:fill="auto"/>
                  <w:vAlign w:val="center"/>
                </w:tcPr>
                <w:p w14:paraId="7BCEB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525" w:type="dxa"/>
                  <w:shd w:val="clear" w:color="auto" w:fill="auto"/>
                  <w:vAlign w:val="center"/>
                </w:tcPr>
                <w:p w14:paraId="0A6291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85" w:type="dxa"/>
                  <w:shd w:val="clear" w:color="auto" w:fill="auto"/>
                  <w:vAlign w:val="center"/>
                </w:tcPr>
                <w:p w14:paraId="4EDD9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495" w:type="dxa"/>
                  <w:shd w:val="clear" w:color="auto" w:fill="auto"/>
                  <w:vAlign w:val="center"/>
                </w:tcPr>
                <w:p w14:paraId="17CED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71E0E1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E1FB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60023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FDF2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A05B1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7F7F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DB60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91B12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5752B2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A468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3DF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3D89F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275</w:t>
                  </w:r>
                </w:p>
              </w:tc>
              <w:tc>
                <w:tcPr>
                  <w:tcW w:w="1485" w:type="dxa"/>
                  <w:shd w:val="clear" w:color="auto" w:fill="auto"/>
                  <w:vAlign w:val="center"/>
                </w:tcPr>
                <w:p w14:paraId="2968D5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3#线切割</w:t>
                  </w:r>
                </w:p>
              </w:tc>
              <w:tc>
                <w:tcPr>
                  <w:tcW w:w="765" w:type="dxa"/>
                  <w:shd w:val="clear" w:color="auto" w:fill="auto"/>
                  <w:vAlign w:val="center"/>
                </w:tcPr>
                <w:p w14:paraId="15E51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C9088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5DD9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76A707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47A3A0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E639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70" w:type="dxa"/>
                  <w:shd w:val="clear" w:color="auto" w:fill="auto"/>
                  <w:vAlign w:val="center"/>
                </w:tcPr>
                <w:p w14:paraId="589558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25" w:type="dxa"/>
                  <w:shd w:val="clear" w:color="auto" w:fill="auto"/>
                  <w:vAlign w:val="center"/>
                </w:tcPr>
                <w:p w14:paraId="307D0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85" w:type="dxa"/>
                  <w:shd w:val="clear" w:color="auto" w:fill="auto"/>
                  <w:vAlign w:val="center"/>
                </w:tcPr>
                <w:p w14:paraId="215BC5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95" w:type="dxa"/>
                  <w:shd w:val="clear" w:color="auto" w:fill="auto"/>
                  <w:vAlign w:val="center"/>
                </w:tcPr>
                <w:p w14:paraId="71BAA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7AA46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962A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7A5B0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6C2FE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CE8A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2A88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878AB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7F628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4D280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429F7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165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A7DA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276</w:t>
                  </w:r>
                </w:p>
              </w:tc>
              <w:tc>
                <w:tcPr>
                  <w:tcW w:w="1485" w:type="dxa"/>
                  <w:shd w:val="clear" w:color="auto" w:fill="auto"/>
                  <w:vAlign w:val="center"/>
                </w:tcPr>
                <w:p w14:paraId="61E96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4#线切割</w:t>
                  </w:r>
                </w:p>
              </w:tc>
              <w:tc>
                <w:tcPr>
                  <w:tcW w:w="765" w:type="dxa"/>
                  <w:shd w:val="clear" w:color="auto" w:fill="auto"/>
                  <w:vAlign w:val="center"/>
                </w:tcPr>
                <w:p w14:paraId="0CBB1B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3FCB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42E3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7D9340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c>
                <w:tcPr>
                  <w:tcW w:w="375" w:type="dxa"/>
                  <w:shd w:val="clear" w:color="auto" w:fill="auto"/>
                  <w:vAlign w:val="center"/>
                </w:tcPr>
                <w:p w14:paraId="268CA7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E7FF4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70" w:type="dxa"/>
                  <w:shd w:val="clear" w:color="auto" w:fill="auto"/>
                  <w:vAlign w:val="center"/>
                </w:tcPr>
                <w:p w14:paraId="2B8F3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525" w:type="dxa"/>
                  <w:shd w:val="clear" w:color="auto" w:fill="auto"/>
                  <w:vAlign w:val="center"/>
                </w:tcPr>
                <w:p w14:paraId="4CF87C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85" w:type="dxa"/>
                  <w:shd w:val="clear" w:color="auto" w:fill="auto"/>
                  <w:vAlign w:val="center"/>
                </w:tcPr>
                <w:p w14:paraId="3D82E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495" w:type="dxa"/>
                  <w:shd w:val="clear" w:color="auto" w:fill="auto"/>
                  <w:vAlign w:val="center"/>
                </w:tcPr>
                <w:p w14:paraId="1DAF2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E400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4C38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26A63A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C6F16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50952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33E6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3C2C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D4C67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4F26B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B6CC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93E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20D0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277</w:t>
                  </w:r>
                </w:p>
              </w:tc>
              <w:tc>
                <w:tcPr>
                  <w:tcW w:w="1485" w:type="dxa"/>
                  <w:shd w:val="clear" w:color="auto" w:fill="auto"/>
                  <w:vAlign w:val="center"/>
                </w:tcPr>
                <w:p w14:paraId="0DFB8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5#线切割</w:t>
                  </w:r>
                </w:p>
              </w:tc>
              <w:tc>
                <w:tcPr>
                  <w:tcW w:w="765" w:type="dxa"/>
                  <w:shd w:val="clear" w:color="auto" w:fill="auto"/>
                  <w:vAlign w:val="center"/>
                </w:tcPr>
                <w:p w14:paraId="7962A2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41F22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A38A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55CF4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375" w:type="dxa"/>
                  <w:shd w:val="clear" w:color="auto" w:fill="auto"/>
                  <w:vAlign w:val="center"/>
                </w:tcPr>
                <w:p w14:paraId="361F6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3D3F3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70" w:type="dxa"/>
                  <w:shd w:val="clear" w:color="auto" w:fill="auto"/>
                  <w:vAlign w:val="center"/>
                </w:tcPr>
                <w:p w14:paraId="4ADAB3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25" w:type="dxa"/>
                  <w:shd w:val="clear" w:color="auto" w:fill="auto"/>
                  <w:vAlign w:val="center"/>
                </w:tcPr>
                <w:p w14:paraId="3BA02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85" w:type="dxa"/>
                  <w:shd w:val="clear" w:color="auto" w:fill="auto"/>
                  <w:vAlign w:val="center"/>
                </w:tcPr>
                <w:p w14:paraId="6BCE5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61 </w:t>
                  </w:r>
                </w:p>
              </w:tc>
              <w:tc>
                <w:tcPr>
                  <w:tcW w:w="495" w:type="dxa"/>
                  <w:shd w:val="clear" w:color="auto" w:fill="auto"/>
                  <w:vAlign w:val="center"/>
                </w:tcPr>
                <w:p w14:paraId="1FA6F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597E7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506E7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066F5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FD15E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DEC69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4B24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BCBB4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5F8BE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358826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DA9CD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21D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ED6C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278</w:t>
                  </w:r>
                </w:p>
              </w:tc>
              <w:tc>
                <w:tcPr>
                  <w:tcW w:w="1485" w:type="dxa"/>
                  <w:shd w:val="clear" w:color="auto" w:fill="auto"/>
                  <w:vAlign w:val="center"/>
                </w:tcPr>
                <w:p w14:paraId="5854E6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6#线切割</w:t>
                  </w:r>
                </w:p>
              </w:tc>
              <w:tc>
                <w:tcPr>
                  <w:tcW w:w="765" w:type="dxa"/>
                  <w:shd w:val="clear" w:color="auto" w:fill="auto"/>
                  <w:vAlign w:val="center"/>
                </w:tcPr>
                <w:p w14:paraId="4F83E9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D875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CDD2F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5CE7F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p>
              </w:tc>
              <w:tc>
                <w:tcPr>
                  <w:tcW w:w="375" w:type="dxa"/>
                  <w:shd w:val="clear" w:color="auto" w:fill="auto"/>
                  <w:vAlign w:val="center"/>
                </w:tcPr>
                <w:p w14:paraId="0F31A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C8F8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70" w:type="dxa"/>
                  <w:shd w:val="clear" w:color="auto" w:fill="auto"/>
                  <w:vAlign w:val="center"/>
                </w:tcPr>
                <w:p w14:paraId="5C1DFC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106 </w:t>
                  </w:r>
                </w:p>
              </w:tc>
              <w:tc>
                <w:tcPr>
                  <w:tcW w:w="525" w:type="dxa"/>
                  <w:shd w:val="clear" w:color="auto" w:fill="auto"/>
                  <w:vAlign w:val="center"/>
                </w:tcPr>
                <w:p w14:paraId="19C28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85" w:type="dxa"/>
                  <w:shd w:val="clear" w:color="auto" w:fill="auto"/>
                  <w:vAlign w:val="center"/>
                </w:tcPr>
                <w:p w14:paraId="5E42F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64 </w:t>
                  </w:r>
                </w:p>
              </w:tc>
              <w:tc>
                <w:tcPr>
                  <w:tcW w:w="495" w:type="dxa"/>
                  <w:shd w:val="clear" w:color="auto" w:fill="auto"/>
                  <w:vAlign w:val="center"/>
                </w:tcPr>
                <w:p w14:paraId="54974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BBCC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485B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061BC8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3571E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BF4AE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74728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6B93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9BCD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2AB05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9377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1FD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00C9C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279</w:t>
                  </w:r>
                </w:p>
              </w:tc>
              <w:tc>
                <w:tcPr>
                  <w:tcW w:w="1485" w:type="dxa"/>
                  <w:shd w:val="clear" w:color="auto" w:fill="auto"/>
                  <w:vAlign w:val="center"/>
                </w:tcPr>
                <w:p w14:paraId="4398D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7#线切割</w:t>
                  </w:r>
                </w:p>
              </w:tc>
              <w:tc>
                <w:tcPr>
                  <w:tcW w:w="765" w:type="dxa"/>
                  <w:shd w:val="clear" w:color="auto" w:fill="auto"/>
                  <w:vAlign w:val="center"/>
                </w:tcPr>
                <w:p w14:paraId="28C7C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B115A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0079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73B940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375" w:type="dxa"/>
                  <w:shd w:val="clear" w:color="auto" w:fill="auto"/>
                  <w:vAlign w:val="center"/>
                </w:tcPr>
                <w:p w14:paraId="4C3E7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8142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70" w:type="dxa"/>
                  <w:shd w:val="clear" w:color="auto" w:fill="auto"/>
                  <w:vAlign w:val="center"/>
                </w:tcPr>
                <w:p w14:paraId="78B3D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103 </w:t>
                  </w:r>
                </w:p>
              </w:tc>
              <w:tc>
                <w:tcPr>
                  <w:tcW w:w="525" w:type="dxa"/>
                  <w:shd w:val="clear" w:color="auto" w:fill="auto"/>
                  <w:vAlign w:val="center"/>
                </w:tcPr>
                <w:p w14:paraId="40FCB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85" w:type="dxa"/>
                  <w:shd w:val="clear" w:color="auto" w:fill="auto"/>
                  <w:vAlign w:val="center"/>
                </w:tcPr>
                <w:p w14:paraId="61E98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67 </w:t>
                  </w:r>
                </w:p>
              </w:tc>
              <w:tc>
                <w:tcPr>
                  <w:tcW w:w="495" w:type="dxa"/>
                  <w:shd w:val="clear" w:color="auto" w:fill="auto"/>
                  <w:vAlign w:val="center"/>
                </w:tcPr>
                <w:p w14:paraId="5BCED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49A7D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E4E4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37A41F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99038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5902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ACFA3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E504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8687B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6EB4B4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CF2B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504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A88E1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280</w:t>
                  </w:r>
                </w:p>
              </w:tc>
              <w:tc>
                <w:tcPr>
                  <w:tcW w:w="1485" w:type="dxa"/>
                  <w:shd w:val="clear" w:color="auto" w:fill="auto"/>
                  <w:vAlign w:val="center"/>
                </w:tcPr>
                <w:p w14:paraId="24803C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8#线切割</w:t>
                  </w:r>
                </w:p>
              </w:tc>
              <w:tc>
                <w:tcPr>
                  <w:tcW w:w="765" w:type="dxa"/>
                  <w:shd w:val="clear" w:color="auto" w:fill="auto"/>
                  <w:vAlign w:val="center"/>
                </w:tcPr>
                <w:p w14:paraId="63878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37E7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62AA3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311CF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375" w:type="dxa"/>
                  <w:shd w:val="clear" w:color="auto" w:fill="auto"/>
                  <w:vAlign w:val="center"/>
                </w:tcPr>
                <w:p w14:paraId="38386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6472B2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70" w:type="dxa"/>
                  <w:shd w:val="clear" w:color="auto" w:fill="auto"/>
                  <w:vAlign w:val="center"/>
                </w:tcPr>
                <w:p w14:paraId="24C5B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25" w:type="dxa"/>
                  <w:shd w:val="clear" w:color="auto" w:fill="auto"/>
                  <w:vAlign w:val="center"/>
                </w:tcPr>
                <w:p w14:paraId="21FED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85" w:type="dxa"/>
                  <w:shd w:val="clear" w:color="auto" w:fill="auto"/>
                  <w:vAlign w:val="center"/>
                </w:tcPr>
                <w:p w14:paraId="7F451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95" w:type="dxa"/>
                  <w:shd w:val="clear" w:color="auto" w:fill="auto"/>
                  <w:vAlign w:val="center"/>
                </w:tcPr>
                <w:p w14:paraId="7982B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C78B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1AF3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242DC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60443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ED880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A8CC1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3BF7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ED420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6626DF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21C4F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A91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00C0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281</w:t>
                  </w:r>
                </w:p>
              </w:tc>
              <w:tc>
                <w:tcPr>
                  <w:tcW w:w="1485" w:type="dxa"/>
                  <w:shd w:val="clear" w:color="auto" w:fill="auto"/>
                  <w:vAlign w:val="center"/>
                </w:tcPr>
                <w:p w14:paraId="654F9E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9#线切割</w:t>
                  </w:r>
                </w:p>
              </w:tc>
              <w:tc>
                <w:tcPr>
                  <w:tcW w:w="765" w:type="dxa"/>
                  <w:shd w:val="clear" w:color="auto" w:fill="auto"/>
                  <w:vAlign w:val="center"/>
                </w:tcPr>
                <w:p w14:paraId="43289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A2BDE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3B1B16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3CDB8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375" w:type="dxa"/>
                  <w:shd w:val="clear" w:color="auto" w:fill="auto"/>
                  <w:vAlign w:val="center"/>
                </w:tcPr>
                <w:p w14:paraId="4CC7D3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216D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70" w:type="dxa"/>
                  <w:shd w:val="clear" w:color="auto" w:fill="auto"/>
                  <w:vAlign w:val="center"/>
                </w:tcPr>
                <w:p w14:paraId="6484F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97 </w:t>
                  </w:r>
                </w:p>
              </w:tc>
              <w:tc>
                <w:tcPr>
                  <w:tcW w:w="525" w:type="dxa"/>
                  <w:shd w:val="clear" w:color="auto" w:fill="auto"/>
                  <w:vAlign w:val="center"/>
                </w:tcPr>
                <w:p w14:paraId="5FB421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85" w:type="dxa"/>
                  <w:shd w:val="clear" w:color="auto" w:fill="auto"/>
                  <w:vAlign w:val="center"/>
                </w:tcPr>
                <w:p w14:paraId="5CF36E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 </w:t>
                  </w:r>
                </w:p>
              </w:tc>
              <w:tc>
                <w:tcPr>
                  <w:tcW w:w="495" w:type="dxa"/>
                  <w:shd w:val="clear" w:color="auto" w:fill="auto"/>
                  <w:vAlign w:val="center"/>
                </w:tcPr>
                <w:p w14:paraId="282F7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9856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B54EF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51CEE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E0A8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8503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40A0EF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A311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0065F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661BBF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54B68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EC1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A66F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282</w:t>
                  </w:r>
                </w:p>
              </w:tc>
              <w:tc>
                <w:tcPr>
                  <w:tcW w:w="1485" w:type="dxa"/>
                  <w:shd w:val="clear" w:color="auto" w:fill="auto"/>
                  <w:vAlign w:val="center"/>
                </w:tcPr>
                <w:p w14:paraId="7C6855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10#线切割</w:t>
                  </w:r>
                </w:p>
              </w:tc>
              <w:tc>
                <w:tcPr>
                  <w:tcW w:w="765" w:type="dxa"/>
                  <w:shd w:val="clear" w:color="auto" w:fill="auto"/>
                  <w:vAlign w:val="center"/>
                </w:tcPr>
                <w:p w14:paraId="19E1E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4CB0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44CF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30" w:type="dxa"/>
                  <w:shd w:val="clear" w:color="auto" w:fill="auto"/>
                  <w:vAlign w:val="center"/>
                </w:tcPr>
                <w:p w14:paraId="6BBB8E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375" w:type="dxa"/>
                  <w:shd w:val="clear" w:color="auto" w:fill="auto"/>
                  <w:vAlign w:val="center"/>
                </w:tcPr>
                <w:p w14:paraId="58491B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ABCF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 </w:t>
                  </w:r>
                </w:p>
              </w:tc>
              <w:tc>
                <w:tcPr>
                  <w:tcW w:w="570" w:type="dxa"/>
                  <w:shd w:val="clear" w:color="auto" w:fill="auto"/>
                  <w:vAlign w:val="center"/>
                </w:tcPr>
                <w:p w14:paraId="59020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25" w:type="dxa"/>
                  <w:shd w:val="clear" w:color="auto" w:fill="auto"/>
                  <w:vAlign w:val="center"/>
                </w:tcPr>
                <w:p w14:paraId="1EA54A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42 </w:t>
                  </w:r>
                </w:p>
              </w:tc>
              <w:tc>
                <w:tcPr>
                  <w:tcW w:w="585" w:type="dxa"/>
                  <w:shd w:val="clear" w:color="auto" w:fill="auto"/>
                  <w:vAlign w:val="center"/>
                </w:tcPr>
                <w:p w14:paraId="7D7C5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 </w:t>
                  </w:r>
                </w:p>
              </w:tc>
              <w:tc>
                <w:tcPr>
                  <w:tcW w:w="495" w:type="dxa"/>
                  <w:shd w:val="clear" w:color="auto" w:fill="auto"/>
                  <w:vAlign w:val="center"/>
                </w:tcPr>
                <w:p w14:paraId="1C440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11699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E26F3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5FBD1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1E0CE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ECB43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2F4B0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553C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45216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4E7EC7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3C60E8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BF5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42A0E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283</w:t>
                  </w:r>
                </w:p>
              </w:tc>
              <w:tc>
                <w:tcPr>
                  <w:tcW w:w="1485" w:type="dxa"/>
                  <w:shd w:val="clear" w:color="auto" w:fill="auto"/>
                  <w:vAlign w:val="center"/>
                </w:tcPr>
                <w:p w14:paraId="54C7B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11#线切割</w:t>
                  </w:r>
                </w:p>
              </w:tc>
              <w:tc>
                <w:tcPr>
                  <w:tcW w:w="765" w:type="dxa"/>
                  <w:shd w:val="clear" w:color="auto" w:fill="auto"/>
                  <w:vAlign w:val="center"/>
                </w:tcPr>
                <w:p w14:paraId="5DA39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C110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21D48D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630" w:type="dxa"/>
                  <w:shd w:val="clear" w:color="auto" w:fill="auto"/>
                  <w:vAlign w:val="center"/>
                </w:tcPr>
                <w:p w14:paraId="22128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w:t>
                  </w:r>
                </w:p>
              </w:tc>
              <w:tc>
                <w:tcPr>
                  <w:tcW w:w="375" w:type="dxa"/>
                  <w:shd w:val="clear" w:color="auto" w:fill="auto"/>
                  <w:vAlign w:val="center"/>
                </w:tcPr>
                <w:p w14:paraId="28AB6D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49889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570" w:type="dxa"/>
                  <w:shd w:val="clear" w:color="auto" w:fill="auto"/>
                  <w:vAlign w:val="center"/>
                </w:tcPr>
                <w:p w14:paraId="04FEB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121 </w:t>
                  </w:r>
                </w:p>
              </w:tc>
              <w:tc>
                <w:tcPr>
                  <w:tcW w:w="525" w:type="dxa"/>
                  <w:shd w:val="clear" w:color="auto" w:fill="auto"/>
                  <w:vAlign w:val="center"/>
                </w:tcPr>
                <w:p w14:paraId="3DEB6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585" w:type="dxa"/>
                  <w:shd w:val="clear" w:color="auto" w:fill="auto"/>
                  <w:vAlign w:val="center"/>
                </w:tcPr>
                <w:p w14:paraId="2FEC53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495" w:type="dxa"/>
                  <w:shd w:val="clear" w:color="auto" w:fill="auto"/>
                  <w:vAlign w:val="center"/>
                </w:tcPr>
                <w:p w14:paraId="48378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80BEA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92AE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4FD30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75F9AC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76A2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50A10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45A5F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73025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598850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12D6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C70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49C2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284</w:t>
                  </w:r>
                </w:p>
              </w:tc>
              <w:tc>
                <w:tcPr>
                  <w:tcW w:w="1485" w:type="dxa"/>
                  <w:shd w:val="clear" w:color="auto" w:fill="auto"/>
                  <w:vAlign w:val="center"/>
                </w:tcPr>
                <w:p w14:paraId="3D7DD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12#线切割</w:t>
                  </w:r>
                </w:p>
              </w:tc>
              <w:tc>
                <w:tcPr>
                  <w:tcW w:w="765" w:type="dxa"/>
                  <w:shd w:val="clear" w:color="auto" w:fill="auto"/>
                  <w:vAlign w:val="center"/>
                </w:tcPr>
                <w:p w14:paraId="236E1D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887B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5F23A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630" w:type="dxa"/>
                  <w:shd w:val="clear" w:color="auto" w:fill="auto"/>
                  <w:vAlign w:val="center"/>
                </w:tcPr>
                <w:p w14:paraId="2FB36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w:t>
                  </w:r>
                </w:p>
              </w:tc>
              <w:tc>
                <w:tcPr>
                  <w:tcW w:w="375" w:type="dxa"/>
                  <w:shd w:val="clear" w:color="auto" w:fill="auto"/>
                  <w:vAlign w:val="center"/>
                </w:tcPr>
                <w:p w14:paraId="6BE73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561DC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570" w:type="dxa"/>
                  <w:shd w:val="clear" w:color="auto" w:fill="auto"/>
                  <w:vAlign w:val="center"/>
                </w:tcPr>
                <w:p w14:paraId="1EB24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525" w:type="dxa"/>
                  <w:shd w:val="clear" w:color="auto" w:fill="auto"/>
                  <w:vAlign w:val="center"/>
                </w:tcPr>
                <w:p w14:paraId="36FD0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585" w:type="dxa"/>
                  <w:shd w:val="clear" w:color="auto" w:fill="auto"/>
                  <w:vAlign w:val="center"/>
                </w:tcPr>
                <w:p w14:paraId="615D5A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495" w:type="dxa"/>
                  <w:shd w:val="clear" w:color="auto" w:fill="auto"/>
                  <w:vAlign w:val="center"/>
                </w:tcPr>
                <w:p w14:paraId="4EF36A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854D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481030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72FC18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DE5D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04E23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2F5A0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555A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ACAE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5CA46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2858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C21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7B0C3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285</w:t>
                  </w:r>
                </w:p>
              </w:tc>
              <w:tc>
                <w:tcPr>
                  <w:tcW w:w="1485" w:type="dxa"/>
                  <w:shd w:val="clear" w:color="auto" w:fill="auto"/>
                  <w:vAlign w:val="center"/>
                </w:tcPr>
                <w:p w14:paraId="1E64F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13#线切割</w:t>
                  </w:r>
                </w:p>
              </w:tc>
              <w:tc>
                <w:tcPr>
                  <w:tcW w:w="765" w:type="dxa"/>
                  <w:shd w:val="clear" w:color="auto" w:fill="auto"/>
                  <w:vAlign w:val="center"/>
                </w:tcPr>
                <w:p w14:paraId="568A6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4EB8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2EAC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630" w:type="dxa"/>
                  <w:shd w:val="clear" w:color="auto" w:fill="auto"/>
                  <w:vAlign w:val="center"/>
                </w:tcPr>
                <w:p w14:paraId="15500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dxa"/>
                  <w:shd w:val="clear" w:color="auto" w:fill="auto"/>
                  <w:vAlign w:val="center"/>
                </w:tcPr>
                <w:p w14:paraId="7ED97A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5918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570" w:type="dxa"/>
                  <w:shd w:val="clear" w:color="auto" w:fill="auto"/>
                  <w:vAlign w:val="center"/>
                </w:tcPr>
                <w:p w14:paraId="703B2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25" w:type="dxa"/>
                  <w:shd w:val="clear" w:color="auto" w:fill="auto"/>
                  <w:vAlign w:val="center"/>
                </w:tcPr>
                <w:p w14:paraId="6EAEE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585" w:type="dxa"/>
                  <w:shd w:val="clear" w:color="auto" w:fill="auto"/>
                  <w:vAlign w:val="center"/>
                </w:tcPr>
                <w:p w14:paraId="55F07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 </w:t>
                  </w:r>
                </w:p>
              </w:tc>
              <w:tc>
                <w:tcPr>
                  <w:tcW w:w="495" w:type="dxa"/>
                  <w:shd w:val="clear" w:color="auto" w:fill="auto"/>
                  <w:vAlign w:val="center"/>
                </w:tcPr>
                <w:p w14:paraId="08FD8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3D0DC4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156D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72ADB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40CCA6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6B40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289DB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7FD3C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53BA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1F343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5DAA6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6CC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444BA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286</w:t>
                  </w:r>
                </w:p>
              </w:tc>
              <w:tc>
                <w:tcPr>
                  <w:tcW w:w="1485" w:type="dxa"/>
                  <w:shd w:val="clear" w:color="auto" w:fill="auto"/>
                  <w:vAlign w:val="center"/>
                </w:tcPr>
                <w:p w14:paraId="2A2632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14#线切割</w:t>
                  </w:r>
                </w:p>
              </w:tc>
              <w:tc>
                <w:tcPr>
                  <w:tcW w:w="765" w:type="dxa"/>
                  <w:shd w:val="clear" w:color="auto" w:fill="auto"/>
                  <w:vAlign w:val="center"/>
                </w:tcPr>
                <w:p w14:paraId="12E74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68590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3777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630" w:type="dxa"/>
                  <w:shd w:val="clear" w:color="auto" w:fill="auto"/>
                  <w:vAlign w:val="center"/>
                </w:tcPr>
                <w:p w14:paraId="713E0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c>
                <w:tcPr>
                  <w:tcW w:w="375" w:type="dxa"/>
                  <w:shd w:val="clear" w:color="auto" w:fill="auto"/>
                  <w:vAlign w:val="center"/>
                </w:tcPr>
                <w:p w14:paraId="494EE8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AFC4A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570" w:type="dxa"/>
                  <w:shd w:val="clear" w:color="auto" w:fill="auto"/>
                  <w:vAlign w:val="center"/>
                </w:tcPr>
                <w:p w14:paraId="1B5F9B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525" w:type="dxa"/>
                  <w:shd w:val="clear" w:color="auto" w:fill="auto"/>
                  <w:vAlign w:val="center"/>
                </w:tcPr>
                <w:p w14:paraId="4290D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585" w:type="dxa"/>
                  <w:shd w:val="clear" w:color="auto" w:fill="auto"/>
                  <w:vAlign w:val="center"/>
                </w:tcPr>
                <w:p w14:paraId="4D7C52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 </w:t>
                  </w:r>
                </w:p>
              </w:tc>
              <w:tc>
                <w:tcPr>
                  <w:tcW w:w="495" w:type="dxa"/>
                  <w:shd w:val="clear" w:color="auto" w:fill="auto"/>
                  <w:vAlign w:val="center"/>
                </w:tcPr>
                <w:p w14:paraId="318AD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0C12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5257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2A3D43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74859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7522B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21B73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16167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513FF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25D3D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39BFC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19E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00B8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287</w:t>
                  </w:r>
                </w:p>
              </w:tc>
              <w:tc>
                <w:tcPr>
                  <w:tcW w:w="1485" w:type="dxa"/>
                  <w:shd w:val="clear" w:color="auto" w:fill="auto"/>
                  <w:vAlign w:val="center"/>
                </w:tcPr>
                <w:p w14:paraId="1CCFE2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15#线切割</w:t>
                  </w:r>
                </w:p>
              </w:tc>
              <w:tc>
                <w:tcPr>
                  <w:tcW w:w="765" w:type="dxa"/>
                  <w:shd w:val="clear" w:color="auto" w:fill="auto"/>
                  <w:vAlign w:val="center"/>
                </w:tcPr>
                <w:p w14:paraId="494015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A790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62493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630" w:type="dxa"/>
                  <w:shd w:val="clear" w:color="auto" w:fill="auto"/>
                  <w:vAlign w:val="center"/>
                </w:tcPr>
                <w:p w14:paraId="65C6E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375" w:type="dxa"/>
                  <w:shd w:val="clear" w:color="auto" w:fill="auto"/>
                  <w:vAlign w:val="center"/>
                </w:tcPr>
                <w:p w14:paraId="15134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6308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570" w:type="dxa"/>
                  <w:shd w:val="clear" w:color="auto" w:fill="auto"/>
                  <w:vAlign w:val="center"/>
                </w:tcPr>
                <w:p w14:paraId="3F6C9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109 </w:t>
                  </w:r>
                </w:p>
              </w:tc>
              <w:tc>
                <w:tcPr>
                  <w:tcW w:w="525" w:type="dxa"/>
                  <w:shd w:val="clear" w:color="auto" w:fill="auto"/>
                  <w:vAlign w:val="center"/>
                </w:tcPr>
                <w:p w14:paraId="3DB3BE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585" w:type="dxa"/>
                  <w:shd w:val="clear" w:color="auto" w:fill="auto"/>
                  <w:vAlign w:val="center"/>
                </w:tcPr>
                <w:p w14:paraId="70690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61 </w:t>
                  </w:r>
                </w:p>
              </w:tc>
              <w:tc>
                <w:tcPr>
                  <w:tcW w:w="495" w:type="dxa"/>
                  <w:shd w:val="clear" w:color="auto" w:fill="auto"/>
                  <w:vAlign w:val="center"/>
                </w:tcPr>
                <w:p w14:paraId="266A64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67957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7E145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1A510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2D1B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C899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9C64A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091406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6D0D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14B13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F3FF7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AF8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AC73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288</w:t>
                  </w:r>
                </w:p>
              </w:tc>
              <w:tc>
                <w:tcPr>
                  <w:tcW w:w="1485" w:type="dxa"/>
                  <w:shd w:val="clear" w:color="auto" w:fill="auto"/>
                  <w:vAlign w:val="center"/>
                </w:tcPr>
                <w:p w14:paraId="4973A5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16#线切割</w:t>
                  </w:r>
                </w:p>
              </w:tc>
              <w:tc>
                <w:tcPr>
                  <w:tcW w:w="765" w:type="dxa"/>
                  <w:shd w:val="clear" w:color="auto" w:fill="auto"/>
                  <w:vAlign w:val="center"/>
                </w:tcPr>
                <w:p w14:paraId="3A801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2FD8F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328D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630" w:type="dxa"/>
                  <w:shd w:val="clear" w:color="auto" w:fill="auto"/>
                  <w:vAlign w:val="center"/>
                </w:tcPr>
                <w:p w14:paraId="0EE44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p>
              </w:tc>
              <w:tc>
                <w:tcPr>
                  <w:tcW w:w="375" w:type="dxa"/>
                  <w:shd w:val="clear" w:color="auto" w:fill="auto"/>
                  <w:vAlign w:val="center"/>
                </w:tcPr>
                <w:p w14:paraId="16679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D1182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570" w:type="dxa"/>
                  <w:shd w:val="clear" w:color="auto" w:fill="auto"/>
                  <w:vAlign w:val="center"/>
                </w:tcPr>
                <w:p w14:paraId="12DA7A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106 </w:t>
                  </w:r>
                </w:p>
              </w:tc>
              <w:tc>
                <w:tcPr>
                  <w:tcW w:w="525" w:type="dxa"/>
                  <w:shd w:val="clear" w:color="auto" w:fill="auto"/>
                  <w:vAlign w:val="center"/>
                </w:tcPr>
                <w:p w14:paraId="149AA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585" w:type="dxa"/>
                  <w:shd w:val="clear" w:color="auto" w:fill="auto"/>
                  <w:vAlign w:val="center"/>
                </w:tcPr>
                <w:p w14:paraId="665E4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64 </w:t>
                  </w:r>
                </w:p>
              </w:tc>
              <w:tc>
                <w:tcPr>
                  <w:tcW w:w="495" w:type="dxa"/>
                  <w:shd w:val="clear" w:color="auto" w:fill="auto"/>
                  <w:vAlign w:val="center"/>
                </w:tcPr>
                <w:p w14:paraId="54DD8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B7AB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060EF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627446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6C5F7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79BA1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AF8A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3EFC6A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CF84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02384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35256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A1E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4EFCF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289</w:t>
                  </w:r>
                </w:p>
              </w:tc>
              <w:tc>
                <w:tcPr>
                  <w:tcW w:w="1485" w:type="dxa"/>
                  <w:shd w:val="clear" w:color="auto" w:fill="auto"/>
                  <w:vAlign w:val="center"/>
                </w:tcPr>
                <w:p w14:paraId="10E7E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17#线切割</w:t>
                  </w:r>
                </w:p>
              </w:tc>
              <w:tc>
                <w:tcPr>
                  <w:tcW w:w="765" w:type="dxa"/>
                  <w:shd w:val="clear" w:color="auto" w:fill="auto"/>
                  <w:vAlign w:val="center"/>
                </w:tcPr>
                <w:p w14:paraId="55AA5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EAFB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1DF95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630" w:type="dxa"/>
                  <w:shd w:val="clear" w:color="auto" w:fill="auto"/>
                  <w:vAlign w:val="center"/>
                </w:tcPr>
                <w:p w14:paraId="32C50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375" w:type="dxa"/>
                  <w:shd w:val="clear" w:color="auto" w:fill="auto"/>
                  <w:vAlign w:val="center"/>
                </w:tcPr>
                <w:p w14:paraId="77344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2E421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570" w:type="dxa"/>
                  <w:shd w:val="clear" w:color="auto" w:fill="auto"/>
                  <w:vAlign w:val="center"/>
                </w:tcPr>
                <w:p w14:paraId="52D715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103 </w:t>
                  </w:r>
                </w:p>
              </w:tc>
              <w:tc>
                <w:tcPr>
                  <w:tcW w:w="525" w:type="dxa"/>
                  <w:shd w:val="clear" w:color="auto" w:fill="auto"/>
                  <w:vAlign w:val="center"/>
                </w:tcPr>
                <w:p w14:paraId="6CC63D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585" w:type="dxa"/>
                  <w:shd w:val="clear" w:color="auto" w:fill="auto"/>
                  <w:vAlign w:val="center"/>
                </w:tcPr>
                <w:p w14:paraId="0BCA3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67 </w:t>
                  </w:r>
                </w:p>
              </w:tc>
              <w:tc>
                <w:tcPr>
                  <w:tcW w:w="495" w:type="dxa"/>
                  <w:shd w:val="clear" w:color="auto" w:fill="auto"/>
                  <w:vAlign w:val="center"/>
                </w:tcPr>
                <w:p w14:paraId="10CD0E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7AF527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670C1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64BC77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9572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5D206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3F8E0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9EA8E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0573A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42FF00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ABBE6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98E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4BC5F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290</w:t>
                  </w:r>
                </w:p>
              </w:tc>
              <w:tc>
                <w:tcPr>
                  <w:tcW w:w="1485" w:type="dxa"/>
                  <w:shd w:val="clear" w:color="auto" w:fill="auto"/>
                  <w:vAlign w:val="center"/>
                </w:tcPr>
                <w:p w14:paraId="52866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18#线切割</w:t>
                  </w:r>
                </w:p>
              </w:tc>
              <w:tc>
                <w:tcPr>
                  <w:tcW w:w="765" w:type="dxa"/>
                  <w:shd w:val="clear" w:color="auto" w:fill="auto"/>
                  <w:vAlign w:val="center"/>
                </w:tcPr>
                <w:p w14:paraId="3F878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671D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61F8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630" w:type="dxa"/>
                  <w:shd w:val="clear" w:color="auto" w:fill="auto"/>
                  <w:vAlign w:val="center"/>
                </w:tcPr>
                <w:p w14:paraId="67E49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375" w:type="dxa"/>
                  <w:shd w:val="clear" w:color="auto" w:fill="auto"/>
                  <w:vAlign w:val="center"/>
                </w:tcPr>
                <w:p w14:paraId="26EE8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6449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570" w:type="dxa"/>
                  <w:shd w:val="clear" w:color="auto" w:fill="auto"/>
                  <w:vAlign w:val="center"/>
                </w:tcPr>
                <w:p w14:paraId="12090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525" w:type="dxa"/>
                  <w:shd w:val="clear" w:color="auto" w:fill="auto"/>
                  <w:vAlign w:val="center"/>
                </w:tcPr>
                <w:p w14:paraId="22F30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585" w:type="dxa"/>
                  <w:shd w:val="clear" w:color="auto" w:fill="auto"/>
                  <w:vAlign w:val="center"/>
                </w:tcPr>
                <w:p w14:paraId="428396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 </w:t>
                  </w:r>
                </w:p>
              </w:tc>
              <w:tc>
                <w:tcPr>
                  <w:tcW w:w="495" w:type="dxa"/>
                  <w:shd w:val="clear" w:color="auto" w:fill="auto"/>
                  <w:vAlign w:val="center"/>
                </w:tcPr>
                <w:p w14:paraId="74438F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26F65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6FD26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0C3CB8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F0E3E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031D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05C32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2798E9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67195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3B434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C1433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76A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547FD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291</w:t>
                  </w:r>
                </w:p>
              </w:tc>
              <w:tc>
                <w:tcPr>
                  <w:tcW w:w="1485" w:type="dxa"/>
                  <w:shd w:val="clear" w:color="auto" w:fill="auto"/>
                  <w:vAlign w:val="center"/>
                </w:tcPr>
                <w:p w14:paraId="338D03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19#线切割</w:t>
                  </w:r>
                </w:p>
              </w:tc>
              <w:tc>
                <w:tcPr>
                  <w:tcW w:w="765" w:type="dxa"/>
                  <w:shd w:val="clear" w:color="auto" w:fill="auto"/>
                  <w:vAlign w:val="center"/>
                </w:tcPr>
                <w:p w14:paraId="657AE4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37DFDC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B2C23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630" w:type="dxa"/>
                  <w:shd w:val="clear" w:color="auto" w:fill="auto"/>
                  <w:vAlign w:val="center"/>
                </w:tcPr>
                <w:p w14:paraId="2A35DE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375" w:type="dxa"/>
                  <w:shd w:val="clear" w:color="auto" w:fill="auto"/>
                  <w:vAlign w:val="center"/>
                </w:tcPr>
                <w:p w14:paraId="6E595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371801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570" w:type="dxa"/>
                  <w:shd w:val="clear" w:color="auto" w:fill="auto"/>
                  <w:vAlign w:val="center"/>
                </w:tcPr>
                <w:p w14:paraId="5B6D89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97 </w:t>
                  </w:r>
                </w:p>
              </w:tc>
              <w:tc>
                <w:tcPr>
                  <w:tcW w:w="525" w:type="dxa"/>
                  <w:shd w:val="clear" w:color="auto" w:fill="auto"/>
                  <w:vAlign w:val="center"/>
                </w:tcPr>
                <w:p w14:paraId="2B58A7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585" w:type="dxa"/>
                  <w:shd w:val="clear" w:color="auto" w:fill="auto"/>
                  <w:vAlign w:val="center"/>
                </w:tcPr>
                <w:p w14:paraId="65195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 </w:t>
                  </w:r>
                </w:p>
              </w:tc>
              <w:tc>
                <w:tcPr>
                  <w:tcW w:w="495" w:type="dxa"/>
                  <w:shd w:val="clear" w:color="auto" w:fill="auto"/>
                  <w:vAlign w:val="center"/>
                </w:tcPr>
                <w:p w14:paraId="59FBF0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5D1BA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27249E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0D51E4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06F1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9C14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EA540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79873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19050F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6AB77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12CE3C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7D03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58F09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292</w:t>
                  </w:r>
                </w:p>
              </w:tc>
              <w:tc>
                <w:tcPr>
                  <w:tcW w:w="1485" w:type="dxa"/>
                  <w:shd w:val="clear" w:color="auto" w:fill="auto"/>
                  <w:vAlign w:val="center"/>
                </w:tcPr>
                <w:p w14:paraId="439FC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20#线切割</w:t>
                  </w:r>
                </w:p>
              </w:tc>
              <w:tc>
                <w:tcPr>
                  <w:tcW w:w="765" w:type="dxa"/>
                  <w:shd w:val="clear" w:color="auto" w:fill="auto"/>
                  <w:vAlign w:val="center"/>
                </w:tcPr>
                <w:p w14:paraId="5BB91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7C8668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73B9EC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630" w:type="dxa"/>
                  <w:shd w:val="clear" w:color="auto" w:fill="auto"/>
                  <w:vAlign w:val="center"/>
                </w:tcPr>
                <w:p w14:paraId="12D44E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375" w:type="dxa"/>
                  <w:shd w:val="clear" w:color="auto" w:fill="auto"/>
                  <w:vAlign w:val="center"/>
                </w:tcPr>
                <w:p w14:paraId="7A794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3E663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570" w:type="dxa"/>
                  <w:shd w:val="clear" w:color="auto" w:fill="auto"/>
                  <w:vAlign w:val="center"/>
                </w:tcPr>
                <w:p w14:paraId="4D209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525" w:type="dxa"/>
                  <w:shd w:val="clear" w:color="auto" w:fill="auto"/>
                  <w:vAlign w:val="center"/>
                </w:tcPr>
                <w:p w14:paraId="2EE07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37 </w:t>
                  </w:r>
                </w:p>
              </w:tc>
              <w:tc>
                <w:tcPr>
                  <w:tcW w:w="585" w:type="dxa"/>
                  <w:shd w:val="clear" w:color="auto" w:fill="auto"/>
                  <w:vAlign w:val="center"/>
                </w:tcPr>
                <w:p w14:paraId="076F4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 </w:t>
                  </w:r>
                </w:p>
              </w:tc>
              <w:tc>
                <w:tcPr>
                  <w:tcW w:w="495" w:type="dxa"/>
                  <w:shd w:val="clear" w:color="auto" w:fill="auto"/>
                  <w:vAlign w:val="center"/>
                </w:tcPr>
                <w:p w14:paraId="0E8F24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0" w:type="dxa"/>
                  <w:shd w:val="clear" w:color="auto" w:fill="auto"/>
                  <w:vAlign w:val="center"/>
                </w:tcPr>
                <w:p w14:paraId="00B922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38354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 </w:t>
                  </w:r>
                </w:p>
              </w:tc>
              <w:tc>
                <w:tcPr>
                  <w:tcW w:w="670" w:type="dxa"/>
                  <w:shd w:val="clear" w:color="auto" w:fill="auto"/>
                  <w:vAlign w:val="center"/>
                </w:tcPr>
                <w:p w14:paraId="69A622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A145C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4E0CE3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67375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80" w:type="dxa"/>
                  <w:shd w:val="clear" w:color="auto" w:fill="auto"/>
                  <w:vAlign w:val="center"/>
                </w:tcPr>
                <w:p w14:paraId="602D4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2FD2E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28 </w:t>
                  </w:r>
                </w:p>
              </w:tc>
              <w:tc>
                <w:tcPr>
                  <w:tcW w:w="450" w:type="dxa"/>
                  <w:shd w:val="clear" w:color="auto" w:fill="auto"/>
                  <w:vAlign w:val="center"/>
                </w:tcPr>
                <w:p w14:paraId="74081F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25A71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B85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11659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293</w:t>
                  </w:r>
                </w:p>
              </w:tc>
              <w:tc>
                <w:tcPr>
                  <w:tcW w:w="1485" w:type="dxa"/>
                  <w:shd w:val="clear" w:color="auto" w:fill="auto"/>
                  <w:vAlign w:val="center"/>
                </w:tcPr>
                <w:p w14:paraId="3C10E2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端面磨床</w:t>
                  </w:r>
                </w:p>
              </w:tc>
              <w:tc>
                <w:tcPr>
                  <w:tcW w:w="765" w:type="dxa"/>
                  <w:shd w:val="clear" w:color="auto" w:fill="auto"/>
                  <w:vAlign w:val="center"/>
                </w:tcPr>
                <w:p w14:paraId="447C47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03D9B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E564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630" w:type="dxa"/>
                  <w:shd w:val="clear" w:color="auto" w:fill="auto"/>
                  <w:vAlign w:val="center"/>
                </w:tcPr>
                <w:p w14:paraId="251D1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375" w:type="dxa"/>
                  <w:shd w:val="clear" w:color="auto" w:fill="auto"/>
                  <w:vAlign w:val="center"/>
                </w:tcPr>
                <w:p w14:paraId="1088F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52D64C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570" w:type="dxa"/>
                  <w:shd w:val="clear" w:color="auto" w:fill="auto"/>
                  <w:vAlign w:val="center"/>
                </w:tcPr>
                <w:p w14:paraId="6567F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101 </w:t>
                  </w:r>
                </w:p>
              </w:tc>
              <w:tc>
                <w:tcPr>
                  <w:tcW w:w="525" w:type="dxa"/>
                  <w:shd w:val="clear" w:color="auto" w:fill="auto"/>
                  <w:vAlign w:val="center"/>
                </w:tcPr>
                <w:p w14:paraId="2F342D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585" w:type="dxa"/>
                  <w:shd w:val="clear" w:color="auto" w:fill="auto"/>
                  <w:vAlign w:val="center"/>
                </w:tcPr>
                <w:p w14:paraId="6E792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69 </w:t>
                  </w:r>
                </w:p>
              </w:tc>
              <w:tc>
                <w:tcPr>
                  <w:tcW w:w="495" w:type="dxa"/>
                  <w:shd w:val="clear" w:color="auto" w:fill="auto"/>
                  <w:vAlign w:val="center"/>
                </w:tcPr>
                <w:p w14:paraId="7AFCF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0" w:type="dxa"/>
                  <w:shd w:val="clear" w:color="auto" w:fill="auto"/>
                  <w:vAlign w:val="center"/>
                </w:tcPr>
                <w:p w14:paraId="687ED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35" w:type="dxa"/>
                  <w:shd w:val="clear" w:color="auto" w:fill="auto"/>
                  <w:vAlign w:val="center"/>
                </w:tcPr>
                <w:p w14:paraId="1B632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B580F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5CA49D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60A47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C2404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80" w:type="dxa"/>
                  <w:shd w:val="clear" w:color="auto" w:fill="auto"/>
                  <w:vAlign w:val="center"/>
                </w:tcPr>
                <w:p w14:paraId="39336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05" w:type="dxa"/>
                  <w:shd w:val="clear" w:color="auto" w:fill="auto"/>
                  <w:vAlign w:val="center"/>
                </w:tcPr>
                <w:p w14:paraId="6F064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6656D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42D1F8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513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06478C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294</w:t>
                  </w:r>
                </w:p>
              </w:tc>
              <w:tc>
                <w:tcPr>
                  <w:tcW w:w="1485" w:type="dxa"/>
                  <w:shd w:val="clear" w:color="auto" w:fill="auto"/>
                  <w:vAlign w:val="center"/>
                </w:tcPr>
                <w:p w14:paraId="14D4D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1#滑块防锈机</w:t>
                  </w:r>
                </w:p>
              </w:tc>
              <w:tc>
                <w:tcPr>
                  <w:tcW w:w="765" w:type="dxa"/>
                  <w:shd w:val="clear" w:color="auto" w:fill="auto"/>
                  <w:vAlign w:val="center"/>
                </w:tcPr>
                <w:p w14:paraId="76F7D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11AA6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CF56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53</w:t>
                  </w:r>
                </w:p>
              </w:tc>
              <w:tc>
                <w:tcPr>
                  <w:tcW w:w="630" w:type="dxa"/>
                  <w:shd w:val="clear" w:color="auto" w:fill="auto"/>
                  <w:vAlign w:val="center"/>
                </w:tcPr>
                <w:p w14:paraId="5C37AD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-63</w:t>
                  </w:r>
                </w:p>
              </w:tc>
              <w:tc>
                <w:tcPr>
                  <w:tcW w:w="375" w:type="dxa"/>
                  <w:shd w:val="clear" w:color="auto" w:fill="auto"/>
                  <w:vAlign w:val="center"/>
                </w:tcPr>
                <w:p w14:paraId="0A584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7AC963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 </w:t>
                  </w:r>
                </w:p>
              </w:tc>
              <w:tc>
                <w:tcPr>
                  <w:tcW w:w="570" w:type="dxa"/>
                  <w:shd w:val="clear" w:color="auto" w:fill="auto"/>
                  <w:vAlign w:val="center"/>
                </w:tcPr>
                <w:p w14:paraId="0CC433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525" w:type="dxa"/>
                  <w:shd w:val="clear" w:color="auto" w:fill="auto"/>
                  <w:vAlign w:val="center"/>
                </w:tcPr>
                <w:p w14:paraId="290BF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585" w:type="dxa"/>
                  <w:shd w:val="clear" w:color="auto" w:fill="auto"/>
                  <w:vAlign w:val="center"/>
                </w:tcPr>
                <w:p w14:paraId="12A7A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148 </w:t>
                  </w:r>
                </w:p>
              </w:tc>
              <w:tc>
                <w:tcPr>
                  <w:tcW w:w="495" w:type="dxa"/>
                  <w:shd w:val="clear" w:color="auto" w:fill="auto"/>
                  <w:vAlign w:val="center"/>
                </w:tcPr>
                <w:p w14:paraId="7FAA2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 </w:t>
                  </w:r>
                </w:p>
              </w:tc>
              <w:tc>
                <w:tcPr>
                  <w:tcW w:w="480" w:type="dxa"/>
                  <w:shd w:val="clear" w:color="auto" w:fill="auto"/>
                  <w:vAlign w:val="center"/>
                </w:tcPr>
                <w:p w14:paraId="009A8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35" w:type="dxa"/>
                  <w:shd w:val="clear" w:color="auto" w:fill="auto"/>
                  <w:vAlign w:val="center"/>
                </w:tcPr>
                <w:p w14:paraId="4FD6A8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289FD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2B309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0E9A9D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75F2CE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 </w:t>
                  </w:r>
                </w:p>
              </w:tc>
              <w:tc>
                <w:tcPr>
                  <w:tcW w:w="480" w:type="dxa"/>
                  <w:shd w:val="clear" w:color="auto" w:fill="auto"/>
                  <w:vAlign w:val="center"/>
                </w:tcPr>
                <w:p w14:paraId="5269C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05" w:type="dxa"/>
                  <w:shd w:val="clear" w:color="auto" w:fill="auto"/>
                  <w:vAlign w:val="center"/>
                </w:tcPr>
                <w:p w14:paraId="0CF82F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5AFC6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C6B82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547E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050505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295</w:t>
                  </w:r>
                </w:p>
              </w:tc>
              <w:tc>
                <w:tcPr>
                  <w:tcW w:w="1485" w:type="dxa"/>
                  <w:shd w:val="clear" w:color="auto" w:fill="auto"/>
                  <w:vAlign w:val="center"/>
                </w:tcPr>
                <w:p w14:paraId="5933E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2#滑块防锈机</w:t>
                  </w:r>
                </w:p>
              </w:tc>
              <w:tc>
                <w:tcPr>
                  <w:tcW w:w="765" w:type="dxa"/>
                  <w:shd w:val="clear" w:color="auto" w:fill="auto"/>
                  <w:vAlign w:val="center"/>
                </w:tcPr>
                <w:p w14:paraId="3308F6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5D6D03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0897D2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630" w:type="dxa"/>
                  <w:shd w:val="clear" w:color="auto" w:fill="auto"/>
                  <w:vAlign w:val="center"/>
                </w:tcPr>
                <w:p w14:paraId="1C60B0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-63</w:t>
                  </w:r>
                </w:p>
              </w:tc>
              <w:tc>
                <w:tcPr>
                  <w:tcW w:w="375" w:type="dxa"/>
                  <w:shd w:val="clear" w:color="auto" w:fill="auto"/>
                  <w:vAlign w:val="center"/>
                </w:tcPr>
                <w:p w14:paraId="1B6E28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0E9B2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 </w:t>
                  </w:r>
                </w:p>
              </w:tc>
              <w:tc>
                <w:tcPr>
                  <w:tcW w:w="570" w:type="dxa"/>
                  <w:shd w:val="clear" w:color="auto" w:fill="auto"/>
                  <w:vAlign w:val="center"/>
                </w:tcPr>
                <w:p w14:paraId="194F1D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525" w:type="dxa"/>
                  <w:shd w:val="clear" w:color="auto" w:fill="auto"/>
                  <w:vAlign w:val="center"/>
                </w:tcPr>
                <w:p w14:paraId="2B4E9B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108 </w:t>
                  </w:r>
                </w:p>
              </w:tc>
              <w:tc>
                <w:tcPr>
                  <w:tcW w:w="585" w:type="dxa"/>
                  <w:shd w:val="clear" w:color="auto" w:fill="auto"/>
                  <w:vAlign w:val="center"/>
                </w:tcPr>
                <w:p w14:paraId="67A5C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148 </w:t>
                  </w:r>
                </w:p>
              </w:tc>
              <w:tc>
                <w:tcPr>
                  <w:tcW w:w="495" w:type="dxa"/>
                  <w:shd w:val="clear" w:color="auto" w:fill="auto"/>
                  <w:vAlign w:val="center"/>
                </w:tcPr>
                <w:p w14:paraId="286A9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480" w:type="dxa"/>
                  <w:shd w:val="clear" w:color="auto" w:fill="auto"/>
                  <w:vAlign w:val="center"/>
                </w:tcPr>
                <w:p w14:paraId="0B67D4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35" w:type="dxa"/>
                  <w:shd w:val="clear" w:color="auto" w:fill="auto"/>
                  <w:vAlign w:val="center"/>
                </w:tcPr>
                <w:p w14:paraId="06498E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0C871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454CA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22FB2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2491E8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 </w:t>
                  </w:r>
                </w:p>
              </w:tc>
              <w:tc>
                <w:tcPr>
                  <w:tcW w:w="480" w:type="dxa"/>
                  <w:shd w:val="clear" w:color="auto" w:fill="auto"/>
                  <w:vAlign w:val="center"/>
                </w:tcPr>
                <w:p w14:paraId="20F09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05" w:type="dxa"/>
                  <w:shd w:val="clear" w:color="auto" w:fill="auto"/>
                  <w:vAlign w:val="center"/>
                </w:tcPr>
                <w:p w14:paraId="437F9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376D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0970F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2D10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7DF26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296</w:t>
                  </w:r>
                </w:p>
              </w:tc>
              <w:tc>
                <w:tcPr>
                  <w:tcW w:w="1485" w:type="dxa"/>
                  <w:shd w:val="clear" w:color="auto" w:fill="auto"/>
                  <w:vAlign w:val="center"/>
                </w:tcPr>
                <w:p w14:paraId="6E5D6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3#滑块防锈机</w:t>
                  </w:r>
                </w:p>
              </w:tc>
              <w:tc>
                <w:tcPr>
                  <w:tcW w:w="765" w:type="dxa"/>
                  <w:shd w:val="clear" w:color="auto" w:fill="auto"/>
                  <w:vAlign w:val="center"/>
                </w:tcPr>
                <w:p w14:paraId="01DE55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330" w:type="dxa"/>
                  <w:vMerge w:val="continue"/>
                  <w:shd w:val="clear" w:color="auto" w:fill="auto"/>
                  <w:vAlign w:val="center"/>
                </w:tcPr>
                <w:p w14:paraId="245E0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600" w:type="dxa"/>
                  <w:shd w:val="clear" w:color="auto" w:fill="auto"/>
                  <w:vAlign w:val="center"/>
                </w:tcPr>
                <w:p w14:paraId="43BA00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630" w:type="dxa"/>
                  <w:shd w:val="clear" w:color="auto" w:fill="auto"/>
                  <w:vAlign w:val="center"/>
                </w:tcPr>
                <w:p w14:paraId="77C57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-63</w:t>
                  </w:r>
                </w:p>
              </w:tc>
              <w:tc>
                <w:tcPr>
                  <w:tcW w:w="375" w:type="dxa"/>
                  <w:shd w:val="clear" w:color="auto" w:fill="auto"/>
                  <w:vAlign w:val="center"/>
                </w:tcPr>
                <w:p w14:paraId="5305D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CBC7C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570" w:type="dxa"/>
                  <w:shd w:val="clear" w:color="auto" w:fill="auto"/>
                  <w:vAlign w:val="center"/>
                </w:tcPr>
                <w:p w14:paraId="227F3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 </w:t>
                  </w:r>
                </w:p>
              </w:tc>
              <w:tc>
                <w:tcPr>
                  <w:tcW w:w="525" w:type="dxa"/>
                  <w:shd w:val="clear" w:color="auto" w:fill="auto"/>
                  <w:vAlign w:val="center"/>
                </w:tcPr>
                <w:p w14:paraId="2D1E7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585" w:type="dxa"/>
                  <w:shd w:val="clear" w:color="auto" w:fill="auto"/>
                  <w:vAlign w:val="center"/>
                </w:tcPr>
                <w:p w14:paraId="6FF19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148 </w:t>
                  </w:r>
                </w:p>
              </w:tc>
              <w:tc>
                <w:tcPr>
                  <w:tcW w:w="495" w:type="dxa"/>
                  <w:shd w:val="clear" w:color="auto" w:fill="auto"/>
                  <w:vAlign w:val="center"/>
                </w:tcPr>
                <w:p w14:paraId="7AEDF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80" w:type="dxa"/>
                  <w:shd w:val="clear" w:color="auto" w:fill="auto"/>
                  <w:vAlign w:val="center"/>
                </w:tcPr>
                <w:p w14:paraId="1ABA7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35" w:type="dxa"/>
                  <w:shd w:val="clear" w:color="auto" w:fill="auto"/>
                  <w:vAlign w:val="center"/>
                </w:tcPr>
                <w:p w14:paraId="333E4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24F58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0C167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auto"/>
                      <w:sz w:val="18"/>
                      <w:szCs w:val="18"/>
                      <w:u w:val="none"/>
                    </w:rPr>
                  </w:pPr>
                </w:p>
              </w:tc>
              <w:tc>
                <w:tcPr>
                  <w:tcW w:w="586" w:type="dxa"/>
                  <w:shd w:val="clear" w:color="auto" w:fill="auto"/>
                  <w:vAlign w:val="center"/>
                </w:tcPr>
                <w:p w14:paraId="3E8B69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12CA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80" w:type="dxa"/>
                  <w:shd w:val="clear" w:color="auto" w:fill="auto"/>
                  <w:vAlign w:val="center"/>
                </w:tcPr>
                <w:p w14:paraId="1F656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05" w:type="dxa"/>
                  <w:shd w:val="clear" w:color="auto" w:fill="auto"/>
                  <w:vAlign w:val="center"/>
                </w:tcPr>
                <w:p w14:paraId="08750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45B80D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38AF2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678D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0" w:type="dxa"/>
                  <w:shd w:val="clear" w:color="auto" w:fill="auto"/>
                  <w:vAlign w:val="center"/>
                </w:tcPr>
                <w:p w14:paraId="27B20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29</w:t>
                  </w:r>
                  <w:r>
                    <w:rPr>
                      <w:rFonts w:hint="eastAsia" w:ascii="宋体" w:hAnsi="宋体" w:cs="宋体"/>
                      <w:i w:val="0"/>
                      <w:iCs w:val="0"/>
                      <w:color w:val="auto"/>
                      <w:kern w:val="0"/>
                      <w:sz w:val="18"/>
                      <w:szCs w:val="18"/>
                      <w:u w:val="none"/>
                      <w:lang w:val="en-US" w:eastAsia="zh-CN" w:bidi="ar"/>
                    </w:rPr>
                    <w:t>7</w:t>
                  </w:r>
                </w:p>
              </w:tc>
              <w:tc>
                <w:tcPr>
                  <w:tcW w:w="1485" w:type="dxa"/>
                  <w:shd w:val="clear" w:color="auto" w:fill="auto"/>
                  <w:vAlign w:val="center"/>
                </w:tcPr>
                <w:p w14:paraId="796411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1#清洗机</w:t>
                  </w:r>
                </w:p>
              </w:tc>
              <w:tc>
                <w:tcPr>
                  <w:tcW w:w="765" w:type="dxa"/>
                  <w:shd w:val="clear" w:color="auto" w:fill="auto"/>
                  <w:vAlign w:val="center"/>
                </w:tcPr>
                <w:p w14:paraId="73575A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Times New Roman" w:hAnsi="Times New Roman" w:cs="Times New Roman"/>
                      <w:i w:val="0"/>
                      <w:iCs w:val="0"/>
                      <w:color w:val="auto"/>
                      <w:kern w:val="0"/>
                      <w:sz w:val="18"/>
                      <w:szCs w:val="18"/>
                      <w:u w:val="none"/>
                      <w:lang w:val="en-US" w:eastAsia="zh-CN" w:bidi="ar"/>
                    </w:rPr>
                    <w:t>0</w:t>
                  </w:r>
                </w:p>
              </w:tc>
              <w:tc>
                <w:tcPr>
                  <w:tcW w:w="330" w:type="dxa"/>
                  <w:vMerge w:val="restart"/>
                  <w:shd w:val="clear" w:color="auto" w:fill="auto"/>
                  <w:vAlign w:val="center"/>
                </w:tcPr>
                <w:p w14:paraId="0C648F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宋体" w:hAnsi="宋体" w:eastAsia="宋体" w:cs="宋体"/>
                      <w:i w:val="0"/>
                      <w:iCs w:val="0"/>
                      <w:color w:val="auto"/>
                      <w:kern w:val="2"/>
                      <w:sz w:val="18"/>
                      <w:szCs w:val="18"/>
                      <w:u w:val="none"/>
                      <w:lang w:val="en-US" w:eastAsia="zh-CN" w:bidi="ar-SA"/>
                    </w:rPr>
                  </w:pPr>
                </w:p>
              </w:tc>
              <w:tc>
                <w:tcPr>
                  <w:tcW w:w="600" w:type="dxa"/>
                  <w:shd w:val="clear" w:color="auto" w:fill="auto"/>
                  <w:vAlign w:val="center"/>
                </w:tcPr>
                <w:p w14:paraId="46AC99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Times New Roman" w:hAnsi="Times New Roman" w:cs="Times New Roman"/>
                      <w:i w:val="0"/>
                      <w:iCs w:val="0"/>
                      <w:color w:val="auto"/>
                      <w:kern w:val="0"/>
                      <w:sz w:val="18"/>
                      <w:szCs w:val="18"/>
                      <w:u w:val="none"/>
                      <w:lang w:val="en-US" w:eastAsia="zh-CN" w:bidi="ar"/>
                    </w:rPr>
                    <w:t>5</w:t>
                  </w:r>
                </w:p>
              </w:tc>
              <w:tc>
                <w:tcPr>
                  <w:tcW w:w="630" w:type="dxa"/>
                  <w:shd w:val="clear" w:color="auto" w:fill="auto"/>
                  <w:vAlign w:val="center"/>
                </w:tcPr>
                <w:p w14:paraId="271606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Times New Roman" w:hAnsi="Times New Roman" w:cs="Times New Roman"/>
                      <w:i w:val="0"/>
                      <w:iCs w:val="0"/>
                      <w:color w:val="auto"/>
                      <w:kern w:val="0"/>
                      <w:sz w:val="18"/>
                      <w:szCs w:val="18"/>
                      <w:u w:val="none"/>
                      <w:lang w:val="en-US" w:eastAsia="zh-CN" w:bidi="ar"/>
                    </w:rPr>
                    <w:t>0</w:t>
                  </w:r>
                </w:p>
              </w:tc>
              <w:tc>
                <w:tcPr>
                  <w:tcW w:w="375" w:type="dxa"/>
                  <w:shd w:val="clear" w:color="auto" w:fill="auto"/>
                  <w:vAlign w:val="center"/>
                </w:tcPr>
                <w:p w14:paraId="10F5DB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16ECD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kern w:val="0"/>
                      <w:sz w:val="18"/>
                      <w:szCs w:val="18"/>
                      <w:u w:val="none"/>
                      <w:lang w:val="en-US" w:eastAsia="zh-CN" w:bidi="ar"/>
                    </w:rPr>
                    <w:t>27</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570" w:type="dxa"/>
                  <w:shd w:val="clear" w:color="auto" w:fill="auto"/>
                  <w:vAlign w:val="center"/>
                </w:tcPr>
                <w:p w14:paraId="012B5E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kern w:val="0"/>
                      <w:sz w:val="18"/>
                      <w:szCs w:val="18"/>
                      <w:u w:val="none"/>
                      <w:lang w:val="en-US" w:eastAsia="zh-CN" w:bidi="ar"/>
                    </w:rPr>
                    <w:t>25</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525" w:type="dxa"/>
                  <w:shd w:val="clear" w:color="auto" w:fill="auto"/>
                  <w:vAlign w:val="center"/>
                </w:tcPr>
                <w:p w14:paraId="197B4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585" w:type="dxa"/>
                  <w:shd w:val="clear" w:color="auto" w:fill="auto"/>
                  <w:vAlign w:val="center"/>
                </w:tcPr>
                <w:p w14:paraId="11FDF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148 </w:t>
                  </w:r>
                </w:p>
              </w:tc>
              <w:tc>
                <w:tcPr>
                  <w:tcW w:w="495" w:type="dxa"/>
                  <w:shd w:val="clear" w:color="auto" w:fill="auto"/>
                  <w:vAlign w:val="center"/>
                </w:tcPr>
                <w:p w14:paraId="0A84B1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kern w:val="2"/>
                      <w:sz w:val="18"/>
                      <w:szCs w:val="18"/>
                      <w:u w:val="none"/>
                      <w:lang w:val="en-US" w:eastAsia="zh-CN" w:bidi="ar-SA"/>
                    </w:rPr>
                    <w:t>48</w:t>
                  </w:r>
                </w:p>
              </w:tc>
              <w:tc>
                <w:tcPr>
                  <w:tcW w:w="480" w:type="dxa"/>
                  <w:shd w:val="clear" w:color="auto" w:fill="auto"/>
                  <w:vAlign w:val="center"/>
                </w:tcPr>
                <w:p w14:paraId="1C3EA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35" w:type="dxa"/>
                  <w:shd w:val="clear" w:color="auto" w:fill="auto"/>
                  <w:vAlign w:val="center"/>
                </w:tcPr>
                <w:p w14:paraId="179ADE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74FA2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restart"/>
                  <w:shd w:val="clear" w:color="auto" w:fill="auto"/>
                  <w:vAlign w:val="center"/>
                </w:tcPr>
                <w:p w14:paraId="151ED3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18"/>
                      <w:szCs w:val="18"/>
                      <w:u w:val="none"/>
                      <w:lang w:val="en-US" w:eastAsia="zh-CN" w:bidi="ar-SA"/>
                    </w:rPr>
                  </w:pPr>
                </w:p>
              </w:tc>
              <w:tc>
                <w:tcPr>
                  <w:tcW w:w="586" w:type="dxa"/>
                  <w:shd w:val="clear" w:color="auto" w:fill="auto"/>
                  <w:vAlign w:val="center"/>
                </w:tcPr>
                <w:p w14:paraId="2F406B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58837C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80" w:type="dxa"/>
                  <w:shd w:val="clear" w:color="auto" w:fill="auto"/>
                  <w:vAlign w:val="center"/>
                </w:tcPr>
                <w:p w14:paraId="2CF58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05" w:type="dxa"/>
                  <w:shd w:val="clear" w:color="auto" w:fill="auto"/>
                  <w:vAlign w:val="center"/>
                </w:tcPr>
                <w:p w14:paraId="3E366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0F0336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739DC2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r>
            <w:tr w14:paraId="0607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30" w:type="dxa"/>
                  <w:shd w:val="clear" w:color="auto" w:fill="auto"/>
                  <w:vAlign w:val="center"/>
                </w:tcPr>
                <w:p w14:paraId="24429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29</w:t>
                  </w:r>
                  <w:r>
                    <w:rPr>
                      <w:rFonts w:hint="eastAsia" w:ascii="宋体" w:hAnsi="宋体" w:cs="宋体"/>
                      <w:i w:val="0"/>
                      <w:iCs w:val="0"/>
                      <w:color w:val="auto"/>
                      <w:kern w:val="0"/>
                      <w:sz w:val="18"/>
                      <w:szCs w:val="18"/>
                      <w:u w:val="none"/>
                      <w:lang w:val="en-US" w:eastAsia="zh-CN" w:bidi="ar"/>
                    </w:rPr>
                    <w:t>8</w:t>
                  </w:r>
                </w:p>
              </w:tc>
              <w:tc>
                <w:tcPr>
                  <w:tcW w:w="1485" w:type="dxa"/>
                  <w:shd w:val="clear" w:color="auto" w:fill="auto"/>
                  <w:vAlign w:val="center"/>
                </w:tcPr>
                <w:p w14:paraId="13BB3D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2#清洗机</w:t>
                  </w:r>
                </w:p>
              </w:tc>
              <w:tc>
                <w:tcPr>
                  <w:tcW w:w="765" w:type="dxa"/>
                  <w:shd w:val="clear" w:color="auto" w:fill="auto"/>
                  <w:vAlign w:val="center"/>
                </w:tcPr>
                <w:p w14:paraId="712B4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Times New Roman" w:hAnsi="Times New Roman" w:cs="Times New Roman"/>
                      <w:i w:val="0"/>
                      <w:iCs w:val="0"/>
                      <w:color w:val="auto"/>
                      <w:kern w:val="0"/>
                      <w:sz w:val="18"/>
                      <w:szCs w:val="18"/>
                      <w:u w:val="none"/>
                      <w:lang w:val="en-US" w:eastAsia="zh-CN" w:bidi="ar"/>
                    </w:rPr>
                    <w:t>0</w:t>
                  </w:r>
                </w:p>
              </w:tc>
              <w:tc>
                <w:tcPr>
                  <w:tcW w:w="330" w:type="dxa"/>
                  <w:vMerge w:val="continue"/>
                  <w:shd w:val="clear" w:color="auto" w:fill="auto"/>
                  <w:vAlign w:val="center"/>
                </w:tcPr>
                <w:p w14:paraId="1E8F53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宋体" w:hAnsi="宋体" w:eastAsia="宋体" w:cs="宋体"/>
                      <w:i w:val="0"/>
                      <w:iCs w:val="0"/>
                      <w:color w:val="auto"/>
                      <w:kern w:val="2"/>
                      <w:sz w:val="18"/>
                      <w:szCs w:val="18"/>
                      <w:u w:val="none"/>
                      <w:lang w:val="en-US" w:eastAsia="zh-CN" w:bidi="ar-SA"/>
                    </w:rPr>
                  </w:pPr>
                </w:p>
              </w:tc>
              <w:tc>
                <w:tcPr>
                  <w:tcW w:w="600" w:type="dxa"/>
                  <w:shd w:val="clear" w:color="auto" w:fill="auto"/>
                  <w:vAlign w:val="center"/>
                </w:tcPr>
                <w:p w14:paraId="1CC65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Times New Roman" w:hAnsi="Times New Roman" w:cs="Times New Roman"/>
                      <w:i w:val="0"/>
                      <w:iCs w:val="0"/>
                      <w:color w:val="auto"/>
                      <w:kern w:val="0"/>
                      <w:sz w:val="18"/>
                      <w:szCs w:val="18"/>
                      <w:u w:val="none"/>
                      <w:lang w:val="en-US" w:eastAsia="zh-CN" w:bidi="ar"/>
                    </w:rPr>
                    <w:t>8</w:t>
                  </w:r>
                </w:p>
              </w:tc>
              <w:tc>
                <w:tcPr>
                  <w:tcW w:w="630" w:type="dxa"/>
                  <w:shd w:val="clear" w:color="auto" w:fill="auto"/>
                  <w:vAlign w:val="center"/>
                </w:tcPr>
                <w:p w14:paraId="062B3F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Times New Roman" w:hAnsi="Times New Roman" w:cs="Times New Roman"/>
                      <w:i w:val="0"/>
                      <w:iCs w:val="0"/>
                      <w:color w:val="auto"/>
                      <w:kern w:val="0"/>
                      <w:sz w:val="18"/>
                      <w:szCs w:val="18"/>
                      <w:u w:val="none"/>
                      <w:lang w:val="en-US" w:eastAsia="zh-CN" w:bidi="ar"/>
                    </w:rPr>
                    <w:t>0</w:t>
                  </w:r>
                </w:p>
              </w:tc>
              <w:tc>
                <w:tcPr>
                  <w:tcW w:w="375" w:type="dxa"/>
                  <w:shd w:val="clear" w:color="auto" w:fill="auto"/>
                  <w:vAlign w:val="center"/>
                </w:tcPr>
                <w:p w14:paraId="64699D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540" w:type="dxa"/>
                  <w:shd w:val="clear" w:color="auto" w:fill="auto"/>
                  <w:vAlign w:val="center"/>
                </w:tcPr>
                <w:p w14:paraId="4CA5C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kern w:val="0"/>
                      <w:sz w:val="18"/>
                      <w:szCs w:val="18"/>
                      <w:u w:val="none"/>
                      <w:lang w:val="en-US" w:eastAsia="zh-CN" w:bidi="ar"/>
                    </w:rPr>
                    <w:t>30</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570" w:type="dxa"/>
                  <w:shd w:val="clear" w:color="auto" w:fill="auto"/>
                  <w:vAlign w:val="center"/>
                </w:tcPr>
                <w:p w14:paraId="786897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kern w:val="0"/>
                      <w:sz w:val="18"/>
                      <w:szCs w:val="18"/>
                      <w:u w:val="none"/>
                      <w:lang w:val="en-US" w:eastAsia="zh-CN" w:bidi="ar"/>
                    </w:rPr>
                    <w:t>25</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525" w:type="dxa"/>
                  <w:shd w:val="clear" w:color="auto" w:fill="auto"/>
                  <w:vAlign w:val="center"/>
                </w:tcPr>
                <w:p w14:paraId="627501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585" w:type="dxa"/>
                  <w:shd w:val="clear" w:color="auto" w:fill="auto"/>
                  <w:vAlign w:val="center"/>
                </w:tcPr>
                <w:p w14:paraId="39CCE8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148 </w:t>
                  </w:r>
                </w:p>
              </w:tc>
              <w:tc>
                <w:tcPr>
                  <w:tcW w:w="495" w:type="dxa"/>
                  <w:shd w:val="clear" w:color="auto" w:fill="auto"/>
                  <w:vAlign w:val="center"/>
                </w:tcPr>
                <w:p w14:paraId="02705F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kern w:val="0"/>
                      <w:sz w:val="18"/>
                      <w:szCs w:val="18"/>
                      <w:u w:val="none"/>
                      <w:lang w:val="en-US" w:eastAsia="zh-CN" w:bidi="ar"/>
                    </w:rPr>
                    <w:t>48</w:t>
                  </w:r>
                </w:p>
              </w:tc>
              <w:tc>
                <w:tcPr>
                  <w:tcW w:w="480" w:type="dxa"/>
                  <w:shd w:val="clear" w:color="auto" w:fill="auto"/>
                  <w:vAlign w:val="center"/>
                </w:tcPr>
                <w:p w14:paraId="74D943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50 </w:t>
                  </w:r>
                </w:p>
              </w:tc>
              <w:tc>
                <w:tcPr>
                  <w:tcW w:w="435" w:type="dxa"/>
                  <w:shd w:val="clear" w:color="auto" w:fill="auto"/>
                  <w:vAlign w:val="center"/>
                </w:tcPr>
                <w:p w14:paraId="5BE1FA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670" w:type="dxa"/>
                  <w:shd w:val="clear" w:color="auto" w:fill="auto"/>
                  <w:vAlign w:val="center"/>
                </w:tcPr>
                <w:p w14:paraId="4F386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484" w:type="dxa"/>
                  <w:vMerge w:val="continue"/>
                  <w:shd w:val="clear" w:color="auto" w:fill="auto"/>
                  <w:vAlign w:val="center"/>
                </w:tcPr>
                <w:p w14:paraId="0399B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18"/>
                      <w:szCs w:val="18"/>
                      <w:u w:val="none"/>
                      <w:lang w:val="en-US" w:eastAsia="zh-CN" w:bidi="ar-SA"/>
                    </w:rPr>
                  </w:pPr>
                </w:p>
              </w:tc>
              <w:tc>
                <w:tcPr>
                  <w:tcW w:w="586" w:type="dxa"/>
                  <w:shd w:val="clear" w:color="auto" w:fill="auto"/>
                  <w:vAlign w:val="center"/>
                </w:tcPr>
                <w:p w14:paraId="104A8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35" w:type="dxa"/>
                  <w:shd w:val="clear" w:color="auto" w:fill="auto"/>
                  <w:vAlign w:val="center"/>
                </w:tcPr>
                <w:p w14:paraId="1D34B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80" w:type="dxa"/>
                  <w:shd w:val="clear" w:color="auto" w:fill="auto"/>
                  <w:vAlign w:val="center"/>
                </w:tcPr>
                <w:p w14:paraId="2C7F4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405" w:type="dxa"/>
                  <w:shd w:val="clear" w:color="auto" w:fill="auto"/>
                  <w:vAlign w:val="center"/>
                </w:tcPr>
                <w:p w14:paraId="3CF8C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450" w:type="dxa"/>
                  <w:shd w:val="clear" w:color="auto" w:fill="auto"/>
                  <w:vAlign w:val="center"/>
                </w:tcPr>
                <w:p w14:paraId="26E852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27 </w:t>
                  </w:r>
                </w:p>
              </w:tc>
              <w:tc>
                <w:tcPr>
                  <w:tcW w:w="681" w:type="dxa"/>
                  <w:shd w:val="clear" w:color="auto" w:fill="auto"/>
                  <w:vAlign w:val="center"/>
                </w:tcPr>
                <w:p w14:paraId="608F42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r>
          </w:tbl>
          <w:p w14:paraId="2A1AE5A1">
            <w:pPr>
              <w:keepNext w:val="0"/>
              <w:keepLines w:val="0"/>
              <w:suppressLineNumbers w:val="0"/>
              <w:bidi w:val="0"/>
              <w:spacing w:before="0" w:beforeAutospacing="0" w:after="0" w:afterAutospacing="0"/>
              <w:ind w:left="0" w:right="0"/>
              <w:rPr>
                <w:rFonts w:hint="default"/>
                <w:lang w:val="en-US" w:eastAsia="zh-CN"/>
              </w:rPr>
            </w:pPr>
          </w:p>
          <w:p w14:paraId="4D28C1B2">
            <w:pPr>
              <w:keepNext w:val="0"/>
              <w:keepLines w:val="0"/>
              <w:suppressLineNumbers w:val="0"/>
              <w:spacing w:before="0" w:beforeAutospacing="0" w:after="0" w:afterAutospacing="0"/>
              <w:ind w:left="0" w:right="0"/>
              <w:rPr>
                <w:rFonts w:hint="default"/>
                <w:color w:val="auto"/>
                <w:vertAlign w:val="baseline"/>
              </w:rPr>
            </w:pPr>
          </w:p>
        </w:tc>
      </w:tr>
    </w:tbl>
    <w:p w14:paraId="056B20ED">
      <w:p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p w14:paraId="1F699A4A">
      <w:pPr>
        <w:rPr>
          <w:color w:val="auto"/>
        </w:rPr>
      </w:pPr>
    </w:p>
    <w:p w14:paraId="0683DE00">
      <w:pPr>
        <w:rPr>
          <w:color w:val="auto"/>
        </w:rPr>
      </w:pPr>
    </w:p>
    <w:tbl>
      <w:tblPr>
        <w:tblStyle w:val="33"/>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479"/>
      </w:tblGrid>
      <w:tr w14:paraId="40B3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6" w:hRule="atLeast"/>
          <w:jc w:val="center"/>
        </w:trPr>
        <w:tc>
          <w:tcPr>
            <w:tcW w:w="429" w:type="dxa"/>
            <w:noWrap w:val="0"/>
            <w:vAlign w:val="center"/>
          </w:tcPr>
          <w:p w14:paraId="74BFF476">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u w:val="single" w:color="auto"/>
              </w:rPr>
            </w:pPr>
            <w:r>
              <w:rPr>
                <w:rFonts w:hint="default" w:ascii="Times New Roman" w:hAnsi="Times New Roman" w:cs="Times New Roman"/>
                <w:bCs/>
                <w:color w:val="auto"/>
                <w:sz w:val="24"/>
                <w:szCs w:val="24"/>
                <w:highlight w:val="none"/>
                <w:u w:val="none" w:color="auto"/>
              </w:rPr>
              <w:t>运营期环境影响和保护措施</w:t>
            </w:r>
          </w:p>
        </w:tc>
        <w:tc>
          <w:tcPr>
            <w:tcW w:w="8479" w:type="dxa"/>
            <w:noWrap w:val="0"/>
            <w:vAlign w:val="top"/>
          </w:tcPr>
          <w:p w14:paraId="5BA05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cs="Times New Roman"/>
                <w:b/>
                <w:bCs/>
                <w:color w:val="auto"/>
                <w:sz w:val="24"/>
                <w:szCs w:val="24"/>
                <w:highlight w:val="none"/>
                <w:u w:val="none" w:color="auto"/>
              </w:rPr>
              <w:t>3.2、</w:t>
            </w:r>
            <w:r>
              <w:rPr>
                <w:rFonts w:hint="eastAsia" w:ascii="Times New Roman" w:hAnsi="Times New Roman" w:cs="Times New Roman"/>
                <w:b/>
                <w:bCs/>
                <w:color w:val="auto"/>
                <w:sz w:val="24"/>
                <w:szCs w:val="24"/>
                <w:highlight w:val="none"/>
                <w:u w:val="none" w:color="auto"/>
                <w:lang w:val="en-US" w:eastAsia="zh-CN"/>
              </w:rPr>
              <w:t>预测</w:t>
            </w:r>
            <w:r>
              <w:rPr>
                <w:rFonts w:hint="default" w:ascii="Times New Roman" w:hAnsi="Times New Roman" w:cs="Times New Roman"/>
                <w:b/>
                <w:bCs/>
                <w:color w:val="auto"/>
                <w:sz w:val="24"/>
                <w:szCs w:val="24"/>
                <w:highlight w:val="none"/>
                <w:u w:val="none" w:color="auto"/>
                <w:lang w:val="en-US" w:eastAsia="zh-CN"/>
              </w:rPr>
              <w:t>情况</w:t>
            </w:r>
          </w:p>
          <w:p w14:paraId="3B44D5A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snapToGrid w:val="0"/>
                <w:color w:val="auto"/>
                <w:kern w:val="0"/>
                <w:sz w:val="24"/>
                <w:highlight w:val="none"/>
                <w:u w:val="none" w:color="auto"/>
              </w:rPr>
            </w:pPr>
            <w:r>
              <w:rPr>
                <w:rFonts w:hint="default" w:ascii="Times New Roman" w:hAnsi="Times New Roman" w:cs="Times New Roman"/>
                <w:bCs/>
                <w:snapToGrid w:val="0"/>
                <w:color w:val="auto"/>
                <w:kern w:val="0"/>
                <w:sz w:val="24"/>
                <w:highlight w:val="none"/>
                <w:u w:val="none" w:color="auto"/>
              </w:rPr>
              <w:t>（1）预测方法</w:t>
            </w:r>
          </w:p>
          <w:p w14:paraId="6E88C16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snapToGrid w:val="0"/>
                <w:color w:val="auto"/>
                <w:kern w:val="0"/>
                <w:sz w:val="24"/>
                <w:highlight w:val="none"/>
                <w:u w:val="none" w:color="auto"/>
              </w:rPr>
            </w:pPr>
            <w:r>
              <w:rPr>
                <w:rFonts w:hint="eastAsia" w:ascii="Times New Roman" w:hAnsi="Times New Roman" w:cs="Times New Roman"/>
                <w:bCs/>
                <w:snapToGrid w:val="0"/>
                <w:color w:val="auto"/>
                <w:kern w:val="0"/>
                <w:sz w:val="24"/>
                <w:highlight w:val="none"/>
                <w:u w:val="none" w:color="auto"/>
              </w:rPr>
              <w:t>根据项目建设内容及《环境影响评价技术导则—声环境》（HJ2.4-2021）的要求，项目环评采用的模型为《环境影响评价技术导则 声环境》(HJ2.4.2021)附录A（规范性附录）户外声传播的衰减和附录B（规范性附录）中“B.1工业噪声预测计算模型”。</w:t>
            </w:r>
          </w:p>
          <w:p w14:paraId="00BE2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（1）噪声预测模式</w:t>
            </w:r>
          </w:p>
          <w:p w14:paraId="52CC4322">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根据声环境评价导则的规定，选取预测模式，应用过程中将根据具体情况</w:t>
            </w:r>
            <w:r>
              <w:rPr>
                <w:rFonts w:hint="eastAsia" w:cs="Times New Roman"/>
                <w:color w:val="auto"/>
                <w:sz w:val="24"/>
                <w:szCs w:val="24"/>
                <w:u w:val="none" w:color="auto"/>
                <w:lang w:eastAsia="zh-CN"/>
              </w:rPr>
              <w:t>做</w:t>
            </w:r>
            <w:r>
              <w:rPr>
                <w:rFonts w:hint="default" w:ascii="Times New Roman" w:hAnsi="Times New Roman" w:eastAsia="宋体" w:cs="Times New Roman"/>
                <w:color w:val="auto"/>
                <w:sz w:val="24"/>
                <w:szCs w:val="24"/>
                <w:u w:val="none" w:color="auto"/>
              </w:rPr>
              <w:t>必要简化。</w:t>
            </w:r>
          </w:p>
          <w:p w14:paraId="633BF007">
            <w:pPr>
              <w:pStyle w:val="15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①</w:t>
            </w:r>
            <w:r>
              <w:rPr>
                <w:rFonts w:hint="default" w:ascii="Times New Roman" w:hAnsi="Times New Roman" w:eastAsia="宋体" w:cs="Times New Roman"/>
                <w:color w:val="auto"/>
                <w:kern w:val="2"/>
                <w:sz w:val="24"/>
                <w:szCs w:val="24"/>
                <w:u w:val="none" w:color="auto"/>
                <w:lang w:val="en-US" w:eastAsia="zh-CN" w:bidi="ar-SA"/>
              </w:rPr>
              <w:t>室内点声源的预测</w:t>
            </w:r>
          </w:p>
          <w:p w14:paraId="697F543D">
            <w:pPr>
              <w:pStyle w:val="15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2"/>
                <w:sz w:val="24"/>
                <w:szCs w:val="24"/>
                <w:u w:val="none" w:color="auto"/>
                <w:lang w:val="en-US" w:eastAsia="zh-CN" w:bidi="ar-SA"/>
              </w:rPr>
              <w:t>a.室内靠近围护结构处的倍频带声压级：</w:t>
            </w:r>
          </w:p>
          <w:p w14:paraId="2F6CE33D">
            <w:pPr>
              <w:pStyle w:val="7"/>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560"/>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position w:val="-32"/>
                <w:sz w:val="24"/>
                <w:szCs w:val="24"/>
                <w:u w:val="none" w:color="auto"/>
              </w:rPr>
              <w:object>
                <v:shape id="_x0000_i1025" o:spt="75" type="#_x0000_t75" style="height:38.15pt;width:132.75pt;" o:ole="t" filled="f" o:preferrelative="t" stroked="f" coordsize="21600,21600">
                  <v:path/>
                  <v:fill on="f" focussize="0,0"/>
                  <v:stroke on="f"/>
                  <v:imagedata r:id="rId14" o:title=""/>
                  <o:lock v:ext="edit" aspectratio="t"/>
                  <w10:wrap type="none"/>
                  <w10:anchorlock/>
                </v:shape>
                <o:OLEObject Type="Embed" ProgID="Equation.3" ShapeID="_x0000_i1025" DrawAspect="Content" ObjectID="_1468075725" r:id="rId13">
                  <o:LockedField>false</o:LockedField>
                </o:OLEObject>
              </w:object>
            </w:r>
          </w:p>
          <w:p w14:paraId="63E2EABD">
            <w:pPr>
              <w:pStyle w:val="15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式中：</w:t>
            </w:r>
          </w:p>
          <w:p w14:paraId="0CEDA251">
            <w:pPr>
              <w:pStyle w:val="15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r1为室内某源距离围护结构的距离；</w:t>
            </w:r>
          </w:p>
          <w:p w14:paraId="793DB0E9">
            <w:pPr>
              <w:pStyle w:val="15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R为房间常数；</w:t>
            </w:r>
          </w:p>
          <w:p w14:paraId="29F37C0A">
            <w:pPr>
              <w:pStyle w:val="15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Q为方向性因子。</w:t>
            </w:r>
          </w:p>
          <w:p w14:paraId="1340E9D8">
            <w:pPr>
              <w:pStyle w:val="15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b.室内声源在靠近围护结构处产生的总倍频带声压级：</w:t>
            </w:r>
          </w:p>
          <w:p w14:paraId="3B7F5013">
            <w:pPr>
              <w:pStyle w:val="7"/>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560"/>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position w:val="-30"/>
                <w:sz w:val="24"/>
                <w:szCs w:val="24"/>
                <w:u w:val="none" w:color="auto"/>
              </w:rPr>
              <w:object>
                <v:shape id="_x0000_i1026" o:spt="75" type="#_x0000_t75" style="height:36pt;width:130.65pt;" o:ole="t" filled="f" o:preferrelative="t" stroked="f" coordsize="21600,21600">
                  <v:path/>
                  <v:fill on="f" focussize="0,0"/>
                  <v:stroke on="f"/>
                  <v:imagedata r:id="rId16" o:title=""/>
                  <o:lock v:ext="edit" aspectratio="t"/>
                  <w10:wrap type="none"/>
                  <w10:anchorlock/>
                </v:shape>
                <o:OLEObject Type="Embed" ProgID="Equation.3" ShapeID="_x0000_i1026" DrawAspect="Content" ObjectID="_1468075726" r:id="rId15">
                  <o:LockedField>false</o:LockedField>
                </o:OLEObject>
              </w:object>
            </w:r>
          </w:p>
          <w:p w14:paraId="50CC33CF">
            <w:pPr>
              <w:pStyle w:val="15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c.室外靠近围护结构处的总的声压级：</w:t>
            </w:r>
          </w:p>
          <w:p w14:paraId="4892D8A1">
            <w:pPr>
              <w:pStyle w:val="7"/>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560"/>
              <w:jc w:val="center"/>
              <w:textAlignment w:val="auto"/>
              <w:rPr>
                <w:rFonts w:hint="default" w:ascii="Times New Roman" w:hAnsi="Times New Roman" w:eastAsia="宋体" w:cs="Times New Roman"/>
                <w:color w:val="auto"/>
                <w:sz w:val="24"/>
                <w:szCs w:val="24"/>
                <w:u w:val="none" w:color="auto"/>
                <w:lang w:val="fr-FR"/>
              </w:rPr>
            </w:pPr>
            <w:bookmarkStart w:id="9" w:name="_Toc396117300"/>
            <w:r>
              <w:rPr>
                <w:rFonts w:hint="default" w:ascii="Times New Roman" w:hAnsi="Times New Roman" w:eastAsia="宋体" w:cs="Times New Roman"/>
                <w:color w:val="auto"/>
                <w:sz w:val="24"/>
                <w:szCs w:val="24"/>
                <w:u w:val="none" w:color="auto"/>
                <w:lang w:val="fr-FR"/>
              </w:rPr>
              <w:t>L</w:t>
            </w:r>
            <w:r>
              <w:rPr>
                <w:rFonts w:hint="eastAsia" w:ascii="Times New Roman" w:hAnsi="Times New Roman" w:eastAsia="宋体" w:cs="Times New Roman"/>
                <w:color w:val="auto"/>
                <w:sz w:val="24"/>
                <w:szCs w:val="24"/>
                <w:u w:val="none" w:color="auto"/>
                <w:vertAlign w:val="subscript"/>
                <w:lang w:val="en-US" w:eastAsia="zh-CN"/>
              </w:rPr>
              <w:t>p2i</w:t>
            </w:r>
            <w:r>
              <w:rPr>
                <w:rFonts w:hint="default" w:ascii="Times New Roman" w:hAnsi="Times New Roman" w:eastAsia="宋体" w:cs="Times New Roman"/>
                <w:color w:val="auto"/>
                <w:sz w:val="24"/>
                <w:szCs w:val="24"/>
                <w:u w:val="none" w:color="auto"/>
                <w:lang w:val="fr-FR"/>
              </w:rPr>
              <w:t>(T)=L</w:t>
            </w:r>
            <w:r>
              <w:rPr>
                <w:rFonts w:hint="eastAsia" w:ascii="Times New Roman" w:hAnsi="Times New Roman" w:eastAsia="宋体" w:cs="Times New Roman"/>
                <w:color w:val="auto"/>
                <w:sz w:val="24"/>
                <w:szCs w:val="24"/>
                <w:u w:val="none" w:color="auto"/>
                <w:vertAlign w:val="subscript"/>
                <w:lang w:val="en-US" w:eastAsia="zh-CN"/>
              </w:rPr>
              <w:t>pli</w:t>
            </w:r>
            <w:r>
              <w:rPr>
                <w:rFonts w:hint="default" w:ascii="Times New Roman" w:hAnsi="Times New Roman" w:eastAsia="宋体" w:cs="Times New Roman"/>
                <w:color w:val="auto"/>
                <w:sz w:val="24"/>
                <w:szCs w:val="24"/>
                <w:u w:val="none" w:color="auto"/>
                <w:lang w:val="fr-FR"/>
              </w:rPr>
              <w:t>(T)-(</w:t>
            </w:r>
            <w:r>
              <w:rPr>
                <w:rFonts w:hint="eastAsia" w:ascii="Times New Roman" w:hAnsi="Times New Roman" w:eastAsia="宋体" w:cs="Times New Roman"/>
                <w:color w:val="auto"/>
                <w:sz w:val="24"/>
                <w:szCs w:val="24"/>
                <w:u w:val="none" w:color="auto"/>
                <w:lang w:val="en-US" w:eastAsia="zh-CN"/>
              </w:rPr>
              <w:t>TLi</w:t>
            </w:r>
            <w:r>
              <w:rPr>
                <w:rFonts w:hint="default" w:ascii="Times New Roman" w:hAnsi="Times New Roman" w:eastAsia="宋体" w:cs="Times New Roman"/>
                <w:color w:val="auto"/>
                <w:sz w:val="24"/>
                <w:szCs w:val="24"/>
                <w:u w:val="none" w:color="auto"/>
                <w:lang w:val="fr-FR"/>
              </w:rPr>
              <w:t>+6)</w:t>
            </w:r>
            <w:bookmarkEnd w:id="9"/>
          </w:p>
          <w:p w14:paraId="0FAC5606">
            <w:pPr>
              <w:pStyle w:val="15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d.室外声压级换算成等效的室外声源：</w:t>
            </w:r>
          </w:p>
          <w:p w14:paraId="19AB1B22">
            <w:pPr>
              <w:pStyle w:val="7"/>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560"/>
              <w:jc w:val="center"/>
              <w:textAlignment w:val="auto"/>
              <w:rPr>
                <w:rFonts w:hint="default" w:ascii="Times New Roman" w:hAnsi="Times New Roman" w:eastAsia="宋体" w:cs="Times New Roman"/>
                <w:color w:val="auto"/>
                <w:sz w:val="24"/>
                <w:szCs w:val="24"/>
                <w:u w:val="none" w:color="auto"/>
              </w:rPr>
            </w:pPr>
            <w:bookmarkStart w:id="10" w:name="_Toc396117301"/>
            <w:r>
              <w:rPr>
                <w:rFonts w:hint="default" w:ascii="Times New Roman" w:hAnsi="Times New Roman" w:eastAsia="宋体" w:cs="Times New Roman"/>
                <w:color w:val="auto"/>
                <w:sz w:val="24"/>
                <w:szCs w:val="24"/>
                <w:u w:val="none" w:color="auto"/>
              </w:rPr>
              <w:t>Lw=L</w:t>
            </w:r>
            <w:r>
              <w:rPr>
                <w:rFonts w:hint="eastAsia" w:ascii="Times New Roman" w:hAnsi="Times New Roman" w:eastAsia="宋体" w:cs="Times New Roman"/>
                <w:color w:val="auto"/>
                <w:sz w:val="24"/>
                <w:szCs w:val="24"/>
                <w:u w:val="none" w:color="auto"/>
                <w:vertAlign w:val="subscript"/>
                <w:lang w:val="en-US" w:eastAsia="zh-CN"/>
              </w:rPr>
              <w:t>p</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(T)+10lgS</w:t>
            </w:r>
            <w:bookmarkEnd w:id="10"/>
          </w:p>
          <w:p w14:paraId="2B3B8562">
            <w:pPr>
              <w:pStyle w:val="15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式中：S为透声面积。</w:t>
            </w:r>
          </w:p>
          <w:p w14:paraId="3A0025D7">
            <w:pPr>
              <w:pStyle w:val="15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e.等效室外声源的位置为围护结构的位置，其倍频带声功率级为Lw，由此按室外声源方法计算等效室外声源在预测点产生的声级。</w:t>
            </w:r>
          </w:p>
          <w:p w14:paraId="78F5E839">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②</w:t>
            </w:r>
            <w:r>
              <w:rPr>
                <w:rFonts w:hint="default" w:ascii="Times New Roman" w:hAnsi="Times New Roman" w:eastAsia="宋体" w:cs="Times New Roman"/>
                <w:color w:val="auto"/>
                <w:sz w:val="24"/>
                <w:szCs w:val="24"/>
                <w:u w:val="none" w:color="auto"/>
              </w:rPr>
              <w:t>室外点声源在预测点的倍频带声压级</w:t>
            </w:r>
          </w:p>
          <w:p w14:paraId="1119421C">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a应根据声源声功率级或参考位置处的声压级、户外声传播衰减，计算预测点的声级，</w:t>
            </w:r>
            <w:r>
              <w:rPr>
                <w:rFonts w:hint="eastAsia" w:cs="Times New Roman"/>
                <w:color w:val="auto"/>
                <w:sz w:val="24"/>
                <w:szCs w:val="24"/>
                <w:u w:val="none" w:color="auto"/>
                <w:lang w:val="en-US" w:eastAsia="zh-CN"/>
              </w:rPr>
              <w:t>按以下公式</w:t>
            </w:r>
            <w:r>
              <w:rPr>
                <w:rFonts w:hint="eastAsia" w:ascii="Times New Roman" w:hAnsi="Times New Roman" w:eastAsia="宋体" w:cs="Times New Roman"/>
                <w:color w:val="auto"/>
                <w:sz w:val="24"/>
                <w:szCs w:val="24"/>
                <w:u w:val="none" w:color="auto"/>
                <w:lang w:val="en-US" w:eastAsia="zh-CN"/>
              </w:rPr>
              <w:t>计算。</w:t>
            </w:r>
          </w:p>
          <w:p w14:paraId="1023081B">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4"/>
                <w:u w:val="none" w:color="auto"/>
              </w:rPr>
            </w:pPr>
          </w:p>
          <w:p w14:paraId="1C4E74F2">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center"/>
              <w:textAlignment w:val="auto"/>
              <w:rPr>
                <w:rFonts w:hint="default"/>
                <w:color w:val="auto"/>
              </w:rPr>
            </w:pPr>
            <w:r>
              <w:rPr>
                <w:rFonts w:hint="default"/>
                <w:color w:val="auto"/>
              </w:rPr>
              <w:drawing>
                <wp:inline distT="0" distB="0" distL="114300" distR="114300">
                  <wp:extent cx="3115945" cy="215900"/>
                  <wp:effectExtent l="0" t="0" r="8255"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rcRect l="264" t="10574" b="11264"/>
                          <a:stretch>
                            <a:fillRect/>
                          </a:stretch>
                        </pic:blipFill>
                        <pic:spPr>
                          <a:xfrm>
                            <a:off x="0" y="0"/>
                            <a:ext cx="3115945" cy="215900"/>
                          </a:xfrm>
                          <a:prstGeom prst="rect">
                            <a:avLst/>
                          </a:prstGeom>
                          <a:noFill/>
                          <a:ln>
                            <a:noFill/>
                          </a:ln>
                        </pic:spPr>
                      </pic:pic>
                    </a:graphicData>
                  </a:graphic>
                </wp:inline>
              </w:drawing>
            </w:r>
          </w:p>
          <w:p w14:paraId="6FDEA242">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式中：</w:t>
            </w:r>
            <w:r>
              <w:rPr>
                <w:rFonts w:hint="default" w:ascii="Times New Roman" w:hAnsi="Times New Roman" w:eastAsia="宋体" w:cs="Times New Roman"/>
                <w:color w:val="auto"/>
                <w:sz w:val="24"/>
                <w:szCs w:val="24"/>
                <w:u w:val="none" w:color="auto"/>
                <w:lang w:val="en-US" w:eastAsia="zh-CN"/>
              </w:rPr>
              <w:t>Lp(r) ——</w:t>
            </w:r>
            <w:r>
              <w:rPr>
                <w:rFonts w:hint="eastAsia" w:ascii="Times New Roman" w:hAnsi="Times New Roman" w:eastAsia="宋体" w:cs="Times New Roman"/>
                <w:color w:val="auto"/>
                <w:sz w:val="24"/>
                <w:szCs w:val="24"/>
                <w:u w:val="none" w:color="auto"/>
                <w:lang w:val="en-US" w:eastAsia="zh-CN"/>
              </w:rPr>
              <w:t>预测点处声压级，</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w:t>
            </w:r>
          </w:p>
          <w:p w14:paraId="5381B72D">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Lw ——</w:t>
            </w:r>
            <w:r>
              <w:rPr>
                <w:rFonts w:hint="eastAsia" w:ascii="Times New Roman" w:hAnsi="Times New Roman" w:eastAsia="宋体" w:cs="Times New Roman"/>
                <w:color w:val="auto"/>
                <w:sz w:val="24"/>
                <w:szCs w:val="24"/>
                <w:u w:val="none" w:color="auto"/>
                <w:lang w:val="en-US" w:eastAsia="zh-CN"/>
              </w:rPr>
              <w:t>由点声源产生的声功率级（</w:t>
            </w:r>
            <w:r>
              <w:rPr>
                <w:rFonts w:hint="default" w:ascii="Times New Roman" w:hAnsi="Times New Roman" w:eastAsia="宋体" w:cs="Times New Roman"/>
                <w:color w:val="auto"/>
                <w:sz w:val="24"/>
                <w:szCs w:val="24"/>
                <w:u w:val="none" w:color="auto"/>
                <w:lang w:val="en-US" w:eastAsia="zh-CN"/>
              </w:rPr>
              <w:t>A</w:t>
            </w:r>
            <w:r>
              <w:rPr>
                <w:rFonts w:hint="eastAsia" w:ascii="Times New Roman" w:hAnsi="Times New Roman" w:eastAsia="宋体" w:cs="Times New Roman"/>
                <w:color w:val="auto"/>
                <w:sz w:val="24"/>
                <w:szCs w:val="24"/>
                <w:u w:val="none" w:color="auto"/>
                <w:lang w:val="en-US" w:eastAsia="zh-CN"/>
              </w:rPr>
              <w:t>计权或倍频带），</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53B3BB64">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DC ——</w:t>
            </w:r>
            <w:r>
              <w:rPr>
                <w:rFonts w:hint="eastAsia" w:ascii="Times New Roman" w:hAnsi="Times New Roman" w:eastAsia="宋体" w:cs="Times New Roman"/>
                <w:color w:val="auto"/>
                <w:sz w:val="24"/>
                <w:szCs w:val="24"/>
                <w:u w:val="none" w:color="auto"/>
                <w:lang w:val="en-US" w:eastAsia="zh-CN"/>
              </w:rPr>
              <w:t>指向性校正，它描述点声源的等效连续声压级与产生声功率级</w:t>
            </w:r>
            <w:r>
              <w:rPr>
                <w:rFonts w:hint="default" w:ascii="Times New Roman" w:hAnsi="Times New Roman" w:eastAsia="宋体" w:cs="Times New Roman"/>
                <w:color w:val="auto"/>
                <w:sz w:val="24"/>
                <w:szCs w:val="24"/>
                <w:u w:val="none" w:color="auto"/>
                <w:lang w:val="en-US" w:eastAsia="zh-CN"/>
              </w:rPr>
              <w:t>Lw</w:t>
            </w:r>
            <w:r>
              <w:rPr>
                <w:rFonts w:hint="eastAsia" w:ascii="Times New Roman" w:hAnsi="Times New Roman" w:eastAsia="宋体" w:cs="Times New Roman"/>
                <w:color w:val="auto"/>
                <w:sz w:val="24"/>
                <w:szCs w:val="24"/>
                <w:u w:val="none" w:color="auto"/>
                <w:lang w:val="en-US" w:eastAsia="zh-CN"/>
              </w:rPr>
              <w:t>的全向点声源在规定方向的声级的偏差程度，</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431E3033">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Adiv ——</w:t>
            </w:r>
            <w:r>
              <w:rPr>
                <w:rFonts w:hint="eastAsia" w:ascii="Times New Roman" w:hAnsi="Times New Roman" w:eastAsia="宋体" w:cs="Times New Roman"/>
                <w:color w:val="auto"/>
                <w:sz w:val="24"/>
                <w:szCs w:val="24"/>
                <w:u w:val="none" w:color="auto"/>
                <w:lang w:val="en-US" w:eastAsia="zh-CN"/>
              </w:rPr>
              <w:t>几何发散引起的衰减，</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0992590E">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Aatm ——</w:t>
            </w:r>
            <w:r>
              <w:rPr>
                <w:rFonts w:hint="eastAsia" w:ascii="Times New Roman" w:hAnsi="Times New Roman" w:eastAsia="宋体" w:cs="Times New Roman"/>
                <w:color w:val="auto"/>
                <w:sz w:val="24"/>
                <w:szCs w:val="24"/>
                <w:u w:val="none" w:color="auto"/>
                <w:lang w:val="en-US" w:eastAsia="zh-CN"/>
              </w:rPr>
              <w:t>大气吸收引起的衰减，</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5090C819">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Agr ——</w:t>
            </w:r>
            <w:r>
              <w:rPr>
                <w:rFonts w:hint="eastAsia" w:ascii="Times New Roman" w:hAnsi="Times New Roman" w:eastAsia="宋体" w:cs="Times New Roman"/>
                <w:color w:val="auto"/>
                <w:sz w:val="24"/>
                <w:szCs w:val="24"/>
                <w:u w:val="none" w:color="auto"/>
                <w:lang w:val="en-US" w:eastAsia="zh-CN"/>
              </w:rPr>
              <w:t>地面效应引起的衰减，</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27C66CAC">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Abar ——</w:t>
            </w:r>
            <w:r>
              <w:rPr>
                <w:rFonts w:hint="eastAsia" w:ascii="Times New Roman" w:hAnsi="Times New Roman" w:eastAsia="宋体" w:cs="Times New Roman"/>
                <w:color w:val="auto"/>
                <w:sz w:val="24"/>
                <w:szCs w:val="24"/>
                <w:u w:val="none" w:color="auto"/>
                <w:lang w:val="en-US" w:eastAsia="zh-CN"/>
              </w:rPr>
              <w:t>障碍物屏蔽引起的衰减，</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531BEE35">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Amisc ——</w:t>
            </w:r>
            <w:r>
              <w:rPr>
                <w:rFonts w:hint="eastAsia" w:ascii="Times New Roman" w:hAnsi="Times New Roman" w:eastAsia="宋体" w:cs="Times New Roman"/>
                <w:color w:val="auto"/>
                <w:sz w:val="24"/>
                <w:szCs w:val="24"/>
                <w:u w:val="none" w:color="auto"/>
                <w:lang w:val="en-US" w:eastAsia="zh-CN"/>
              </w:rPr>
              <w:t>其他多方面效应引起的衰减，</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w:t>
            </w:r>
          </w:p>
          <w:p w14:paraId="77BA793C">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b</w:t>
            </w:r>
            <w:r>
              <w:rPr>
                <w:rFonts w:hint="eastAsia" w:ascii="Times New Roman" w:hAnsi="Times New Roman" w:eastAsia="宋体" w:cs="Times New Roman"/>
                <w:color w:val="auto"/>
                <w:sz w:val="24"/>
                <w:szCs w:val="24"/>
                <w:u w:val="none" w:color="auto"/>
                <w:lang w:val="en-US" w:eastAsia="zh-CN"/>
              </w:rPr>
              <w:t>预测点的</w:t>
            </w:r>
            <w:r>
              <w:rPr>
                <w:rFonts w:hint="default" w:ascii="Times New Roman" w:hAnsi="Times New Roman" w:eastAsia="宋体" w:cs="Times New Roman"/>
                <w:color w:val="auto"/>
                <w:sz w:val="24"/>
                <w:szCs w:val="24"/>
                <w:u w:val="none" w:color="auto"/>
                <w:lang w:val="en-US" w:eastAsia="zh-CN"/>
              </w:rPr>
              <w:t>A</w:t>
            </w:r>
            <w:r>
              <w:rPr>
                <w:rFonts w:hint="eastAsia" w:ascii="Times New Roman" w:hAnsi="Times New Roman" w:eastAsia="宋体" w:cs="Times New Roman"/>
                <w:color w:val="auto"/>
                <w:sz w:val="24"/>
                <w:szCs w:val="24"/>
                <w:u w:val="none" w:color="auto"/>
                <w:lang w:val="en-US" w:eastAsia="zh-CN"/>
              </w:rPr>
              <w:t xml:space="preserve">声级 </w:t>
            </w:r>
            <w:r>
              <w:rPr>
                <w:rFonts w:hint="default" w:ascii="Times New Roman" w:hAnsi="Times New Roman" w:eastAsia="宋体" w:cs="Times New Roman"/>
                <w:color w:val="auto"/>
                <w:sz w:val="24"/>
                <w:szCs w:val="24"/>
                <w:u w:val="none" w:color="auto"/>
                <w:lang w:val="en-US" w:eastAsia="zh-CN"/>
              </w:rPr>
              <w:t>LA(r)</w:t>
            </w:r>
            <w:r>
              <w:rPr>
                <w:rFonts w:hint="eastAsia" w:ascii="Times New Roman" w:hAnsi="Times New Roman" w:eastAsia="宋体" w:cs="Times New Roman"/>
                <w:color w:val="auto"/>
                <w:sz w:val="24"/>
                <w:szCs w:val="24"/>
                <w:u w:val="none" w:color="auto"/>
                <w:lang w:val="en-US" w:eastAsia="zh-CN"/>
              </w:rPr>
              <w:t>可按</w:t>
            </w:r>
            <w:r>
              <w:rPr>
                <w:rFonts w:hint="eastAsia" w:cs="Times New Roman"/>
                <w:color w:val="auto"/>
                <w:sz w:val="24"/>
                <w:szCs w:val="24"/>
                <w:u w:val="none" w:color="auto"/>
                <w:lang w:val="en-US" w:eastAsia="zh-CN"/>
              </w:rPr>
              <w:t>以下</w:t>
            </w:r>
            <w:r>
              <w:rPr>
                <w:rFonts w:hint="eastAsia" w:ascii="Times New Roman" w:hAnsi="Times New Roman" w:eastAsia="宋体" w:cs="Times New Roman"/>
                <w:color w:val="auto"/>
                <w:sz w:val="24"/>
                <w:szCs w:val="24"/>
                <w:u w:val="none" w:color="auto"/>
                <w:lang w:val="en-US" w:eastAsia="zh-CN"/>
              </w:rPr>
              <w:t>公式计算，即将</w:t>
            </w:r>
            <w:r>
              <w:rPr>
                <w:rFonts w:hint="default" w:ascii="Times New Roman" w:hAnsi="Times New Roman" w:eastAsia="宋体" w:cs="Times New Roman"/>
                <w:color w:val="auto"/>
                <w:sz w:val="24"/>
                <w:szCs w:val="24"/>
                <w:u w:val="none" w:color="auto"/>
                <w:lang w:val="en-US" w:eastAsia="zh-CN"/>
              </w:rPr>
              <w:t>8</w:t>
            </w:r>
            <w:r>
              <w:rPr>
                <w:rFonts w:hint="eastAsia" w:ascii="Times New Roman" w:hAnsi="Times New Roman" w:eastAsia="宋体" w:cs="Times New Roman"/>
                <w:color w:val="auto"/>
                <w:sz w:val="24"/>
                <w:szCs w:val="24"/>
                <w:u w:val="none" w:color="auto"/>
                <w:lang w:val="en-US" w:eastAsia="zh-CN"/>
              </w:rPr>
              <w:t>个倍频带声压级合成，计算出预测点的</w:t>
            </w:r>
            <w:r>
              <w:rPr>
                <w:rFonts w:hint="default" w:ascii="Times New Roman" w:hAnsi="Times New Roman" w:eastAsia="宋体" w:cs="Times New Roman"/>
                <w:color w:val="auto"/>
                <w:sz w:val="24"/>
                <w:szCs w:val="24"/>
                <w:u w:val="none" w:color="auto"/>
                <w:lang w:val="en-US" w:eastAsia="zh-CN"/>
              </w:rPr>
              <w:t>A</w:t>
            </w:r>
            <w:r>
              <w:rPr>
                <w:rFonts w:hint="eastAsia" w:ascii="Times New Roman" w:hAnsi="Times New Roman" w:eastAsia="宋体" w:cs="Times New Roman"/>
                <w:color w:val="auto"/>
                <w:sz w:val="24"/>
                <w:szCs w:val="24"/>
                <w:u w:val="none" w:color="auto"/>
                <w:lang w:val="en-US" w:eastAsia="zh-CN"/>
              </w:rPr>
              <w:t>声级</w:t>
            </w:r>
            <w:r>
              <w:rPr>
                <w:rFonts w:hint="default" w:ascii="Times New Roman" w:hAnsi="Times New Roman" w:eastAsia="宋体" w:cs="Times New Roman"/>
                <w:color w:val="auto"/>
                <w:sz w:val="24"/>
                <w:szCs w:val="24"/>
                <w:u w:val="none" w:color="auto"/>
                <w:lang w:val="en-US" w:eastAsia="zh-CN"/>
              </w:rPr>
              <w:t>[LA(r)]</w:t>
            </w:r>
            <w:r>
              <w:rPr>
                <w:rFonts w:hint="eastAsia" w:ascii="Times New Roman" w:hAnsi="Times New Roman" w:eastAsia="宋体" w:cs="Times New Roman"/>
                <w:color w:val="auto"/>
                <w:sz w:val="24"/>
                <w:szCs w:val="24"/>
                <w:u w:val="none" w:color="auto"/>
                <w:lang w:val="en-US" w:eastAsia="zh-CN"/>
              </w:rPr>
              <w:t xml:space="preserve">。 </w:t>
            </w:r>
          </w:p>
          <w:p w14:paraId="190DBE56">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center"/>
              <w:textAlignment w:val="auto"/>
              <w:rPr>
                <w:rFonts w:hint="default"/>
                <w:color w:val="auto"/>
              </w:rPr>
            </w:pPr>
            <w:r>
              <w:rPr>
                <w:rFonts w:hint="default"/>
                <w:color w:val="auto"/>
              </w:rPr>
              <w:drawing>
                <wp:inline distT="0" distB="0" distL="114300" distR="114300">
                  <wp:extent cx="2000250" cy="51435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
                          <a:stretch>
                            <a:fillRect/>
                          </a:stretch>
                        </pic:blipFill>
                        <pic:spPr>
                          <a:xfrm>
                            <a:off x="0" y="0"/>
                            <a:ext cx="2000250" cy="514350"/>
                          </a:xfrm>
                          <a:prstGeom prst="rect">
                            <a:avLst/>
                          </a:prstGeom>
                          <a:noFill/>
                          <a:ln>
                            <a:noFill/>
                          </a:ln>
                        </pic:spPr>
                      </pic:pic>
                    </a:graphicData>
                  </a:graphic>
                </wp:inline>
              </w:drawing>
            </w:r>
          </w:p>
          <w:p w14:paraId="2F9B271C">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式中：</w:t>
            </w:r>
            <w:r>
              <w:rPr>
                <w:rFonts w:hint="default" w:ascii="Times New Roman" w:hAnsi="Times New Roman" w:eastAsia="宋体" w:cs="Times New Roman"/>
                <w:color w:val="auto"/>
                <w:sz w:val="24"/>
                <w:szCs w:val="24"/>
                <w:u w:val="none" w:color="auto"/>
                <w:lang w:val="en-US" w:eastAsia="zh-CN"/>
              </w:rPr>
              <w:t>LA(r) ——</w:t>
            </w:r>
            <w:r>
              <w:rPr>
                <w:rFonts w:hint="eastAsia" w:ascii="Times New Roman" w:hAnsi="Times New Roman" w:eastAsia="宋体" w:cs="Times New Roman"/>
                <w:color w:val="auto"/>
                <w:sz w:val="24"/>
                <w:szCs w:val="24"/>
                <w:u w:val="none" w:color="auto"/>
                <w:lang w:val="en-US" w:eastAsia="zh-CN"/>
              </w:rPr>
              <w:t>距声源</w:t>
            </w:r>
            <w:r>
              <w:rPr>
                <w:rFonts w:hint="default" w:ascii="Times New Roman" w:hAnsi="Times New Roman" w:eastAsia="宋体" w:cs="Times New Roman"/>
                <w:color w:val="auto"/>
                <w:sz w:val="24"/>
                <w:szCs w:val="24"/>
                <w:u w:val="none" w:color="auto"/>
                <w:lang w:val="en-US" w:eastAsia="zh-CN"/>
              </w:rPr>
              <w:t>r</w:t>
            </w:r>
            <w:r>
              <w:rPr>
                <w:rFonts w:hint="eastAsia" w:ascii="Times New Roman" w:hAnsi="Times New Roman" w:eastAsia="宋体" w:cs="Times New Roman"/>
                <w:color w:val="auto"/>
                <w:sz w:val="24"/>
                <w:szCs w:val="24"/>
                <w:u w:val="none" w:color="auto"/>
                <w:lang w:val="en-US" w:eastAsia="zh-CN"/>
              </w:rPr>
              <w:t>处的</w:t>
            </w:r>
            <w:r>
              <w:rPr>
                <w:rFonts w:hint="default" w:ascii="Times New Roman" w:hAnsi="Times New Roman" w:eastAsia="宋体" w:cs="Times New Roman"/>
                <w:color w:val="auto"/>
                <w:sz w:val="24"/>
                <w:szCs w:val="24"/>
                <w:u w:val="none" w:color="auto"/>
                <w:lang w:val="en-US" w:eastAsia="zh-CN"/>
              </w:rPr>
              <w:t>A</w:t>
            </w:r>
            <w:r>
              <w:rPr>
                <w:rFonts w:hint="eastAsia" w:ascii="Times New Roman" w:hAnsi="Times New Roman" w:eastAsia="宋体" w:cs="Times New Roman"/>
                <w:color w:val="auto"/>
                <w:sz w:val="24"/>
                <w:szCs w:val="24"/>
                <w:u w:val="none" w:color="auto"/>
                <w:lang w:val="en-US" w:eastAsia="zh-CN"/>
              </w:rPr>
              <w:t>声级，</w:t>
            </w:r>
            <w:r>
              <w:rPr>
                <w:rFonts w:hint="default" w:ascii="Times New Roman" w:hAnsi="Times New Roman" w:eastAsia="宋体" w:cs="Times New Roman"/>
                <w:color w:val="auto"/>
                <w:sz w:val="24"/>
                <w:szCs w:val="24"/>
                <w:u w:val="none" w:color="auto"/>
                <w:lang w:val="en-US" w:eastAsia="zh-CN"/>
              </w:rPr>
              <w:t>dB(A)</w:t>
            </w:r>
            <w:r>
              <w:rPr>
                <w:rFonts w:hint="eastAsia" w:ascii="Times New Roman" w:hAnsi="Times New Roman" w:eastAsia="宋体" w:cs="Times New Roman"/>
                <w:color w:val="auto"/>
                <w:sz w:val="24"/>
                <w:szCs w:val="24"/>
                <w:u w:val="none" w:color="auto"/>
                <w:lang w:val="en-US" w:eastAsia="zh-CN"/>
              </w:rPr>
              <w:t xml:space="preserve">； </w:t>
            </w:r>
          </w:p>
          <w:p w14:paraId="3D13911B">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eastAsia"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Lpi(r) ——</w:t>
            </w:r>
            <w:r>
              <w:rPr>
                <w:rFonts w:hint="eastAsia" w:ascii="Times New Roman" w:hAnsi="Times New Roman" w:eastAsia="宋体" w:cs="Times New Roman"/>
                <w:color w:val="auto"/>
                <w:sz w:val="24"/>
                <w:szCs w:val="24"/>
                <w:u w:val="none" w:color="auto"/>
                <w:lang w:val="en-US" w:eastAsia="zh-CN"/>
              </w:rPr>
              <w:t>预测点（</w:t>
            </w:r>
            <w:r>
              <w:rPr>
                <w:rFonts w:hint="default" w:ascii="Times New Roman" w:hAnsi="Times New Roman" w:eastAsia="宋体" w:cs="Times New Roman"/>
                <w:color w:val="auto"/>
                <w:sz w:val="24"/>
                <w:szCs w:val="24"/>
                <w:u w:val="none" w:color="auto"/>
                <w:lang w:val="en-US" w:eastAsia="zh-CN"/>
              </w:rPr>
              <w:t>r</w:t>
            </w:r>
            <w:r>
              <w:rPr>
                <w:rFonts w:hint="eastAsia" w:ascii="Times New Roman" w:hAnsi="Times New Roman" w:eastAsia="宋体" w:cs="Times New Roman"/>
                <w:color w:val="auto"/>
                <w:sz w:val="24"/>
                <w:szCs w:val="24"/>
                <w:u w:val="none" w:color="auto"/>
                <w:lang w:val="en-US" w:eastAsia="zh-CN"/>
              </w:rPr>
              <w:t>）处，第</w:t>
            </w:r>
            <w:r>
              <w:rPr>
                <w:rFonts w:hint="default" w:ascii="Times New Roman" w:hAnsi="Times New Roman" w:eastAsia="宋体" w:cs="Times New Roman"/>
                <w:color w:val="auto"/>
                <w:sz w:val="24"/>
                <w:szCs w:val="24"/>
                <w:u w:val="none" w:color="auto"/>
                <w:lang w:val="en-US" w:eastAsia="zh-CN"/>
              </w:rPr>
              <w:t>i</w:t>
            </w:r>
            <w:r>
              <w:rPr>
                <w:rFonts w:hint="eastAsia" w:ascii="Times New Roman" w:hAnsi="Times New Roman" w:eastAsia="宋体" w:cs="Times New Roman"/>
                <w:color w:val="auto"/>
                <w:sz w:val="24"/>
                <w:szCs w:val="24"/>
                <w:u w:val="none" w:color="auto"/>
                <w:lang w:val="en-US" w:eastAsia="zh-CN"/>
              </w:rPr>
              <w:t>倍频带声压级，</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27C077E8">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eastAsia"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ΔLi ——</w:t>
            </w:r>
            <w:r>
              <w:rPr>
                <w:rFonts w:hint="eastAsia" w:ascii="Times New Roman" w:hAnsi="Times New Roman" w:eastAsia="宋体" w:cs="Times New Roman"/>
                <w:color w:val="auto"/>
                <w:sz w:val="24"/>
                <w:szCs w:val="24"/>
                <w:u w:val="none" w:color="auto"/>
                <w:lang w:val="en-US" w:eastAsia="zh-CN"/>
              </w:rPr>
              <w:t>第</w:t>
            </w:r>
            <w:r>
              <w:rPr>
                <w:rFonts w:hint="default" w:ascii="Times New Roman" w:hAnsi="Times New Roman" w:eastAsia="宋体" w:cs="Times New Roman"/>
                <w:color w:val="auto"/>
                <w:sz w:val="24"/>
                <w:szCs w:val="24"/>
                <w:u w:val="none" w:color="auto"/>
                <w:lang w:val="en-US" w:eastAsia="zh-CN"/>
              </w:rPr>
              <w:t>i</w:t>
            </w:r>
            <w:r>
              <w:rPr>
                <w:rFonts w:hint="eastAsia" w:ascii="Times New Roman" w:hAnsi="Times New Roman" w:eastAsia="宋体" w:cs="Times New Roman"/>
                <w:color w:val="auto"/>
                <w:sz w:val="24"/>
                <w:szCs w:val="24"/>
                <w:u w:val="none" w:color="auto"/>
                <w:lang w:val="en-US" w:eastAsia="zh-CN"/>
              </w:rPr>
              <w:t>倍频带的</w:t>
            </w:r>
            <w:r>
              <w:rPr>
                <w:rFonts w:hint="default" w:ascii="Times New Roman" w:hAnsi="Times New Roman" w:eastAsia="宋体" w:cs="Times New Roman"/>
                <w:color w:val="auto"/>
                <w:sz w:val="24"/>
                <w:szCs w:val="24"/>
                <w:u w:val="none" w:color="auto"/>
                <w:lang w:val="en-US" w:eastAsia="zh-CN"/>
              </w:rPr>
              <w:t>A</w:t>
            </w:r>
            <w:r>
              <w:rPr>
                <w:rFonts w:hint="eastAsia" w:ascii="Times New Roman" w:hAnsi="Times New Roman" w:eastAsia="宋体" w:cs="Times New Roman"/>
                <w:color w:val="auto"/>
                <w:sz w:val="24"/>
                <w:szCs w:val="24"/>
                <w:u w:val="none" w:color="auto"/>
                <w:lang w:val="en-US" w:eastAsia="zh-CN"/>
              </w:rPr>
              <w:t>计权网络修正值，</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7FA268B3">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b声源处于半自由声场</w:t>
            </w:r>
          </w:p>
          <w:p w14:paraId="0D664EEA">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center"/>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drawing>
                <wp:inline distT="0" distB="0" distL="114300" distR="114300">
                  <wp:extent cx="1685925" cy="27622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9"/>
                          <a:stretch>
                            <a:fillRect/>
                          </a:stretch>
                        </pic:blipFill>
                        <pic:spPr>
                          <a:xfrm>
                            <a:off x="0" y="0"/>
                            <a:ext cx="1685925" cy="276225"/>
                          </a:xfrm>
                          <a:prstGeom prst="rect">
                            <a:avLst/>
                          </a:prstGeom>
                          <a:noFill/>
                          <a:ln>
                            <a:noFill/>
                          </a:ln>
                        </pic:spPr>
                      </pic:pic>
                    </a:graphicData>
                  </a:graphic>
                </wp:inline>
              </w:drawing>
            </w:r>
          </w:p>
          <w:p w14:paraId="6823647F">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式中：</w:t>
            </w:r>
            <w:r>
              <w:rPr>
                <w:rFonts w:hint="default" w:ascii="Times New Roman" w:hAnsi="Times New Roman" w:eastAsia="宋体" w:cs="Times New Roman"/>
                <w:color w:val="auto"/>
                <w:sz w:val="24"/>
                <w:szCs w:val="24"/>
                <w:u w:val="none" w:color="auto"/>
                <w:lang w:val="en-US" w:eastAsia="zh-CN"/>
              </w:rPr>
              <w:t>Lp(r) ——</w:t>
            </w:r>
            <w:r>
              <w:rPr>
                <w:rFonts w:hint="eastAsia" w:ascii="Times New Roman" w:hAnsi="Times New Roman" w:eastAsia="宋体" w:cs="Times New Roman"/>
                <w:color w:val="auto"/>
                <w:sz w:val="24"/>
                <w:szCs w:val="24"/>
                <w:u w:val="none" w:color="auto"/>
                <w:lang w:val="en-US" w:eastAsia="zh-CN"/>
              </w:rPr>
              <w:t>预测点处声压级，</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4DBDE8EC">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Lw ——</w:t>
            </w:r>
            <w:r>
              <w:rPr>
                <w:rFonts w:hint="eastAsia" w:ascii="Times New Roman" w:hAnsi="Times New Roman" w:eastAsia="宋体" w:cs="Times New Roman"/>
                <w:color w:val="auto"/>
                <w:sz w:val="24"/>
                <w:szCs w:val="24"/>
                <w:u w:val="none" w:color="auto"/>
                <w:lang w:val="en-US" w:eastAsia="zh-CN"/>
              </w:rPr>
              <w:t>由点声源产生的倍频带声功率级，</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19F8A659">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r ——</w:t>
            </w:r>
            <w:r>
              <w:rPr>
                <w:rFonts w:hint="eastAsia" w:ascii="Times New Roman" w:hAnsi="Times New Roman" w:eastAsia="宋体" w:cs="Times New Roman"/>
                <w:color w:val="auto"/>
                <w:sz w:val="24"/>
                <w:szCs w:val="24"/>
                <w:u w:val="none" w:color="auto"/>
                <w:lang w:val="en-US" w:eastAsia="zh-CN"/>
              </w:rPr>
              <w:t xml:space="preserve">预测点距声源的距离。 </w:t>
            </w:r>
          </w:p>
          <w:p w14:paraId="3D72275C">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c大气吸收引起的衰减按式（</w:t>
            </w:r>
            <w:r>
              <w:rPr>
                <w:rFonts w:hint="default" w:ascii="Times New Roman" w:hAnsi="Times New Roman" w:eastAsia="宋体" w:cs="Times New Roman"/>
                <w:color w:val="auto"/>
                <w:sz w:val="24"/>
                <w:szCs w:val="24"/>
                <w:u w:val="none" w:color="auto"/>
                <w:lang w:val="en-US" w:eastAsia="zh-CN"/>
              </w:rPr>
              <w:t>A.19</w:t>
            </w:r>
            <w:r>
              <w:rPr>
                <w:rFonts w:hint="eastAsia" w:ascii="Times New Roman" w:hAnsi="Times New Roman" w:eastAsia="宋体" w:cs="Times New Roman"/>
                <w:color w:val="auto"/>
                <w:sz w:val="24"/>
                <w:szCs w:val="24"/>
                <w:u w:val="none" w:color="auto"/>
                <w:lang w:val="en-US" w:eastAsia="zh-CN"/>
              </w:rPr>
              <w:t>）计算：</w:t>
            </w:r>
          </w:p>
          <w:p w14:paraId="6E8A98C2">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center"/>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drawing>
                <wp:inline distT="0" distB="0" distL="114300" distR="114300">
                  <wp:extent cx="1019175" cy="409575"/>
                  <wp:effectExtent l="0" t="0" r="952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0"/>
                          <a:stretch>
                            <a:fillRect/>
                          </a:stretch>
                        </pic:blipFill>
                        <pic:spPr>
                          <a:xfrm>
                            <a:off x="0" y="0"/>
                            <a:ext cx="1019175" cy="409575"/>
                          </a:xfrm>
                          <a:prstGeom prst="rect">
                            <a:avLst/>
                          </a:prstGeom>
                          <a:noFill/>
                          <a:ln>
                            <a:noFill/>
                          </a:ln>
                        </pic:spPr>
                      </pic:pic>
                    </a:graphicData>
                  </a:graphic>
                </wp:inline>
              </w:drawing>
            </w:r>
          </w:p>
          <w:p w14:paraId="797A82A3">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式中：</w:t>
            </w:r>
            <w:r>
              <w:rPr>
                <w:rFonts w:hint="default" w:ascii="Times New Roman" w:hAnsi="Times New Roman" w:eastAsia="宋体" w:cs="Times New Roman"/>
                <w:color w:val="auto"/>
                <w:sz w:val="24"/>
                <w:szCs w:val="24"/>
                <w:u w:val="none" w:color="auto"/>
                <w:lang w:val="en-US" w:eastAsia="zh-CN"/>
              </w:rPr>
              <w:t>Aatm ——</w:t>
            </w:r>
            <w:r>
              <w:rPr>
                <w:rFonts w:hint="eastAsia" w:ascii="Times New Roman" w:hAnsi="Times New Roman" w:eastAsia="宋体" w:cs="Times New Roman"/>
                <w:color w:val="auto"/>
                <w:sz w:val="24"/>
                <w:szCs w:val="24"/>
                <w:u w:val="none" w:color="auto"/>
                <w:lang w:val="en-US" w:eastAsia="zh-CN"/>
              </w:rPr>
              <w:t>大气吸收引起的衰减，</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2E112F53">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eastAsia"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α——</w:t>
            </w:r>
            <w:r>
              <w:rPr>
                <w:rFonts w:hint="eastAsia" w:ascii="Times New Roman" w:hAnsi="Times New Roman" w:eastAsia="宋体" w:cs="Times New Roman"/>
                <w:color w:val="auto"/>
                <w:sz w:val="24"/>
                <w:szCs w:val="24"/>
                <w:u w:val="none" w:color="auto"/>
                <w:lang w:val="en-US" w:eastAsia="zh-CN"/>
              </w:rPr>
              <w:t>与温度、湿度和声波频率有关的大气吸收衰减系数，预测计算中一般根据建设项目所处区域常年平均气温和湿度选择相应的大气吸收衰减系数（见《环境影响评价技术导则  声环境》（HJ 2.4—</w:t>
            </w:r>
            <w:r>
              <w:rPr>
                <w:rFonts w:hint="default" w:ascii="Times New Roman" w:hAnsi="Times New Roman" w:eastAsia="宋体" w:cs="Times New Roman"/>
                <w:color w:val="auto"/>
                <w:sz w:val="24"/>
                <w:szCs w:val="24"/>
                <w:u w:val="none" w:color="auto"/>
                <w:lang w:val="en-US" w:eastAsia="zh-CN"/>
              </w:rPr>
              <w:t>2021</w:t>
            </w:r>
            <w:r>
              <w:rPr>
                <w:rFonts w:hint="eastAsia" w:ascii="Times New Roman" w:hAnsi="Times New Roman" w:eastAsia="宋体" w:cs="Times New Roman"/>
                <w:color w:val="auto"/>
                <w:sz w:val="24"/>
                <w:szCs w:val="24"/>
                <w:u w:val="none" w:color="auto"/>
                <w:lang w:val="en-US" w:eastAsia="zh-CN"/>
              </w:rPr>
              <w:t xml:space="preserve">）中的表 </w:t>
            </w:r>
            <w:r>
              <w:rPr>
                <w:rFonts w:hint="default" w:ascii="Times New Roman" w:hAnsi="Times New Roman" w:eastAsia="宋体" w:cs="Times New Roman"/>
                <w:color w:val="auto"/>
                <w:sz w:val="24"/>
                <w:szCs w:val="24"/>
                <w:u w:val="none" w:color="auto"/>
                <w:lang w:val="en-US" w:eastAsia="zh-CN"/>
              </w:rPr>
              <w:t>A.2</w:t>
            </w:r>
            <w:r>
              <w:rPr>
                <w:rFonts w:hint="eastAsia" w:ascii="Times New Roman" w:hAnsi="Times New Roman" w:eastAsia="宋体" w:cs="Times New Roman"/>
                <w:color w:val="auto"/>
                <w:sz w:val="24"/>
                <w:szCs w:val="24"/>
                <w:u w:val="none" w:color="auto"/>
                <w:lang w:val="en-US" w:eastAsia="zh-CN"/>
              </w:rPr>
              <w:t xml:space="preserve">）； </w:t>
            </w:r>
          </w:p>
          <w:p w14:paraId="31C91743">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eastAsia"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r ——</w:t>
            </w:r>
            <w:r>
              <w:rPr>
                <w:rFonts w:hint="eastAsia" w:ascii="Times New Roman" w:hAnsi="Times New Roman" w:eastAsia="宋体" w:cs="Times New Roman"/>
                <w:color w:val="auto"/>
                <w:sz w:val="24"/>
                <w:szCs w:val="24"/>
                <w:u w:val="none" w:color="auto"/>
                <w:lang w:val="en-US" w:eastAsia="zh-CN"/>
              </w:rPr>
              <w:t xml:space="preserve">预测点距声源的距离； </w:t>
            </w:r>
          </w:p>
          <w:p w14:paraId="2E0E4E30">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eastAsia"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r0——</w:t>
            </w:r>
            <w:r>
              <w:rPr>
                <w:rFonts w:hint="eastAsia" w:ascii="Times New Roman" w:hAnsi="Times New Roman" w:eastAsia="宋体" w:cs="Times New Roman"/>
                <w:color w:val="auto"/>
                <w:sz w:val="24"/>
                <w:szCs w:val="24"/>
                <w:u w:val="none" w:color="auto"/>
                <w:lang w:val="en-US" w:eastAsia="zh-CN"/>
              </w:rPr>
              <w:t xml:space="preserve">参考位置距声源的距离。 </w:t>
            </w:r>
          </w:p>
          <w:p w14:paraId="0BC7A84B">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d地面效应引起的衰减</w:t>
            </w:r>
          </w:p>
          <w:p w14:paraId="56AD161C">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参照《</w:t>
            </w:r>
            <w:r>
              <w:rPr>
                <w:rFonts w:hint="default" w:ascii="Times New Roman" w:hAnsi="Times New Roman" w:eastAsia="宋体" w:cs="Times New Roman"/>
                <w:color w:val="auto"/>
                <w:sz w:val="24"/>
                <w:szCs w:val="24"/>
                <w:u w:val="none" w:color="auto"/>
                <w:lang w:val="en-US" w:eastAsia="zh-CN"/>
              </w:rPr>
              <w:t>声学户外声传播的衰减 第2部分：一般计算方法</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GB_T 17247.2-1998</w:t>
            </w:r>
            <w:r>
              <w:rPr>
                <w:rFonts w:hint="eastAsia" w:ascii="Times New Roman" w:hAnsi="Times New Roman" w:eastAsia="宋体" w:cs="Times New Roman"/>
                <w:color w:val="auto"/>
                <w:sz w:val="24"/>
                <w:szCs w:val="24"/>
                <w:u w:val="none" w:color="auto"/>
                <w:lang w:val="en-US" w:eastAsia="zh-CN"/>
              </w:rPr>
              <w:t>），每一种地面区域的声学性质由地面因子G计算。</w:t>
            </w:r>
          </w:p>
          <w:p w14:paraId="4048CB5C">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center"/>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Agr=As+Ar+Am</w:t>
            </w:r>
          </w:p>
          <w:p w14:paraId="1C9DFBD5">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坚实地面G=0；疏松地面G=1，混合地面G取0-1之间，本项目厂区外至厂界处，均为硬质坚实路面，根据</w:t>
            </w:r>
            <w:r>
              <w:rPr>
                <w:rFonts w:hint="default" w:ascii="Times New Roman" w:hAnsi="Times New Roman" w:eastAsia="宋体" w:cs="Times New Roman"/>
                <w:color w:val="auto"/>
                <w:sz w:val="24"/>
                <w:szCs w:val="24"/>
                <w:u w:val="none" w:color="auto"/>
                <w:lang w:val="en-US" w:eastAsia="zh-CN"/>
              </w:rPr>
              <w:t>GB_T</w:t>
            </w:r>
            <w:r>
              <w:rPr>
                <w:rFonts w:hint="eastAsia" w:ascii="Times New Roman" w:hAnsi="Times New Roman" w:eastAsia="宋体" w:cs="Times New Roman"/>
                <w:color w:val="auto"/>
                <w:sz w:val="24"/>
                <w:szCs w:val="24"/>
                <w:u w:val="none" w:color="auto"/>
                <w:lang w:val="en-US" w:eastAsia="zh-CN"/>
              </w:rPr>
              <w:t xml:space="preserve"> </w:t>
            </w:r>
            <w:r>
              <w:rPr>
                <w:rFonts w:hint="default" w:ascii="Times New Roman" w:hAnsi="Times New Roman" w:eastAsia="宋体" w:cs="Times New Roman"/>
                <w:color w:val="auto"/>
                <w:sz w:val="24"/>
                <w:szCs w:val="24"/>
                <w:u w:val="none" w:color="auto"/>
                <w:lang w:val="en-US" w:eastAsia="zh-CN"/>
              </w:rPr>
              <w:t>17247.2-1998</w:t>
            </w:r>
            <w:r>
              <w:rPr>
                <w:rFonts w:hint="eastAsia" w:ascii="Times New Roman" w:hAnsi="Times New Roman" w:eastAsia="宋体" w:cs="Times New Roman"/>
                <w:color w:val="auto"/>
                <w:sz w:val="24"/>
                <w:szCs w:val="24"/>
                <w:u w:val="none" w:color="auto"/>
                <w:lang w:val="en-US" w:eastAsia="zh-CN"/>
              </w:rPr>
              <w:t>中表3用于计算地面分衰减As，Ar和Am(倍频带)的表达式计算结果，Agr=-1.5，取0计算。</w:t>
            </w:r>
          </w:p>
          <w:p w14:paraId="724F13B7">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d声屏障引起的衰减按式计算：</w:t>
            </w:r>
          </w:p>
          <w:p w14:paraId="35E7ADD2">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drawing>
                <wp:inline distT="0" distB="0" distL="114300" distR="114300">
                  <wp:extent cx="3133725" cy="476250"/>
                  <wp:effectExtent l="0" t="0" r="952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1"/>
                          <a:stretch>
                            <a:fillRect/>
                          </a:stretch>
                        </pic:blipFill>
                        <pic:spPr>
                          <a:xfrm>
                            <a:off x="0" y="0"/>
                            <a:ext cx="3133725" cy="476250"/>
                          </a:xfrm>
                          <a:prstGeom prst="rect">
                            <a:avLst/>
                          </a:prstGeom>
                          <a:noFill/>
                          <a:ln>
                            <a:noFill/>
                          </a:ln>
                        </pic:spPr>
                      </pic:pic>
                    </a:graphicData>
                  </a:graphic>
                </wp:inline>
              </w:drawing>
            </w:r>
          </w:p>
          <w:p w14:paraId="67F8B07D">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N1</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N2</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N3</w:t>
            </w:r>
            <w:r>
              <w:rPr>
                <w:rFonts w:hint="eastAsia" w:ascii="Times New Roman" w:hAnsi="Times New Roman" w:eastAsia="宋体" w:cs="Times New Roman"/>
                <w:color w:val="auto"/>
                <w:sz w:val="24"/>
                <w:szCs w:val="24"/>
                <w:u w:val="none" w:color="auto"/>
                <w:lang w:val="en-US" w:eastAsia="zh-CN"/>
              </w:rPr>
              <w:t xml:space="preserve">——图 </w:t>
            </w:r>
            <w:r>
              <w:rPr>
                <w:rFonts w:hint="default" w:ascii="Times New Roman" w:hAnsi="Times New Roman" w:eastAsia="宋体" w:cs="Times New Roman"/>
                <w:color w:val="auto"/>
                <w:sz w:val="24"/>
                <w:szCs w:val="24"/>
                <w:u w:val="none" w:color="auto"/>
                <w:lang w:val="en-US" w:eastAsia="zh-CN"/>
              </w:rPr>
              <w:t xml:space="preserve">A.6 </w:t>
            </w:r>
            <w:r>
              <w:rPr>
                <w:rFonts w:hint="eastAsia" w:ascii="Times New Roman" w:hAnsi="Times New Roman" w:eastAsia="宋体" w:cs="Times New Roman"/>
                <w:color w:val="auto"/>
                <w:sz w:val="24"/>
                <w:szCs w:val="24"/>
                <w:u w:val="none" w:color="auto"/>
                <w:lang w:val="en-US" w:eastAsia="zh-CN"/>
              </w:rPr>
              <w:t xml:space="preserve">所示三个传播途径的声程差 </w:t>
            </w:r>
            <w:r>
              <w:rPr>
                <w:rFonts w:hint="default" w:ascii="Times New Roman" w:hAnsi="Times New Roman" w:eastAsia="宋体" w:cs="Times New Roman"/>
                <w:color w:val="auto"/>
                <w:sz w:val="24"/>
                <w:szCs w:val="24"/>
                <w:u w:val="none" w:color="auto"/>
                <w:lang w:val="en-US" w:eastAsia="zh-CN"/>
              </w:rPr>
              <w:t>δ1</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δ2</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 xml:space="preserve">δ3 </w:t>
            </w:r>
            <w:r>
              <w:rPr>
                <w:rFonts w:hint="eastAsia" w:ascii="Times New Roman" w:hAnsi="Times New Roman" w:eastAsia="宋体" w:cs="Times New Roman"/>
                <w:color w:val="auto"/>
                <w:sz w:val="24"/>
                <w:szCs w:val="24"/>
                <w:u w:val="none" w:color="auto"/>
                <w:lang w:val="en-US" w:eastAsia="zh-CN"/>
              </w:rPr>
              <w:t xml:space="preserve">相应的菲涅尔数。 </w:t>
            </w:r>
          </w:p>
          <w:p w14:paraId="11894ED7">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当屏障很长（作无限长处理）时，仅可考虑顶端绕射衰减，按式（</w:t>
            </w:r>
            <w:r>
              <w:rPr>
                <w:rFonts w:hint="default" w:ascii="Times New Roman" w:hAnsi="Times New Roman" w:eastAsia="宋体" w:cs="Times New Roman"/>
                <w:color w:val="auto"/>
                <w:sz w:val="24"/>
                <w:szCs w:val="24"/>
                <w:u w:val="none" w:color="auto"/>
                <w:lang w:val="en-US" w:eastAsia="zh-CN"/>
              </w:rPr>
              <w:t>A.22</w:t>
            </w:r>
            <w:r>
              <w:rPr>
                <w:rFonts w:hint="eastAsia" w:ascii="Times New Roman" w:hAnsi="Times New Roman" w:eastAsia="宋体" w:cs="Times New Roman"/>
                <w:color w:val="auto"/>
                <w:sz w:val="24"/>
                <w:szCs w:val="24"/>
                <w:u w:val="none" w:color="auto"/>
                <w:lang w:val="en-US" w:eastAsia="zh-CN"/>
              </w:rPr>
              <w:t>）进行计算。</w:t>
            </w:r>
          </w:p>
          <w:p w14:paraId="3794A8B6">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drawing>
                <wp:inline distT="0" distB="0" distL="114300" distR="114300">
                  <wp:extent cx="1619250" cy="504825"/>
                  <wp:effectExtent l="0" t="0" r="0"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1619250" cy="504825"/>
                          </a:xfrm>
                          <a:prstGeom prst="rect">
                            <a:avLst/>
                          </a:prstGeom>
                          <a:noFill/>
                          <a:ln>
                            <a:noFill/>
                          </a:ln>
                        </pic:spPr>
                      </pic:pic>
                    </a:graphicData>
                  </a:graphic>
                </wp:inline>
              </w:drawing>
            </w:r>
          </w:p>
          <w:p w14:paraId="40480A9C">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式中：</w:t>
            </w:r>
            <w:r>
              <w:rPr>
                <w:rFonts w:hint="default" w:ascii="Times New Roman" w:hAnsi="Times New Roman" w:eastAsia="宋体" w:cs="Times New Roman"/>
                <w:color w:val="auto"/>
                <w:sz w:val="24"/>
                <w:szCs w:val="24"/>
                <w:u w:val="none" w:color="auto"/>
                <w:lang w:val="en-US" w:eastAsia="zh-CN"/>
              </w:rPr>
              <w:t>Abar ——</w:t>
            </w:r>
            <w:r>
              <w:rPr>
                <w:rFonts w:hint="eastAsia" w:ascii="Times New Roman" w:hAnsi="Times New Roman" w:eastAsia="宋体" w:cs="Times New Roman"/>
                <w:color w:val="auto"/>
                <w:sz w:val="24"/>
                <w:szCs w:val="24"/>
                <w:u w:val="none" w:color="auto"/>
                <w:lang w:val="en-US" w:eastAsia="zh-CN"/>
              </w:rPr>
              <w:t>障碍物屏蔽引起的衰减，</w:t>
            </w:r>
            <w:r>
              <w:rPr>
                <w:rFonts w:hint="default" w:ascii="Times New Roman" w:hAnsi="Times New Roman" w:eastAsia="宋体" w:cs="Times New Roman"/>
                <w:color w:val="auto"/>
                <w:sz w:val="24"/>
                <w:szCs w:val="24"/>
                <w:u w:val="none" w:color="auto"/>
                <w:lang w:val="en-US" w:eastAsia="zh-CN"/>
              </w:rPr>
              <w:t>dB</w:t>
            </w:r>
            <w:r>
              <w:rPr>
                <w:rFonts w:hint="eastAsia" w:ascii="Times New Roman" w:hAnsi="Times New Roman" w:eastAsia="宋体" w:cs="Times New Roman"/>
                <w:color w:val="auto"/>
                <w:sz w:val="24"/>
                <w:szCs w:val="24"/>
                <w:u w:val="none" w:color="auto"/>
                <w:lang w:val="en-US" w:eastAsia="zh-CN"/>
              </w:rPr>
              <w:t xml:space="preserve">； </w:t>
            </w:r>
          </w:p>
          <w:p w14:paraId="26102A0F">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N1——</w:t>
            </w:r>
            <w:r>
              <w:rPr>
                <w:rFonts w:hint="eastAsia" w:ascii="Times New Roman" w:hAnsi="Times New Roman" w:eastAsia="宋体" w:cs="Times New Roman"/>
                <w:color w:val="auto"/>
                <w:sz w:val="24"/>
                <w:szCs w:val="24"/>
                <w:u w:val="none" w:color="auto"/>
                <w:lang w:val="en-US" w:eastAsia="zh-CN"/>
              </w:rPr>
              <w:t xml:space="preserve">顶端绕射的声程差 </w:t>
            </w:r>
            <w:r>
              <w:rPr>
                <w:rFonts w:hint="default" w:ascii="Times New Roman" w:hAnsi="Times New Roman" w:eastAsia="宋体" w:cs="Times New Roman"/>
                <w:color w:val="auto"/>
                <w:sz w:val="24"/>
                <w:szCs w:val="24"/>
                <w:u w:val="none" w:color="auto"/>
                <w:lang w:val="en-US" w:eastAsia="zh-CN"/>
              </w:rPr>
              <w:t xml:space="preserve">δ1 </w:t>
            </w:r>
            <w:r>
              <w:rPr>
                <w:rFonts w:hint="eastAsia" w:ascii="Times New Roman" w:hAnsi="Times New Roman" w:eastAsia="宋体" w:cs="Times New Roman"/>
                <w:color w:val="auto"/>
                <w:sz w:val="24"/>
                <w:szCs w:val="24"/>
                <w:u w:val="none" w:color="auto"/>
                <w:lang w:val="en-US" w:eastAsia="zh-CN"/>
              </w:rPr>
              <w:t>相应的菲涅尔数。</w:t>
            </w:r>
          </w:p>
          <w:p w14:paraId="664E6770">
            <w:pPr>
              <w:pStyle w:val="1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lang w:val="en-US" w:eastAsia="zh-CN"/>
              </w:rPr>
            </w:pPr>
            <w:r>
              <w:rPr>
                <w:rFonts w:hint="eastAsia"/>
                <w:lang w:val="en-US" w:eastAsia="zh-CN"/>
              </w:rPr>
              <w:t>本项目围绕厂界处建设2.5m高围墙。</w:t>
            </w:r>
          </w:p>
          <w:p w14:paraId="51F50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Cs/>
                <w:color w:val="auto"/>
                <w:sz w:val="24"/>
                <w:szCs w:val="24"/>
                <w:highlight w:val="none"/>
                <w:u w:val="none" w:color="auto"/>
                <w:lang w:val="en-US" w:eastAsia="zh-CN"/>
              </w:rPr>
            </w:pPr>
            <w:r>
              <w:rPr>
                <w:rFonts w:hint="eastAsia" w:cs="Times New Roman"/>
                <w:bCs/>
                <w:color w:val="auto"/>
                <w:sz w:val="24"/>
                <w:szCs w:val="24"/>
                <w:highlight w:val="none"/>
                <w:u w:val="none" w:color="auto"/>
                <w:lang w:val="en-US" w:eastAsia="zh-CN"/>
              </w:rPr>
              <w:t>预测结果</w:t>
            </w:r>
          </w:p>
          <w:p w14:paraId="0BBE0761">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 xml:space="preserve">通过计算设备噪声的衰减范围和程度，预测项目运营期噪声源对厂界噪声的贡献值，并结合噪声标准限值来说明项目运营期噪声对周围环境的影响。 </w:t>
            </w:r>
          </w:p>
          <w:p w14:paraId="6B31817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本项目夜间不生产，因此仅预测昼间。</w:t>
            </w:r>
          </w:p>
          <w:p w14:paraId="20689E02">
            <w:pPr>
              <w:pStyle w:val="6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eastAsia" w:ascii="Times New Roman" w:hAnsi="Times New Roman" w:eastAsia="宋体" w:cs="Times New Roman"/>
                <w:b/>
                <w:bCs/>
                <w:color w:val="auto"/>
                <w:u w:val="none" w:color="auto"/>
                <w:lang w:eastAsia="zh-CN"/>
              </w:rPr>
            </w:pPr>
            <w:r>
              <w:rPr>
                <w:rFonts w:hint="eastAsia" w:ascii="Times New Roman" w:hAnsi="Times New Roman" w:eastAsia="宋体" w:cs="Times New Roman"/>
                <w:b/>
                <w:bCs/>
                <w:color w:val="auto"/>
                <w:u w:val="none" w:color="auto"/>
                <w:lang w:eastAsia="zh-CN"/>
              </w:rPr>
              <w:drawing>
                <wp:inline distT="0" distB="0" distL="114300" distR="114300">
                  <wp:extent cx="5241925" cy="5076190"/>
                  <wp:effectExtent l="0" t="0" r="15875" b="10160"/>
                  <wp:docPr id="9" name="图片 9" descr="6c7fb756df5c445410ec394bc567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c7fb756df5c445410ec394bc56723c"/>
                          <pic:cNvPicPr>
                            <a:picLocks noChangeAspect="1"/>
                          </pic:cNvPicPr>
                        </pic:nvPicPr>
                        <pic:blipFill>
                          <a:blip r:embed="rId23"/>
                          <a:stretch>
                            <a:fillRect/>
                          </a:stretch>
                        </pic:blipFill>
                        <pic:spPr>
                          <a:xfrm>
                            <a:off x="0" y="0"/>
                            <a:ext cx="5241925" cy="5076190"/>
                          </a:xfrm>
                          <a:prstGeom prst="rect">
                            <a:avLst/>
                          </a:prstGeom>
                        </pic:spPr>
                      </pic:pic>
                    </a:graphicData>
                  </a:graphic>
                </wp:inline>
              </w:drawing>
            </w:r>
          </w:p>
          <w:p w14:paraId="7FD76A66">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u w:val="none" w:color="auto"/>
                <w:lang w:val="en-US" w:eastAsia="zh-CN"/>
              </w:rPr>
            </w:pPr>
            <w:r>
              <w:rPr>
                <w:rFonts w:hint="eastAsia" w:ascii="Times New Roman" w:hAnsi="Times New Roman" w:cs="Times New Roman"/>
                <w:b/>
                <w:color w:val="auto"/>
                <w:szCs w:val="21"/>
                <w:highlight w:val="none"/>
                <w:u w:val="none" w:color="auto"/>
                <w:lang w:val="en-US" w:eastAsia="zh-CN"/>
              </w:rPr>
              <w:t>图4-</w:t>
            </w:r>
            <w:r>
              <w:rPr>
                <w:rFonts w:hint="eastAsia" w:cs="Times New Roman"/>
                <w:b/>
                <w:color w:val="auto"/>
                <w:szCs w:val="21"/>
                <w:highlight w:val="none"/>
                <w:u w:val="none" w:color="auto"/>
                <w:lang w:val="en-US" w:eastAsia="zh-CN"/>
              </w:rPr>
              <w:t>2</w:t>
            </w:r>
            <w:r>
              <w:rPr>
                <w:rFonts w:hint="eastAsia" w:ascii="Times New Roman" w:hAnsi="Times New Roman" w:cs="Times New Roman"/>
                <w:b/>
                <w:color w:val="auto"/>
                <w:szCs w:val="21"/>
                <w:highlight w:val="none"/>
                <w:u w:val="none" w:color="auto"/>
                <w:lang w:val="en-US" w:eastAsia="zh-CN"/>
              </w:rPr>
              <w:t xml:space="preserve">   噪声预测结果图</w:t>
            </w:r>
          </w:p>
          <w:p w14:paraId="65EDF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highlight w:val="none"/>
                <w:u w:val="none" w:color="auto"/>
                <w:lang w:val="en-US" w:eastAsia="zh-CN"/>
              </w:rPr>
            </w:pPr>
            <w:r>
              <w:rPr>
                <w:rFonts w:hint="default" w:ascii="Times New Roman" w:hAnsi="Times New Roman" w:cs="Times New Roman"/>
                <w:bCs/>
                <w:color w:val="auto"/>
                <w:sz w:val="24"/>
                <w:szCs w:val="24"/>
                <w:highlight w:val="none"/>
                <w:u w:val="none" w:color="auto"/>
              </w:rPr>
              <w:t>根据上</w:t>
            </w:r>
            <w:r>
              <w:rPr>
                <w:rFonts w:hint="eastAsia" w:cs="Times New Roman"/>
                <w:bCs/>
                <w:color w:val="auto"/>
                <w:sz w:val="24"/>
                <w:szCs w:val="24"/>
                <w:highlight w:val="none"/>
                <w:u w:val="none" w:color="auto"/>
                <w:lang w:val="en-US" w:eastAsia="zh-CN"/>
              </w:rPr>
              <w:t>图</w:t>
            </w:r>
            <w:r>
              <w:rPr>
                <w:rFonts w:hint="default" w:ascii="Times New Roman" w:hAnsi="Times New Roman" w:cs="Times New Roman"/>
                <w:bCs/>
                <w:color w:val="auto"/>
                <w:sz w:val="24"/>
                <w:szCs w:val="24"/>
                <w:highlight w:val="none"/>
                <w:u w:val="none" w:color="auto"/>
                <w:lang w:val="en-US" w:eastAsia="zh-CN"/>
              </w:rPr>
              <w:t>分析可知：</w:t>
            </w:r>
          </w:p>
          <w:p w14:paraId="19B8C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val="0"/>
                <w:color w:val="auto"/>
                <w:sz w:val="21"/>
                <w:szCs w:val="21"/>
                <w:highlight w:val="none"/>
                <w:u w:val="single" w:color="auto"/>
                <w:lang w:val="en-US" w:eastAsia="zh-CN"/>
              </w:rPr>
            </w:pPr>
            <w:r>
              <w:rPr>
                <w:rFonts w:hint="eastAsia" w:cs="Times New Roman"/>
                <w:b/>
                <w:bCs w:val="0"/>
                <w:color w:val="auto"/>
                <w:sz w:val="21"/>
                <w:szCs w:val="21"/>
                <w:highlight w:val="none"/>
                <w:u w:val="single" w:color="auto"/>
                <w:lang w:val="en-US" w:eastAsia="zh-CN"/>
              </w:rPr>
              <w:t>表4-14   噪声预测结果</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2066"/>
              <w:gridCol w:w="2066"/>
              <w:gridCol w:w="2066"/>
            </w:tblGrid>
            <w:tr w14:paraId="0EA8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14:paraId="33F17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方位</w:t>
                  </w:r>
                </w:p>
              </w:tc>
              <w:tc>
                <w:tcPr>
                  <w:tcW w:w="2066" w:type="dxa"/>
                  <w:vAlign w:val="center"/>
                </w:tcPr>
                <w:p w14:paraId="2C69BE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预测结果</w:t>
                  </w:r>
                  <w:r>
                    <w:rPr>
                      <w:rFonts w:hint="eastAsia" w:ascii="Times New Roman" w:hAnsi="Times New Roman" w:cs="Times New Roman"/>
                      <w:bCs/>
                      <w:color w:val="auto"/>
                      <w:sz w:val="21"/>
                      <w:szCs w:val="21"/>
                      <w:highlight w:val="none"/>
                      <w:u w:val="none" w:color="auto"/>
                      <w:lang w:val="en-US" w:eastAsia="zh-CN"/>
                    </w:rPr>
                    <w:t>db（A）</w:t>
                  </w:r>
                </w:p>
              </w:tc>
              <w:tc>
                <w:tcPr>
                  <w:tcW w:w="2066" w:type="dxa"/>
                  <w:vAlign w:val="center"/>
                </w:tcPr>
                <w:p w14:paraId="40648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标准</w:t>
                  </w:r>
                  <w:r>
                    <w:rPr>
                      <w:rFonts w:hint="eastAsia" w:ascii="Times New Roman" w:hAnsi="Times New Roman" w:cs="Times New Roman"/>
                      <w:bCs/>
                      <w:color w:val="auto"/>
                      <w:sz w:val="21"/>
                      <w:szCs w:val="21"/>
                      <w:highlight w:val="none"/>
                      <w:u w:val="none" w:color="auto"/>
                      <w:lang w:val="en-US" w:eastAsia="zh-CN"/>
                    </w:rPr>
                    <w:t>db（A）</w:t>
                  </w:r>
                </w:p>
              </w:tc>
              <w:tc>
                <w:tcPr>
                  <w:tcW w:w="2066" w:type="dxa"/>
                  <w:vAlign w:val="center"/>
                </w:tcPr>
                <w:p w14:paraId="2F35A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是否达标</w:t>
                  </w:r>
                </w:p>
              </w:tc>
            </w:tr>
            <w:tr w14:paraId="05BF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14:paraId="186248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厂界（东侧）</w:t>
                  </w:r>
                </w:p>
              </w:tc>
              <w:tc>
                <w:tcPr>
                  <w:tcW w:w="2066" w:type="dxa"/>
                  <w:vAlign w:val="center"/>
                </w:tcPr>
                <w:p w14:paraId="6C242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55-60</w:t>
                  </w:r>
                </w:p>
              </w:tc>
              <w:tc>
                <w:tcPr>
                  <w:tcW w:w="2066" w:type="dxa"/>
                  <w:vAlign w:val="center"/>
                </w:tcPr>
                <w:p w14:paraId="75FFC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65</w:t>
                  </w:r>
                </w:p>
              </w:tc>
              <w:tc>
                <w:tcPr>
                  <w:tcW w:w="2066" w:type="dxa"/>
                  <w:vAlign w:val="center"/>
                </w:tcPr>
                <w:p w14:paraId="49386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w:t>
                  </w:r>
                </w:p>
              </w:tc>
            </w:tr>
            <w:tr w14:paraId="3E87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14:paraId="3EEAC8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厂界（南侧）</w:t>
                  </w:r>
                </w:p>
              </w:tc>
              <w:tc>
                <w:tcPr>
                  <w:tcW w:w="2066" w:type="dxa"/>
                  <w:vAlign w:val="center"/>
                </w:tcPr>
                <w:p w14:paraId="4116B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55-60</w:t>
                  </w:r>
                </w:p>
              </w:tc>
              <w:tc>
                <w:tcPr>
                  <w:tcW w:w="2066" w:type="dxa"/>
                  <w:vAlign w:val="center"/>
                </w:tcPr>
                <w:p w14:paraId="00470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65</w:t>
                  </w:r>
                </w:p>
              </w:tc>
              <w:tc>
                <w:tcPr>
                  <w:tcW w:w="2066" w:type="dxa"/>
                  <w:vAlign w:val="center"/>
                </w:tcPr>
                <w:p w14:paraId="7EE89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w:t>
                  </w:r>
                </w:p>
              </w:tc>
            </w:tr>
            <w:tr w14:paraId="143D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14:paraId="78F59E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厂界（西侧）</w:t>
                  </w:r>
                </w:p>
              </w:tc>
              <w:tc>
                <w:tcPr>
                  <w:tcW w:w="2066" w:type="dxa"/>
                  <w:vAlign w:val="center"/>
                </w:tcPr>
                <w:p w14:paraId="2E042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50-55</w:t>
                  </w:r>
                </w:p>
              </w:tc>
              <w:tc>
                <w:tcPr>
                  <w:tcW w:w="2066" w:type="dxa"/>
                  <w:vAlign w:val="center"/>
                </w:tcPr>
                <w:p w14:paraId="130AE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65</w:t>
                  </w:r>
                </w:p>
              </w:tc>
              <w:tc>
                <w:tcPr>
                  <w:tcW w:w="2066" w:type="dxa"/>
                  <w:vAlign w:val="center"/>
                </w:tcPr>
                <w:p w14:paraId="353F77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w:t>
                  </w:r>
                </w:p>
              </w:tc>
            </w:tr>
            <w:tr w14:paraId="1EC7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14:paraId="54FC8A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厂界（北侧）</w:t>
                  </w:r>
                </w:p>
              </w:tc>
              <w:tc>
                <w:tcPr>
                  <w:tcW w:w="2066" w:type="dxa"/>
                  <w:vAlign w:val="center"/>
                </w:tcPr>
                <w:p w14:paraId="27CA5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55-60</w:t>
                  </w:r>
                </w:p>
              </w:tc>
              <w:tc>
                <w:tcPr>
                  <w:tcW w:w="2066" w:type="dxa"/>
                  <w:vAlign w:val="center"/>
                </w:tcPr>
                <w:p w14:paraId="7791A1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65</w:t>
                  </w:r>
                </w:p>
              </w:tc>
              <w:tc>
                <w:tcPr>
                  <w:tcW w:w="2066" w:type="dxa"/>
                  <w:vAlign w:val="center"/>
                </w:tcPr>
                <w:p w14:paraId="781F0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w:t>
                  </w:r>
                </w:p>
              </w:tc>
            </w:tr>
            <w:tr w14:paraId="4E86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14:paraId="0B7C3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敏感区</w:t>
                  </w:r>
                </w:p>
              </w:tc>
              <w:tc>
                <w:tcPr>
                  <w:tcW w:w="2066" w:type="dxa"/>
                  <w:vAlign w:val="center"/>
                </w:tcPr>
                <w:p w14:paraId="4F5C3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50-55</w:t>
                  </w:r>
                </w:p>
              </w:tc>
              <w:tc>
                <w:tcPr>
                  <w:tcW w:w="2066" w:type="dxa"/>
                  <w:vAlign w:val="center"/>
                </w:tcPr>
                <w:p w14:paraId="099C4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60</w:t>
                  </w:r>
                </w:p>
              </w:tc>
              <w:tc>
                <w:tcPr>
                  <w:tcW w:w="2066" w:type="dxa"/>
                  <w:vAlign w:val="center"/>
                </w:tcPr>
                <w:p w14:paraId="0C7C3B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是</w:t>
                  </w:r>
                </w:p>
              </w:tc>
            </w:tr>
          </w:tbl>
          <w:p w14:paraId="615C1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bCs/>
                <w:color w:val="auto"/>
                <w:sz w:val="24"/>
                <w:szCs w:val="24"/>
                <w:highlight w:val="none"/>
                <w:u w:val="single" w:color="auto"/>
                <w:lang w:val="en-US" w:eastAsia="zh-CN"/>
              </w:rPr>
            </w:pPr>
          </w:p>
          <w:p w14:paraId="4404D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highlight w:val="none"/>
                <w:u w:val="none" w:color="auto"/>
                <w:lang w:val="en-US" w:eastAsia="zh-CN"/>
              </w:rPr>
            </w:pPr>
            <w:r>
              <w:rPr>
                <w:rFonts w:hint="eastAsia" w:cs="Times New Roman"/>
                <w:bCs/>
                <w:color w:val="auto"/>
                <w:sz w:val="24"/>
                <w:szCs w:val="24"/>
                <w:highlight w:val="none"/>
                <w:u w:val="none" w:color="auto"/>
                <w:lang w:val="en-US" w:eastAsia="zh-CN"/>
              </w:rPr>
              <w:t>通过上图和上表分析可知，</w:t>
            </w:r>
            <w:r>
              <w:rPr>
                <w:rFonts w:hint="default" w:ascii="Times New Roman" w:hAnsi="Times New Roman" w:cs="Times New Roman"/>
                <w:bCs/>
                <w:color w:val="auto"/>
                <w:sz w:val="24"/>
                <w:szCs w:val="24"/>
                <w:highlight w:val="none"/>
                <w:u w:val="none" w:color="auto"/>
                <w:lang w:val="en-US" w:eastAsia="zh-CN"/>
              </w:rPr>
              <w:t>项目完成后</w:t>
            </w:r>
            <w:r>
              <w:rPr>
                <w:rFonts w:hint="default" w:ascii="Times New Roman" w:hAnsi="Times New Roman" w:cs="Times New Roman"/>
                <w:bCs/>
                <w:color w:val="auto"/>
                <w:sz w:val="24"/>
                <w:szCs w:val="24"/>
                <w:highlight w:val="none"/>
                <w:u w:val="none" w:color="auto"/>
              </w:rPr>
              <w:t>，</w:t>
            </w:r>
            <w:r>
              <w:rPr>
                <w:rFonts w:hint="default" w:ascii="Times New Roman" w:hAnsi="Times New Roman" w:cs="Times New Roman"/>
                <w:bCs/>
                <w:color w:val="auto"/>
                <w:sz w:val="24"/>
                <w:szCs w:val="24"/>
                <w:highlight w:val="none"/>
                <w:u w:val="none" w:color="auto"/>
                <w:lang w:val="en-US" w:eastAsia="zh-CN"/>
              </w:rPr>
              <w:t>各厂界</w:t>
            </w:r>
            <w:r>
              <w:rPr>
                <w:rFonts w:hint="eastAsia" w:ascii="Times New Roman" w:hAnsi="Times New Roman" w:cs="Times New Roman"/>
                <w:bCs/>
                <w:color w:val="auto"/>
                <w:sz w:val="24"/>
                <w:szCs w:val="24"/>
                <w:highlight w:val="none"/>
                <w:u w:val="none" w:color="auto"/>
                <w:lang w:val="en-US" w:eastAsia="zh-CN"/>
              </w:rPr>
              <w:t>昼间</w:t>
            </w:r>
            <w:r>
              <w:rPr>
                <w:rFonts w:hint="default" w:ascii="Times New Roman" w:hAnsi="Times New Roman" w:cs="Times New Roman"/>
                <w:bCs/>
                <w:color w:val="auto"/>
                <w:sz w:val="24"/>
                <w:szCs w:val="24"/>
                <w:highlight w:val="none"/>
                <w:u w:val="none" w:color="auto"/>
                <w:lang w:val="en-US" w:eastAsia="zh-CN"/>
              </w:rPr>
              <w:t>噪声</w:t>
            </w:r>
            <w:r>
              <w:rPr>
                <w:rFonts w:hint="eastAsia" w:ascii="Times New Roman" w:hAnsi="Times New Roman" w:cs="Times New Roman"/>
                <w:bCs/>
                <w:color w:val="auto"/>
                <w:sz w:val="24"/>
                <w:szCs w:val="24"/>
                <w:highlight w:val="none"/>
                <w:u w:val="none" w:color="auto"/>
                <w:lang w:val="en-US" w:eastAsia="zh-CN"/>
              </w:rPr>
              <w:t>贡献值</w:t>
            </w:r>
            <w:r>
              <w:rPr>
                <w:rFonts w:hint="default" w:ascii="Times New Roman" w:hAnsi="Times New Roman" w:cs="Times New Roman"/>
                <w:bCs/>
                <w:color w:val="auto"/>
                <w:sz w:val="24"/>
                <w:szCs w:val="24"/>
                <w:highlight w:val="none"/>
                <w:u w:val="none" w:color="auto"/>
              </w:rPr>
              <w:t>均可达到《工业企业</w:t>
            </w:r>
            <w:r>
              <w:rPr>
                <w:rFonts w:hint="default" w:ascii="Times New Roman" w:hAnsi="Times New Roman" w:eastAsia="宋体" w:cs="Times New Roman"/>
                <w:color w:val="auto"/>
                <w:kern w:val="2"/>
                <w:sz w:val="24"/>
                <w:szCs w:val="24"/>
                <w:u w:val="none" w:color="auto"/>
                <w:lang w:val="en-US" w:eastAsia="zh-CN" w:bidi="ar-SA"/>
              </w:rPr>
              <w:t>厂</w:t>
            </w:r>
            <w:r>
              <w:rPr>
                <w:rFonts w:hint="default" w:ascii="Times New Roman" w:hAnsi="Times New Roman" w:cs="Times New Roman"/>
                <w:bCs/>
                <w:color w:val="auto"/>
                <w:sz w:val="24"/>
                <w:szCs w:val="24"/>
                <w:highlight w:val="none"/>
                <w:u w:val="none" w:color="auto"/>
                <w:lang w:val="en-US" w:eastAsia="zh-CN"/>
              </w:rPr>
              <w:t>界环境噪声排放标准》（GB12348-2008）中</w:t>
            </w:r>
            <w:r>
              <w:rPr>
                <w:rFonts w:hint="eastAsia" w:ascii="Times New Roman" w:hAnsi="Times New Roman" w:cs="Times New Roman"/>
                <w:bCs/>
                <w:color w:val="auto"/>
                <w:sz w:val="24"/>
                <w:szCs w:val="24"/>
                <w:highlight w:val="none"/>
                <w:u w:val="none" w:color="auto"/>
                <w:lang w:val="en-US" w:eastAsia="zh-CN"/>
              </w:rPr>
              <w:t>3</w:t>
            </w:r>
            <w:r>
              <w:rPr>
                <w:rFonts w:hint="default" w:ascii="Times New Roman" w:hAnsi="Times New Roman" w:cs="Times New Roman"/>
                <w:bCs/>
                <w:color w:val="auto"/>
                <w:sz w:val="24"/>
                <w:szCs w:val="24"/>
                <w:highlight w:val="none"/>
                <w:u w:val="none" w:color="auto"/>
                <w:lang w:val="en-US" w:eastAsia="zh-CN"/>
              </w:rPr>
              <w:t>类标准限值要求。</w:t>
            </w:r>
          </w:p>
          <w:p w14:paraId="67506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highlight w:val="none"/>
                <w:u w:val="single" w:color="auto"/>
                <w:lang w:val="en-US" w:eastAsia="zh-CN"/>
              </w:rPr>
            </w:pPr>
            <w:r>
              <w:rPr>
                <w:rFonts w:hint="eastAsia" w:ascii="Times New Roman" w:hAnsi="Times New Roman" w:cs="Times New Roman"/>
                <w:bCs/>
                <w:color w:val="auto"/>
                <w:sz w:val="24"/>
                <w:szCs w:val="24"/>
                <w:highlight w:val="none"/>
                <w:u w:val="none" w:color="auto"/>
                <w:lang w:val="en-US" w:eastAsia="zh-CN"/>
              </w:rPr>
              <w:t>南侧的噪声敏感点，低于60db（A），</w:t>
            </w:r>
            <w:r>
              <w:rPr>
                <w:rFonts w:hint="eastAsia" w:cs="Times New Roman"/>
                <w:bCs/>
                <w:color w:val="auto"/>
                <w:sz w:val="24"/>
                <w:szCs w:val="24"/>
                <w:highlight w:val="none"/>
                <w:u w:val="none" w:color="auto"/>
                <w:lang w:val="en-US" w:eastAsia="zh-CN"/>
              </w:rPr>
              <w:t>可以达到《声环境质量标准》（GBA3096-2008）2类标准限制。</w:t>
            </w:r>
          </w:p>
          <w:p w14:paraId="23C41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highlight w:val="none"/>
                <w:u w:val="none" w:color="auto"/>
              </w:rPr>
            </w:pPr>
            <w:r>
              <w:rPr>
                <w:rFonts w:hint="default" w:ascii="Times New Roman" w:hAnsi="Times New Roman" w:cs="Times New Roman"/>
                <w:bCs/>
                <w:color w:val="auto"/>
                <w:sz w:val="24"/>
                <w:szCs w:val="24"/>
                <w:highlight w:val="none"/>
                <w:u w:val="none" w:color="auto"/>
              </w:rPr>
              <w:t>因此，项目</w:t>
            </w:r>
            <w:r>
              <w:rPr>
                <w:rFonts w:hint="default" w:ascii="Times New Roman" w:hAnsi="Times New Roman" w:cs="Times New Roman"/>
                <w:bCs/>
                <w:color w:val="auto"/>
                <w:sz w:val="24"/>
                <w:szCs w:val="24"/>
                <w:highlight w:val="none"/>
                <w:u w:val="none" w:color="auto"/>
                <w:lang w:val="en-US" w:eastAsia="zh-CN"/>
              </w:rPr>
              <w:t>完成后</w:t>
            </w:r>
            <w:r>
              <w:rPr>
                <w:rFonts w:hint="default" w:ascii="Times New Roman" w:hAnsi="Times New Roman" w:cs="Times New Roman"/>
                <w:bCs/>
                <w:color w:val="auto"/>
                <w:sz w:val="24"/>
                <w:szCs w:val="24"/>
                <w:highlight w:val="none"/>
                <w:u w:val="none" w:color="auto"/>
              </w:rPr>
              <w:t>对周边声环境的影响较小。</w:t>
            </w:r>
          </w:p>
          <w:p w14:paraId="68EF65E4">
            <w:pPr>
              <w:pStyle w:val="94"/>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bidi="ar-SA"/>
              </w:rPr>
            </w:pPr>
            <w:r>
              <w:rPr>
                <w:rFonts w:hint="default" w:ascii="Times New Roman" w:hAnsi="Times New Roman" w:eastAsia="宋体" w:cs="Times New Roman"/>
                <w:color w:val="auto"/>
                <w:sz w:val="24"/>
                <w:lang w:val="en-US" w:bidi="ar-SA"/>
              </w:rPr>
              <w:t>针对本项目噪声源，建议建设单位采取以下措施减少噪声环境影响：</w:t>
            </w:r>
          </w:p>
          <w:p w14:paraId="7D58CDCC">
            <w:pPr>
              <w:pStyle w:val="94"/>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bidi="ar-SA"/>
              </w:rPr>
            </w:pPr>
            <w:r>
              <w:rPr>
                <w:rFonts w:hint="default" w:ascii="Times New Roman" w:hAnsi="Times New Roman" w:eastAsia="宋体" w:cs="Times New Roman"/>
                <w:color w:val="auto"/>
                <w:sz w:val="24"/>
                <w:lang w:val="en-US" w:bidi="ar-SA"/>
              </w:rPr>
              <w:t>①合理调整车间内设备布置，尽量将产噪设备布置于项目中心位置，针对高噪声设备，在底部设置减震垫；</w:t>
            </w:r>
          </w:p>
          <w:p w14:paraId="038E862C">
            <w:pPr>
              <w:pStyle w:val="94"/>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bidi="ar-SA"/>
              </w:rPr>
            </w:pPr>
            <w:r>
              <w:rPr>
                <w:rFonts w:hint="default" w:ascii="Times New Roman" w:hAnsi="Times New Roman" w:eastAsia="宋体" w:cs="Times New Roman"/>
                <w:color w:val="auto"/>
                <w:sz w:val="24"/>
                <w:lang w:val="en-US" w:bidi="ar-SA"/>
              </w:rPr>
              <w:t>②定期对设备进行维修保养，确保设备处于良好的运转状态，杜绝因设备确保不正常运转时产生的高噪声现象；</w:t>
            </w:r>
          </w:p>
          <w:p w14:paraId="57F44842">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综上所述，项目所产生的设备噪声通过采取以上治理措施后，对周边声环境影响较小</w:t>
            </w:r>
            <w:r>
              <w:rPr>
                <w:rFonts w:hint="eastAsia" w:ascii="Times New Roman" w:hAnsi="Times New Roman" w:eastAsia="宋体" w:cs="Times New Roman"/>
                <w:color w:val="auto"/>
                <w:sz w:val="24"/>
                <w:lang w:eastAsia="zh-CN"/>
              </w:rPr>
              <w:t>。</w:t>
            </w:r>
          </w:p>
          <w:p w14:paraId="698A10B5">
            <w:pPr>
              <w:pStyle w:val="3"/>
              <w:suppressLineNumbers w:val="0"/>
              <w:spacing w:before="0" w:beforeAutospacing="0" w:after="0" w:afterAutospacing="0"/>
              <w:ind w:left="0" w:leftChars="0" w:right="0" w:firstLine="0" w:firstLineChars="0"/>
              <w:outlineLvl w:val="1"/>
              <w:rPr>
                <w:rFonts w:hint="default" w:ascii="Times New Roman" w:hAnsi="Times New Roman" w:eastAsia="宋体" w:cs="Times New Roman"/>
                <w:b/>
                <w:bCs w:val="0"/>
                <w:color w:val="auto"/>
                <w:kern w:val="2"/>
                <w:sz w:val="24"/>
                <w:szCs w:val="24"/>
                <w:highlight w:val="none"/>
                <w:u w:val="none" w:color="auto"/>
                <w:lang w:val="en-US" w:eastAsia="zh-CN" w:bidi="ar-SA"/>
              </w:rPr>
            </w:pPr>
            <w:r>
              <w:rPr>
                <w:rFonts w:hint="default" w:ascii="Times New Roman" w:hAnsi="Times New Roman" w:eastAsia="宋体" w:cs="Times New Roman"/>
                <w:b/>
                <w:bCs w:val="0"/>
                <w:color w:val="auto"/>
                <w:kern w:val="2"/>
                <w:sz w:val="24"/>
                <w:szCs w:val="24"/>
                <w:highlight w:val="none"/>
                <w:u w:val="none" w:color="auto"/>
                <w:lang w:val="en-US" w:eastAsia="zh-CN" w:bidi="ar-SA"/>
              </w:rPr>
              <w:t>3.3、监测要求</w:t>
            </w:r>
          </w:p>
          <w:p w14:paraId="25FAA030">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szCs w:val="24"/>
                <w:highlight w:val="none"/>
                <w:u w:val="none" w:color="auto"/>
              </w:rPr>
            </w:pPr>
            <w:r>
              <w:rPr>
                <w:rFonts w:hint="default" w:ascii="Times New Roman" w:hAnsi="Times New Roman" w:cs="Times New Roman"/>
                <w:bCs/>
                <w:color w:val="auto"/>
                <w:sz w:val="24"/>
                <w:szCs w:val="24"/>
                <w:highlight w:val="none"/>
                <w:u w:val="none" w:color="auto"/>
                <w:lang w:val="en-US" w:eastAsia="zh-CN"/>
              </w:rPr>
              <w:t>项目运营期噪声监测计划详见下表：</w:t>
            </w:r>
          </w:p>
          <w:p w14:paraId="0A33BFAC">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u w:val="none" w:color="auto"/>
              </w:rPr>
            </w:pPr>
            <w:r>
              <w:rPr>
                <w:rFonts w:hint="default" w:ascii="Times New Roman" w:hAnsi="Times New Roman" w:cs="Times New Roman"/>
                <w:b/>
                <w:color w:val="auto"/>
                <w:szCs w:val="21"/>
                <w:highlight w:val="none"/>
                <w:u w:val="none" w:color="auto"/>
              </w:rPr>
              <w:t>表4-</w:t>
            </w:r>
            <w:r>
              <w:rPr>
                <w:rFonts w:hint="eastAsia" w:cs="Times New Roman"/>
                <w:b/>
                <w:color w:val="auto"/>
                <w:szCs w:val="21"/>
                <w:highlight w:val="none"/>
                <w:u w:val="none" w:color="auto"/>
                <w:lang w:val="en-US" w:eastAsia="zh-CN"/>
              </w:rPr>
              <w:t xml:space="preserve">15  </w:t>
            </w:r>
            <w:r>
              <w:rPr>
                <w:rFonts w:hint="default" w:ascii="Times New Roman" w:hAnsi="Times New Roman" w:cs="Times New Roman"/>
                <w:b/>
                <w:color w:val="auto"/>
                <w:szCs w:val="21"/>
                <w:highlight w:val="none"/>
                <w:u w:val="none" w:color="auto"/>
              </w:rPr>
              <w:t xml:space="preserve">  噪声监测计划</w:t>
            </w:r>
            <w:r>
              <w:rPr>
                <w:rFonts w:hint="default" w:ascii="Times New Roman" w:hAnsi="Times New Roman" w:cs="Times New Roman"/>
                <w:b/>
                <w:color w:val="auto"/>
                <w:szCs w:val="21"/>
                <w:highlight w:val="none"/>
                <w:u w:val="none" w:color="auto"/>
                <w:lang w:val="en-US" w:eastAsia="zh-CN"/>
              </w:rPr>
              <w:t>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480"/>
              <w:gridCol w:w="3343"/>
              <w:gridCol w:w="1392"/>
            </w:tblGrid>
            <w:tr w14:paraId="6C74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33374C8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cs="Times New Roman"/>
                      <w:b/>
                      <w:color w:val="auto"/>
                      <w:sz w:val="21"/>
                      <w:szCs w:val="21"/>
                      <w:highlight w:val="none"/>
                      <w:u w:val="none" w:color="auto"/>
                      <w:lang w:val="en-US" w:eastAsia="zh-CN"/>
                    </w:rPr>
                    <w:t>类别</w:t>
                  </w:r>
                </w:p>
              </w:tc>
              <w:tc>
                <w:tcPr>
                  <w:tcW w:w="1502" w:type="pct"/>
                  <w:noWrap w:val="0"/>
                  <w:vAlign w:val="center"/>
                </w:tcPr>
                <w:p w14:paraId="4A832C76">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监测点位</w:t>
                  </w:r>
                </w:p>
              </w:tc>
              <w:tc>
                <w:tcPr>
                  <w:tcW w:w="2024" w:type="pct"/>
                  <w:noWrap w:val="0"/>
                  <w:vAlign w:val="center"/>
                </w:tcPr>
                <w:p w14:paraId="4BCE7907">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监测因子</w:t>
                  </w:r>
                </w:p>
              </w:tc>
              <w:tc>
                <w:tcPr>
                  <w:tcW w:w="843" w:type="pct"/>
                  <w:noWrap w:val="0"/>
                  <w:vAlign w:val="center"/>
                </w:tcPr>
                <w:p w14:paraId="63C19173">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监测频次</w:t>
                  </w:r>
                </w:p>
              </w:tc>
            </w:tr>
            <w:tr w14:paraId="5B96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6009227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噪声</w:t>
                  </w:r>
                </w:p>
              </w:tc>
              <w:tc>
                <w:tcPr>
                  <w:tcW w:w="1502" w:type="pct"/>
                  <w:noWrap w:val="0"/>
                  <w:vAlign w:val="center"/>
                </w:tcPr>
                <w:p w14:paraId="1E8F9D6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lang w:val="en-US" w:eastAsia="zh-CN"/>
                    </w:rPr>
                    <w:t>四周</w:t>
                  </w:r>
                  <w:r>
                    <w:rPr>
                      <w:rFonts w:hint="default" w:ascii="Times New Roman" w:hAnsi="Times New Roman" w:cs="Times New Roman"/>
                      <w:bCs/>
                      <w:color w:val="auto"/>
                      <w:sz w:val="21"/>
                      <w:szCs w:val="21"/>
                      <w:highlight w:val="none"/>
                      <w:u w:val="none" w:color="auto"/>
                    </w:rPr>
                    <w:t>厂界</w:t>
                  </w:r>
                </w:p>
              </w:tc>
              <w:tc>
                <w:tcPr>
                  <w:tcW w:w="2024" w:type="pct"/>
                  <w:noWrap w:val="0"/>
                  <w:vAlign w:val="center"/>
                </w:tcPr>
                <w:p w14:paraId="21EF4C4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cs="Times New Roman"/>
                      <w:bCs/>
                      <w:color w:val="auto"/>
                      <w:sz w:val="21"/>
                      <w:szCs w:val="21"/>
                      <w:highlight w:val="none"/>
                      <w:u w:val="none" w:color="auto"/>
                    </w:rPr>
                    <w:t>等效连续A声级</w:t>
                  </w:r>
                  <w:r>
                    <w:rPr>
                      <w:rFonts w:hint="default" w:ascii="Times New Roman" w:hAnsi="Times New Roman" w:cs="Times New Roman"/>
                      <w:bCs/>
                      <w:color w:val="auto"/>
                      <w:sz w:val="21"/>
                      <w:szCs w:val="21"/>
                      <w:highlight w:val="none"/>
                      <w:u w:val="none" w:color="auto"/>
                      <w:lang w:eastAsia="zh-CN"/>
                    </w:rPr>
                    <w:t>（</w:t>
                  </w:r>
                  <w:r>
                    <w:rPr>
                      <w:rFonts w:hint="default" w:ascii="Times New Roman" w:hAnsi="Times New Roman" w:cs="Times New Roman"/>
                      <w:bCs/>
                      <w:color w:val="auto"/>
                      <w:sz w:val="21"/>
                      <w:szCs w:val="21"/>
                      <w:highlight w:val="none"/>
                      <w:u w:val="none" w:color="auto"/>
                      <w:lang w:val="en-US" w:eastAsia="zh-CN"/>
                    </w:rPr>
                    <w:t>昼间</w:t>
                  </w:r>
                  <w:r>
                    <w:rPr>
                      <w:rFonts w:hint="default" w:ascii="Times New Roman" w:hAnsi="Times New Roman" w:cs="Times New Roman"/>
                      <w:bCs/>
                      <w:color w:val="auto"/>
                      <w:sz w:val="21"/>
                      <w:szCs w:val="21"/>
                      <w:highlight w:val="none"/>
                      <w:u w:val="none" w:color="auto"/>
                      <w:lang w:eastAsia="zh-CN"/>
                    </w:rPr>
                    <w:t>）</w:t>
                  </w:r>
                </w:p>
              </w:tc>
              <w:tc>
                <w:tcPr>
                  <w:tcW w:w="843" w:type="pct"/>
                  <w:noWrap w:val="0"/>
                  <w:vAlign w:val="center"/>
                </w:tcPr>
                <w:p w14:paraId="2D6D326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1次/季度</w:t>
                  </w:r>
                </w:p>
              </w:tc>
            </w:tr>
          </w:tbl>
          <w:p w14:paraId="39971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
                <w:bCs/>
                <w:color w:val="auto"/>
                <w:sz w:val="24"/>
                <w:szCs w:val="24"/>
                <w:highlight w:val="none"/>
                <w:u w:val="none" w:color="auto"/>
              </w:rPr>
            </w:pPr>
            <w:r>
              <w:rPr>
                <w:rFonts w:hint="default" w:ascii="Times New Roman" w:hAnsi="Times New Roman" w:cs="Times New Roman"/>
                <w:b/>
                <w:bCs/>
                <w:color w:val="auto"/>
                <w:sz w:val="24"/>
                <w:szCs w:val="24"/>
                <w:highlight w:val="none"/>
                <w:u w:val="none" w:color="auto"/>
              </w:rPr>
              <w:t>4、固体废物</w:t>
            </w:r>
          </w:p>
          <w:p w14:paraId="3FBB69E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szCs w:val="24"/>
                <w:highlight w:val="none"/>
                <w:u w:val="none" w:color="auto"/>
                <w:lang w:val="en-US" w:eastAsia="zh-CN"/>
              </w:rPr>
            </w:pPr>
            <w:r>
              <w:rPr>
                <w:rFonts w:hint="eastAsia" w:ascii="Times New Roman" w:hAnsi="Times New Roman" w:cs="Times New Roman"/>
                <w:bCs/>
                <w:color w:val="auto"/>
                <w:sz w:val="24"/>
                <w:szCs w:val="24"/>
                <w:highlight w:val="none"/>
                <w:u w:val="none" w:color="auto"/>
                <w:lang w:val="en-US" w:eastAsia="zh-CN"/>
              </w:rPr>
              <w:t>项目主要固体废物有员工办公产生的生活垃圾，一般固废有机加工产生的废边角料、废包装，危险固废有废切削液、废切削液桶、废润滑油、废润滑油桶、含油抹布等</w:t>
            </w:r>
          </w:p>
          <w:p w14:paraId="3A4A280B">
            <w:pPr>
              <w:keepNext w:val="0"/>
              <w:keepLines w:val="0"/>
              <w:suppressLineNumbers w:val="0"/>
              <w:spacing w:before="0" w:beforeAutospacing="0" w:after="0" w:afterAutospacing="0" w:line="360" w:lineRule="auto"/>
              <w:ind w:left="0" w:right="0"/>
              <w:rPr>
                <w:rFonts w:hint="default" w:cs="Times New Roman"/>
                <w:b/>
                <w:bCs w:val="0"/>
                <w:snapToGrid w:val="0"/>
                <w:color w:val="auto"/>
                <w:kern w:val="0"/>
                <w:sz w:val="24"/>
                <w:highlight w:val="none"/>
                <w:lang w:val="en-US" w:eastAsia="zh-CN"/>
              </w:rPr>
            </w:pPr>
            <w:r>
              <w:rPr>
                <w:rFonts w:hint="eastAsia" w:cs="Times New Roman"/>
                <w:b/>
                <w:bCs w:val="0"/>
                <w:snapToGrid w:val="0"/>
                <w:color w:val="auto"/>
                <w:kern w:val="0"/>
                <w:sz w:val="24"/>
                <w:highlight w:val="none"/>
                <w:lang w:val="en-US" w:eastAsia="zh-CN"/>
              </w:rPr>
              <w:t>4.1固体废物源强核算</w:t>
            </w:r>
          </w:p>
          <w:p w14:paraId="0BBFB471">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b/>
                <w:bCs w:val="0"/>
                <w:snapToGrid w:val="0"/>
                <w:color w:val="auto"/>
                <w:kern w:val="0"/>
                <w:sz w:val="24"/>
                <w:highlight w:val="none"/>
                <w:lang w:val="en-US" w:eastAsia="zh-CN"/>
              </w:rPr>
            </w:pPr>
            <w:r>
              <w:rPr>
                <w:rFonts w:hint="eastAsia" w:cs="Times New Roman"/>
                <w:b/>
                <w:bCs w:val="0"/>
                <w:snapToGrid w:val="0"/>
                <w:color w:val="auto"/>
                <w:kern w:val="0"/>
                <w:sz w:val="24"/>
                <w:highlight w:val="none"/>
                <w:lang w:val="en-US" w:eastAsia="zh-CN"/>
              </w:rPr>
              <w:t>（1）</w:t>
            </w:r>
            <w:r>
              <w:rPr>
                <w:rFonts w:hint="eastAsia" w:ascii="Times New Roman" w:hAnsi="Times New Roman" w:eastAsia="宋体" w:cs="Times New Roman"/>
                <w:b/>
                <w:bCs w:val="0"/>
                <w:snapToGrid w:val="0"/>
                <w:color w:val="auto"/>
                <w:kern w:val="0"/>
                <w:sz w:val="24"/>
                <w:highlight w:val="none"/>
                <w:lang w:val="en-US" w:eastAsia="zh-CN"/>
              </w:rPr>
              <w:t>生活垃圾</w:t>
            </w:r>
          </w:p>
          <w:p w14:paraId="6F88A33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本项目劳动定员400名员工，</w:t>
            </w:r>
            <w:r>
              <w:rPr>
                <w:rFonts w:hint="eastAsia" w:ascii="Times New Roman" w:hAnsi="Times New Roman" w:eastAsia="宋体" w:cs="Times New Roman"/>
                <w:bCs/>
                <w:snapToGrid w:val="0"/>
                <w:color w:val="auto"/>
                <w:kern w:val="0"/>
                <w:sz w:val="24"/>
                <w:highlight w:val="none"/>
                <w:lang w:val="en-US" w:eastAsia="zh-CN"/>
              </w:rPr>
              <w:t>生活垃圾产生量按</w:t>
            </w:r>
            <w:r>
              <w:rPr>
                <w:rFonts w:hint="eastAsia" w:cs="Times New Roman"/>
                <w:bCs/>
                <w:snapToGrid w:val="0"/>
                <w:color w:val="auto"/>
                <w:kern w:val="0"/>
                <w:sz w:val="24"/>
                <w:highlight w:val="none"/>
                <w:lang w:val="en-US" w:eastAsia="zh-CN"/>
              </w:rPr>
              <w:t>0.5</w:t>
            </w:r>
            <w:r>
              <w:rPr>
                <w:rFonts w:hint="eastAsia" w:ascii="Times New Roman" w:hAnsi="Times New Roman" w:eastAsia="宋体" w:cs="Times New Roman"/>
                <w:bCs/>
                <w:snapToGrid w:val="0"/>
                <w:color w:val="auto"/>
                <w:kern w:val="0"/>
                <w:sz w:val="24"/>
                <w:highlight w:val="none"/>
                <w:lang w:val="en-US" w:eastAsia="zh-CN"/>
              </w:rPr>
              <w:t>kg/人•d计算，则生活垃圾产生量为</w:t>
            </w:r>
            <w:r>
              <w:rPr>
                <w:rFonts w:hint="eastAsia" w:cs="Times New Roman"/>
                <w:bCs/>
                <w:snapToGrid w:val="0"/>
                <w:color w:val="auto"/>
                <w:kern w:val="0"/>
                <w:sz w:val="24"/>
                <w:highlight w:val="none"/>
                <w:lang w:val="en-US" w:eastAsia="zh-CN"/>
              </w:rPr>
              <w:t>200</w:t>
            </w:r>
            <w:r>
              <w:rPr>
                <w:rFonts w:hint="eastAsia" w:ascii="Times New Roman" w:hAnsi="Times New Roman" w:eastAsia="宋体" w:cs="Times New Roman"/>
                <w:bCs/>
                <w:snapToGrid w:val="0"/>
                <w:color w:val="auto"/>
                <w:kern w:val="0"/>
                <w:sz w:val="24"/>
                <w:highlight w:val="none"/>
                <w:lang w:val="en-US" w:eastAsia="zh-CN"/>
              </w:rPr>
              <w:t>kg/d，</w:t>
            </w:r>
            <w:r>
              <w:rPr>
                <w:rFonts w:hint="eastAsia" w:cs="Times New Roman"/>
                <w:bCs/>
                <w:snapToGrid w:val="0"/>
                <w:color w:val="auto"/>
                <w:kern w:val="0"/>
                <w:sz w:val="24"/>
                <w:highlight w:val="none"/>
                <w:lang w:val="en-US" w:eastAsia="zh-CN"/>
              </w:rPr>
              <w:t>60</w:t>
            </w:r>
            <w:r>
              <w:rPr>
                <w:rFonts w:hint="eastAsia" w:ascii="Times New Roman" w:hAnsi="Times New Roman" w:eastAsia="宋体" w:cs="Times New Roman"/>
                <w:bCs/>
                <w:snapToGrid w:val="0"/>
                <w:color w:val="auto"/>
                <w:kern w:val="0"/>
                <w:sz w:val="24"/>
                <w:highlight w:val="none"/>
                <w:lang w:val="en-US" w:eastAsia="zh-CN"/>
              </w:rPr>
              <w:t>t/a。生活垃圾</w:t>
            </w:r>
            <w:r>
              <w:rPr>
                <w:rFonts w:hint="eastAsia" w:cs="Times New Roman"/>
                <w:bCs/>
                <w:snapToGrid w:val="0"/>
                <w:color w:val="auto"/>
                <w:kern w:val="0"/>
                <w:sz w:val="24"/>
                <w:highlight w:val="none"/>
                <w:lang w:val="en-US" w:eastAsia="zh-CN"/>
              </w:rPr>
              <w:t>主要为一些瓜皮纸屑，</w:t>
            </w:r>
            <w:r>
              <w:rPr>
                <w:rFonts w:hint="eastAsia" w:ascii="Times New Roman" w:hAnsi="Times New Roman" w:eastAsia="宋体" w:cs="Times New Roman"/>
                <w:bCs/>
                <w:snapToGrid w:val="0"/>
                <w:color w:val="auto"/>
                <w:kern w:val="0"/>
                <w:sz w:val="24"/>
                <w:highlight w:val="none"/>
                <w:lang w:val="en-US" w:eastAsia="zh-CN"/>
              </w:rPr>
              <w:t>收集后交由环卫部门处理。</w:t>
            </w:r>
          </w:p>
          <w:p w14:paraId="4CBCB3A2">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b/>
                <w:bCs w:val="0"/>
                <w:snapToGrid w:val="0"/>
                <w:color w:val="auto"/>
                <w:kern w:val="0"/>
                <w:sz w:val="24"/>
                <w:highlight w:val="none"/>
                <w:u w:val="none"/>
                <w:lang w:val="en-US" w:eastAsia="zh-CN"/>
              </w:rPr>
            </w:pPr>
            <w:r>
              <w:rPr>
                <w:rFonts w:hint="eastAsia" w:cs="Times New Roman"/>
                <w:b/>
                <w:bCs w:val="0"/>
                <w:snapToGrid w:val="0"/>
                <w:color w:val="auto"/>
                <w:kern w:val="0"/>
                <w:sz w:val="24"/>
                <w:highlight w:val="none"/>
                <w:u w:val="none"/>
                <w:lang w:val="en-US" w:eastAsia="zh-CN"/>
              </w:rPr>
              <w:t>（2）</w:t>
            </w:r>
            <w:r>
              <w:rPr>
                <w:rFonts w:hint="eastAsia" w:ascii="Times New Roman" w:hAnsi="Times New Roman" w:eastAsia="宋体" w:cs="Times New Roman"/>
                <w:b/>
                <w:bCs w:val="0"/>
                <w:snapToGrid w:val="0"/>
                <w:color w:val="auto"/>
                <w:kern w:val="0"/>
                <w:sz w:val="24"/>
                <w:highlight w:val="none"/>
                <w:u w:val="none"/>
                <w:lang w:val="en-US" w:eastAsia="zh-CN"/>
              </w:rPr>
              <w:t>一般工业固废</w:t>
            </w:r>
          </w:p>
          <w:p w14:paraId="35FDA7D2">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szCs w:val="24"/>
                <w:u w:val="none"/>
                <w:lang w:val="en-US" w:eastAsia="zh-CN"/>
              </w:rPr>
            </w:pPr>
            <w:r>
              <w:rPr>
                <w:rFonts w:hint="eastAsia" w:ascii="Times New Roman" w:hAnsi="Times New Roman" w:cs="Times New Roman"/>
                <w:color w:val="auto"/>
                <w:sz w:val="24"/>
                <w:szCs w:val="24"/>
                <w:u w:val="none"/>
                <w:lang w:val="en-US" w:eastAsia="zh-CN"/>
              </w:rPr>
              <w:t>①</w:t>
            </w:r>
            <w:r>
              <w:rPr>
                <w:rFonts w:hint="eastAsia"/>
                <w:color w:val="auto"/>
                <w:sz w:val="24"/>
                <w:szCs w:val="24"/>
                <w:u w:val="none"/>
                <w:lang w:val="zh-CN"/>
              </w:rPr>
              <w:t>废包装</w:t>
            </w:r>
            <w:r>
              <w:rPr>
                <w:rFonts w:hint="eastAsia"/>
                <w:color w:val="auto"/>
                <w:sz w:val="24"/>
                <w:szCs w:val="24"/>
                <w:u w:val="none"/>
                <w:lang w:val="en-US" w:eastAsia="zh-CN"/>
              </w:rPr>
              <w:t>材料</w:t>
            </w:r>
          </w:p>
          <w:p w14:paraId="2B4EB80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u w:val="none"/>
                <w:lang w:val="zh-CN"/>
              </w:rPr>
            </w:pPr>
            <w:r>
              <w:rPr>
                <w:rFonts w:hint="eastAsia"/>
                <w:color w:val="auto"/>
                <w:sz w:val="24"/>
                <w:szCs w:val="24"/>
                <w:u w:val="none"/>
                <w:lang w:val="en-US" w:eastAsia="zh-CN"/>
              </w:rPr>
              <w:t>项目会产生废包装材料，主要为废纸、废木屑等，</w:t>
            </w:r>
            <w:r>
              <w:rPr>
                <w:rFonts w:hint="eastAsia"/>
                <w:color w:val="auto"/>
                <w:sz w:val="24"/>
                <w:szCs w:val="24"/>
                <w:u w:val="none"/>
                <w:lang w:val="zh-CN"/>
              </w:rPr>
              <w:t>产生量为</w:t>
            </w:r>
            <w:r>
              <w:rPr>
                <w:rFonts w:hint="eastAsia"/>
                <w:color w:val="auto"/>
                <w:sz w:val="24"/>
                <w:szCs w:val="24"/>
                <w:u w:val="none"/>
                <w:lang w:val="en-US" w:eastAsia="zh-CN"/>
              </w:rPr>
              <w:t>10</w:t>
            </w:r>
            <w:r>
              <w:rPr>
                <w:rFonts w:hint="eastAsia"/>
                <w:color w:val="auto"/>
                <w:sz w:val="24"/>
                <w:szCs w:val="24"/>
                <w:u w:val="none"/>
                <w:lang w:val="zh-CN"/>
              </w:rPr>
              <w:t>t/a。暂存一般固废暂存间后交物资回收单位处理。</w:t>
            </w:r>
          </w:p>
          <w:p w14:paraId="3AF0FEA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②</w:t>
            </w:r>
            <w:r>
              <w:rPr>
                <w:rFonts w:hint="eastAsia" w:ascii="Times New Roman" w:hAnsi="Times New Roman" w:cs="Times New Roman"/>
                <w:color w:val="auto"/>
                <w:sz w:val="24"/>
                <w:szCs w:val="24"/>
                <w:u w:val="none"/>
                <w:lang w:val="zh-CN"/>
              </w:rPr>
              <w:t>废</w:t>
            </w:r>
            <w:r>
              <w:rPr>
                <w:rFonts w:hint="eastAsia" w:cs="Times New Roman"/>
                <w:color w:val="auto"/>
                <w:sz w:val="24"/>
                <w:szCs w:val="24"/>
                <w:u w:val="none"/>
                <w:lang w:val="en-US" w:eastAsia="zh-CN"/>
              </w:rPr>
              <w:t>水性淬火剂桶</w:t>
            </w:r>
          </w:p>
          <w:p w14:paraId="4991960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本项目</w:t>
            </w:r>
            <w:r>
              <w:rPr>
                <w:rFonts w:hint="eastAsia" w:cs="Times New Roman"/>
                <w:color w:val="auto"/>
                <w:sz w:val="24"/>
                <w:szCs w:val="24"/>
                <w:u w:val="none"/>
                <w:lang w:val="en-US" w:eastAsia="zh-CN"/>
              </w:rPr>
              <w:t>使用水性淬火剂18桶，200L/桶的铁桶，每个桶重量约为20kg，共产生0.36t/a的废水性淬火剂桶。收集后由废品站回收。</w:t>
            </w:r>
          </w:p>
          <w:p w14:paraId="351C574A">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b/>
                <w:bCs w:val="0"/>
                <w:snapToGrid w:val="0"/>
                <w:color w:val="auto"/>
                <w:kern w:val="0"/>
                <w:sz w:val="24"/>
                <w:highlight w:val="none"/>
                <w:u w:val="none"/>
                <w:lang w:val="en-US" w:eastAsia="zh-CN"/>
              </w:rPr>
            </w:pPr>
            <w:r>
              <w:rPr>
                <w:rFonts w:hint="eastAsia" w:cs="Times New Roman"/>
                <w:b/>
                <w:bCs w:val="0"/>
                <w:snapToGrid w:val="0"/>
                <w:color w:val="auto"/>
                <w:kern w:val="0"/>
                <w:sz w:val="24"/>
                <w:highlight w:val="none"/>
                <w:u w:val="none"/>
                <w:lang w:val="en-US" w:eastAsia="zh-CN"/>
              </w:rPr>
              <w:t>（3）</w:t>
            </w:r>
            <w:r>
              <w:rPr>
                <w:rFonts w:hint="eastAsia" w:ascii="Times New Roman" w:hAnsi="Times New Roman" w:eastAsia="宋体" w:cs="Times New Roman"/>
                <w:b/>
                <w:bCs w:val="0"/>
                <w:snapToGrid w:val="0"/>
                <w:color w:val="auto"/>
                <w:kern w:val="0"/>
                <w:sz w:val="24"/>
                <w:highlight w:val="none"/>
                <w:u w:val="none"/>
                <w:lang w:val="en-US" w:eastAsia="zh-CN"/>
              </w:rPr>
              <w:t>危险废物</w:t>
            </w:r>
          </w:p>
          <w:p w14:paraId="533CA7F8">
            <w:pPr>
              <w:keepNext w:val="0"/>
              <w:keepLines w:val="0"/>
              <w:suppressLineNumbers w:val="0"/>
              <w:spacing w:before="0" w:beforeAutospacing="0" w:after="0" w:afterAutospacing="0" w:line="360" w:lineRule="auto"/>
              <w:ind w:left="0" w:right="0" w:firstLine="480" w:firstLineChars="200"/>
              <w:rPr>
                <w:rFonts w:hint="default"/>
                <w:color w:val="auto"/>
                <w:sz w:val="24"/>
                <w:szCs w:val="24"/>
                <w:u w:val="none"/>
                <w:lang w:val="en-US" w:eastAsia="zh-CN"/>
              </w:rPr>
            </w:pPr>
            <w:r>
              <w:rPr>
                <w:rFonts w:hint="eastAsia"/>
                <w:color w:val="auto"/>
                <w:sz w:val="24"/>
                <w:szCs w:val="24"/>
                <w:u w:val="none"/>
                <w:lang w:val="en-US" w:eastAsia="zh-CN"/>
              </w:rPr>
              <w:t>①含油废铁屑</w:t>
            </w:r>
          </w:p>
          <w:p w14:paraId="3D8DB9DD">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项目生产机械加工过程中会产生少量的</w:t>
            </w:r>
            <w:r>
              <w:rPr>
                <w:rFonts w:hint="eastAsia" w:cs="Times New Roman"/>
                <w:color w:val="auto"/>
                <w:sz w:val="24"/>
                <w:szCs w:val="24"/>
                <w:u w:val="none"/>
                <w:lang w:val="en-US" w:eastAsia="zh-CN"/>
              </w:rPr>
              <w:t>含油</w:t>
            </w:r>
            <w:r>
              <w:rPr>
                <w:rFonts w:hint="eastAsia" w:ascii="Times New Roman" w:hAnsi="Times New Roman" w:cs="Times New Roman"/>
                <w:color w:val="auto"/>
                <w:sz w:val="24"/>
                <w:szCs w:val="24"/>
                <w:u w:val="none"/>
                <w:lang w:val="en-US" w:eastAsia="zh-CN"/>
              </w:rPr>
              <w:t>废</w:t>
            </w:r>
            <w:r>
              <w:rPr>
                <w:rFonts w:hint="eastAsia" w:cs="Times New Roman"/>
                <w:color w:val="auto"/>
                <w:sz w:val="24"/>
                <w:szCs w:val="24"/>
                <w:u w:val="none"/>
                <w:lang w:val="en-US" w:eastAsia="zh-CN"/>
              </w:rPr>
              <w:t>铁屑边角料</w:t>
            </w:r>
            <w:r>
              <w:rPr>
                <w:rFonts w:hint="eastAsia" w:ascii="Times New Roman" w:hAnsi="Times New Roman" w:cs="Times New Roman"/>
                <w:color w:val="auto"/>
                <w:sz w:val="24"/>
                <w:szCs w:val="24"/>
                <w:u w:val="none"/>
                <w:lang w:val="en-US" w:eastAsia="zh-CN"/>
              </w:rPr>
              <w:t>，根据建设单位介绍，</w:t>
            </w:r>
            <w:r>
              <w:rPr>
                <w:rFonts w:hint="eastAsia" w:cs="Times New Roman"/>
                <w:color w:val="auto"/>
                <w:sz w:val="24"/>
                <w:szCs w:val="24"/>
                <w:u w:val="none"/>
                <w:lang w:val="en-US" w:eastAsia="zh-CN"/>
              </w:rPr>
              <w:t>含油</w:t>
            </w:r>
            <w:r>
              <w:rPr>
                <w:rFonts w:hint="eastAsia" w:ascii="Times New Roman" w:hAnsi="Times New Roman" w:cs="Times New Roman"/>
                <w:color w:val="auto"/>
                <w:sz w:val="24"/>
                <w:szCs w:val="24"/>
                <w:u w:val="none"/>
                <w:lang w:val="en-US" w:eastAsia="zh-CN"/>
              </w:rPr>
              <w:t>废</w:t>
            </w:r>
            <w:r>
              <w:rPr>
                <w:rFonts w:hint="eastAsia" w:cs="Times New Roman"/>
                <w:color w:val="auto"/>
                <w:sz w:val="24"/>
                <w:szCs w:val="24"/>
                <w:u w:val="none"/>
                <w:lang w:val="en-US" w:eastAsia="zh-CN"/>
              </w:rPr>
              <w:t>铁屑</w:t>
            </w:r>
            <w:r>
              <w:rPr>
                <w:rFonts w:hint="eastAsia" w:ascii="Times New Roman" w:hAnsi="Times New Roman" w:cs="Times New Roman"/>
                <w:color w:val="auto"/>
                <w:sz w:val="24"/>
                <w:szCs w:val="24"/>
                <w:u w:val="none"/>
                <w:lang w:val="en-US" w:eastAsia="zh-CN"/>
              </w:rPr>
              <w:t>边角料的产生量为原材料使用量的0.5%，金属原料使用量约为</w:t>
            </w:r>
            <w:r>
              <w:rPr>
                <w:rFonts w:hint="eastAsia" w:cs="Times New Roman"/>
                <w:color w:val="auto"/>
                <w:sz w:val="24"/>
                <w:szCs w:val="24"/>
                <w:u w:val="none"/>
                <w:lang w:val="en-US" w:eastAsia="zh-CN"/>
              </w:rPr>
              <w:t>6662</w:t>
            </w:r>
            <w:r>
              <w:rPr>
                <w:rFonts w:hint="eastAsia" w:ascii="Times New Roman" w:hAnsi="Times New Roman" w:cs="Times New Roman"/>
                <w:color w:val="auto"/>
                <w:sz w:val="24"/>
                <w:szCs w:val="24"/>
                <w:u w:val="none"/>
                <w:lang w:val="en-US" w:eastAsia="zh-CN"/>
              </w:rPr>
              <w:t>t/a，因此产生</w:t>
            </w:r>
            <w:r>
              <w:rPr>
                <w:rFonts w:hint="eastAsia" w:cs="Times New Roman"/>
                <w:color w:val="auto"/>
                <w:sz w:val="24"/>
                <w:szCs w:val="24"/>
                <w:u w:val="none"/>
                <w:lang w:val="en-US" w:eastAsia="zh-CN"/>
              </w:rPr>
              <w:t>含油</w:t>
            </w:r>
            <w:r>
              <w:rPr>
                <w:rFonts w:hint="eastAsia" w:ascii="Times New Roman" w:hAnsi="Times New Roman" w:cs="Times New Roman"/>
                <w:color w:val="auto"/>
                <w:sz w:val="24"/>
                <w:szCs w:val="24"/>
                <w:u w:val="none"/>
                <w:lang w:val="en-US" w:eastAsia="zh-CN"/>
              </w:rPr>
              <w:t>废</w:t>
            </w:r>
            <w:r>
              <w:rPr>
                <w:rFonts w:hint="eastAsia" w:cs="Times New Roman"/>
                <w:color w:val="auto"/>
                <w:sz w:val="24"/>
                <w:szCs w:val="24"/>
                <w:u w:val="none"/>
                <w:lang w:val="en-US" w:eastAsia="zh-CN"/>
              </w:rPr>
              <w:t>铁屑</w:t>
            </w:r>
            <w:r>
              <w:rPr>
                <w:rFonts w:hint="eastAsia" w:ascii="Times New Roman" w:hAnsi="Times New Roman" w:cs="Times New Roman"/>
                <w:color w:val="auto"/>
                <w:sz w:val="24"/>
                <w:szCs w:val="24"/>
                <w:u w:val="none"/>
                <w:lang w:val="en-US" w:eastAsia="zh-CN"/>
              </w:rPr>
              <w:t>边角料</w:t>
            </w:r>
            <w:r>
              <w:rPr>
                <w:rFonts w:hint="eastAsia" w:cs="Times New Roman"/>
                <w:color w:val="auto"/>
                <w:sz w:val="24"/>
                <w:szCs w:val="24"/>
                <w:u w:val="none"/>
                <w:lang w:val="en-US" w:eastAsia="zh-CN"/>
              </w:rPr>
              <w:t>33.31</w:t>
            </w:r>
            <w:r>
              <w:rPr>
                <w:rFonts w:hint="eastAsia" w:ascii="Times New Roman" w:hAnsi="Times New Roman" w:cs="Times New Roman"/>
                <w:color w:val="auto"/>
                <w:sz w:val="24"/>
                <w:szCs w:val="24"/>
                <w:u w:val="none"/>
                <w:lang w:val="en-US" w:eastAsia="zh-CN"/>
              </w:rPr>
              <w:t>t/a</w:t>
            </w:r>
            <w:r>
              <w:rPr>
                <w:rFonts w:hint="eastAsia" w:cs="Times New Roman"/>
                <w:color w:val="auto"/>
                <w:sz w:val="24"/>
                <w:szCs w:val="24"/>
                <w:u w:val="none"/>
                <w:lang w:val="en-US" w:eastAsia="zh-CN"/>
              </w:rPr>
              <w:t>（8.33t/季度）</w:t>
            </w:r>
            <w:r>
              <w:rPr>
                <w:rFonts w:hint="eastAsia" w:ascii="Times New Roman" w:hAnsi="Times New Roman" w:cs="Times New Roman"/>
                <w:color w:val="auto"/>
                <w:sz w:val="24"/>
                <w:szCs w:val="24"/>
                <w:u w:val="none"/>
                <w:lang w:val="en-US" w:eastAsia="zh-CN"/>
              </w:rPr>
              <w:t>，根据《国家危废废物名录》（</w:t>
            </w:r>
            <w:r>
              <w:rPr>
                <w:rFonts w:hint="default" w:ascii="Times New Roman" w:hAnsi="Times New Roman" w:cs="Times New Roman"/>
                <w:color w:val="auto"/>
                <w:sz w:val="24"/>
                <w:szCs w:val="24"/>
                <w:u w:val="none"/>
                <w:lang w:val="en-US" w:eastAsia="zh-CN"/>
              </w:rPr>
              <w:t>202</w:t>
            </w:r>
            <w:r>
              <w:rPr>
                <w:rFonts w:hint="eastAsia" w:ascii="Times New Roman" w:hAnsi="Times New Roman" w:cs="Times New Roman"/>
                <w:color w:val="auto"/>
                <w:sz w:val="24"/>
                <w:szCs w:val="24"/>
                <w:u w:val="none"/>
                <w:lang w:val="en-US" w:eastAsia="zh-CN"/>
              </w:rPr>
              <w:t>5</w:t>
            </w:r>
            <w:r>
              <w:rPr>
                <w:rFonts w:hint="default" w:ascii="Times New Roman" w:hAnsi="Times New Roman" w:cs="Times New Roman"/>
                <w:color w:val="auto"/>
                <w:sz w:val="24"/>
                <w:szCs w:val="24"/>
                <w:u w:val="none"/>
                <w:lang w:val="en-US" w:eastAsia="zh-CN"/>
              </w:rPr>
              <w:t>年</w:t>
            </w:r>
            <w:r>
              <w:rPr>
                <w:rFonts w:hint="eastAsia" w:ascii="Times New Roman" w:hAnsi="Times New Roman" w:cs="Times New Roman"/>
                <w:color w:val="auto"/>
                <w:sz w:val="24"/>
                <w:szCs w:val="24"/>
                <w:u w:val="none"/>
                <w:lang w:val="en-US" w:eastAsia="zh-CN"/>
              </w:rPr>
              <w:t>版），使用切削液进行机加工过程产生的</w:t>
            </w:r>
            <w:r>
              <w:rPr>
                <w:rFonts w:hint="eastAsia" w:cs="Times New Roman"/>
                <w:color w:val="auto"/>
                <w:sz w:val="24"/>
                <w:szCs w:val="24"/>
                <w:u w:val="none"/>
                <w:lang w:val="en-US" w:eastAsia="zh-CN"/>
              </w:rPr>
              <w:t>含油</w:t>
            </w:r>
            <w:r>
              <w:rPr>
                <w:rFonts w:hint="eastAsia" w:ascii="Times New Roman" w:hAnsi="Times New Roman" w:cs="Times New Roman"/>
                <w:color w:val="auto"/>
                <w:sz w:val="24"/>
                <w:szCs w:val="24"/>
                <w:u w:val="none"/>
                <w:lang w:val="en-US" w:eastAsia="zh-CN"/>
              </w:rPr>
              <w:t>废</w:t>
            </w:r>
            <w:r>
              <w:rPr>
                <w:rFonts w:hint="eastAsia" w:cs="Times New Roman"/>
                <w:color w:val="auto"/>
                <w:sz w:val="24"/>
                <w:szCs w:val="24"/>
                <w:u w:val="none"/>
                <w:lang w:val="en-US" w:eastAsia="zh-CN"/>
              </w:rPr>
              <w:t>铁屑</w:t>
            </w:r>
            <w:r>
              <w:rPr>
                <w:rFonts w:hint="eastAsia" w:ascii="Times New Roman" w:hAnsi="Times New Roman" w:cs="Times New Roman"/>
                <w:color w:val="auto"/>
                <w:sz w:val="24"/>
                <w:szCs w:val="24"/>
                <w:u w:val="none"/>
                <w:lang w:val="en-US" w:eastAsia="zh-CN"/>
              </w:rPr>
              <w:t>边角料属于沾染含油废金属屑，危废</w:t>
            </w:r>
            <w:r>
              <w:rPr>
                <w:rFonts w:hint="default" w:ascii="Times New Roman" w:hAnsi="Times New Roman" w:cs="Times New Roman"/>
                <w:color w:val="auto"/>
                <w:sz w:val="24"/>
                <w:szCs w:val="24"/>
                <w:u w:val="none"/>
                <w:lang w:val="en-US" w:eastAsia="zh-CN"/>
              </w:rPr>
              <w:t>代码90</w:t>
            </w:r>
            <w:r>
              <w:rPr>
                <w:rFonts w:hint="default" w:cs="Times New Roman"/>
                <w:color w:val="auto"/>
                <w:sz w:val="24"/>
                <w:szCs w:val="24"/>
                <w:u w:val="none"/>
                <w:lang w:val="en-US" w:eastAsia="zh-CN"/>
              </w:rPr>
              <w:t>0-200-08</w:t>
            </w:r>
            <w:r>
              <w:rPr>
                <w:rFonts w:hint="eastAsia" w:cs="Times New Roman"/>
                <w:color w:val="auto"/>
                <w:sz w:val="24"/>
                <w:szCs w:val="24"/>
                <w:u w:val="none"/>
                <w:lang w:val="en-US" w:eastAsia="zh-CN"/>
              </w:rPr>
              <w:t>，利用过程属于豁免，但收集贮存、运输等过程仍按照危废管理，收集至专门的废铁屑暂存间，放置在拖板上，下方采用收集措施收集滴滤的废切屑液，无滴滤状态后打包压缩交金属冶炼厂回收利用，每季度由专门的回收公司回收处理。</w:t>
            </w:r>
          </w:p>
          <w:p w14:paraId="0EDB445A">
            <w:pPr>
              <w:keepNext w:val="0"/>
              <w:keepLines w:val="0"/>
              <w:suppressLineNumbers w:val="0"/>
              <w:spacing w:before="0" w:beforeAutospacing="0" w:after="0" w:afterAutospacing="0" w:line="360" w:lineRule="auto"/>
              <w:ind w:left="0" w:right="0" w:firstLine="480" w:firstLineChars="200"/>
              <w:rPr>
                <w:rFonts w:hint="default"/>
                <w:color w:val="auto"/>
                <w:kern w:val="1"/>
                <w:sz w:val="24"/>
                <w:u w:val="none"/>
              </w:rPr>
            </w:pPr>
            <w:r>
              <w:rPr>
                <w:rFonts w:hint="eastAsia"/>
                <w:color w:val="auto"/>
                <w:sz w:val="24"/>
                <w:szCs w:val="24"/>
                <w:u w:val="none"/>
                <w:lang w:val="en-US" w:eastAsia="zh-CN"/>
              </w:rPr>
              <w:t>②</w:t>
            </w:r>
            <w:r>
              <w:rPr>
                <w:rFonts w:hint="default"/>
                <w:color w:val="auto"/>
                <w:kern w:val="1"/>
                <w:sz w:val="24"/>
                <w:u w:val="none"/>
              </w:rPr>
              <w:t>废润滑油</w:t>
            </w:r>
          </w:p>
          <w:p w14:paraId="1E98E9C6">
            <w:pPr>
              <w:keepNext w:val="0"/>
              <w:keepLines w:val="0"/>
              <w:suppressLineNumbers w:val="0"/>
              <w:spacing w:before="0" w:beforeAutospacing="0" w:after="0" w:afterAutospacing="0" w:line="360" w:lineRule="auto"/>
              <w:ind w:left="0" w:right="0" w:firstLine="480" w:firstLineChars="200"/>
              <w:rPr>
                <w:rFonts w:hint="default"/>
                <w:color w:val="auto"/>
                <w:kern w:val="1"/>
                <w:sz w:val="24"/>
                <w:u w:val="single"/>
              </w:rPr>
            </w:pPr>
            <w:r>
              <w:rPr>
                <w:rFonts w:hint="eastAsia"/>
                <w:color w:val="auto"/>
                <w:kern w:val="1"/>
                <w:sz w:val="24"/>
                <w:u w:val="none"/>
                <w:lang w:val="en-US" w:eastAsia="zh-CN"/>
              </w:rPr>
              <w:t>本项目机械设备等需要进行维护保养，将会产生废润滑油，根据建设单位介绍，润滑油使用量</w:t>
            </w:r>
            <w:r>
              <w:rPr>
                <w:rFonts w:hint="default"/>
                <w:color w:val="auto"/>
                <w:kern w:val="1"/>
                <w:sz w:val="24"/>
                <w:u w:val="none"/>
              </w:rPr>
              <w:t>为</w:t>
            </w:r>
            <w:r>
              <w:rPr>
                <w:rFonts w:hint="eastAsia"/>
                <w:color w:val="auto"/>
                <w:kern w:val="1"/>
                <w:sz w:val="24"/>
                <w:u w:val="none"/>
                <w:lang w:val="en-US" w:eastAsia="zh-CN"/>
              </w:rPr>
              <w:t>1.5</w:t>
            </w:r>
            <w:r>
              <w:rPr>
                <w:rFonts w:hint="default"/>
                <w:color w:val="auto"/>
                <w:kern w:val="1"/>
                <w:sz w:val="24"/>
                <w:u w:val="none"/>
              </w:rPr>
              <w:t>t/a，</w:t>
            </w:r>
            <w:r>
              <w:rPr>
                <w:rFonts w:hint="eastAsia"/>
                <w:color w:val="auto"/>
                <w:kern w:val="1"/>
                <w:sz w:val="24"/>
                <w:u w:val="none"/>
                <w:lang w:val="en-US" w:eastAsia="zh-CN"/>
              </w:rPr>
              <w:t>因此废润滑油产生量为1.5</w:t>
            </w:r>
            <w:r>
              <w:rPr>
                <w:rFonts w:hint="default"/>
                <w:color w:val="auto"/>
                <w:kern w:val="1"/>
                <w:sz w:val="24"/>
                <w:u w:val="none"/>
              </w:rPr>
              <w:t>t/a。</w:t>
            </w:r>
            <w:r>
              <w:rPr>
                <w:rFonts w:hint="eastAsia"/>
                <w:color w:val="auto"/>
                <w:kern w:val="1"/>
                <w:sz w:val="24"/>
                <w:u w:val="none"/>
                <w:lang w:val="en-US" w:eastAsia="zh-CN"/>
              </w:rPr>
              <w:t>根据</w:t>
            </w:r>
            <w:r>
              <w:rPr>
                <w:rFonts w:hint="default"/>
                <w:color w:val="auto"/>
                <w:kern w:val="1"/>
                <w:sz w:val="24"/>
                <w:u w:val="none"/>
              </w:rPr>
              <w:t>《国家危险废物名录》（202</w:t>
            </w:r>
            <w:r>
              <w:rPr>
                <w:rFonts w:hint="eastAsia"/>
                <w:color w:val="auto"/>
                <w:kern w:val="1"/>
                <w:sz w:val="24"/>
                <w:u w:val="none"/>
                <w:lang w:val="en-US" w:eastAsia="zh-CN"/>
              </w:rPr>
              <w:t>5</w:t>
            </w:r>
            <w:r>
              <w:rPr>
                <w:rFonts w:hint="default"/>
                <w:color w:val="auto"/>
                <w:kern w:val="1"/>
                <w:sz w:val="24"/>
                <w:u w:val="none"/>
              </w:rPr>
              <w:t>版）</w:t>
            </w:r>
            <w:r>
              <w:rPr>
                <w:rFonts w:hint="eastAsia"/>
                <w:color w:val="auto"/>
                <w:kern w:val="1"/>
                <w:sz w:val="24"/>
                <w:u w:val="none"/>
                <w:lang w:eastAsia="zh-CN"/>
              </w:rPr>
              <w:t>的</w:t>
            </w:r>
            <w:r>
              <w:rPr>
                <w:rFonts w:hint="eastAsia"/>
                <w:color w:val="auto"/>
                <w:kern w:val="1"/>
                <w:sz w:val="24"/>
                <w:u w:val="none"/>
                <w:lang w:val="en-US" w:eastAsia="zh-CN"/>
              </w:rPr>
              <w:t>规定，废润滑油属于名录</w:t>
            </w:r>
            <w:r>
              <w:rPr>
                <w:rFonts w:hint="default"/>
                <w:color w:val="auto"/>
                <w:kern w:val="1"/>
                <w:sz w:val="24"/>
                <w:u w:val="none"/>
              </w:rPr>
              <w:t>中的HW08</w:t>
            </w:r>
            <w:r>
              <w:rPr>
                <w:rFonts w:hint="eastAsia"/>
                <w:color w:val="auto"/>
                <w:kern w:val="1"/>
                <w:sz w:val="24"/>
                <w:u w:val="none"/>
                <w:lang w:val="en-US" w:eastAsia="zh-CN"/>
              </w:rPr>
              <w:t>类别</w:t>
            </w:r>
            <w:r>
              <w:rPr>
                <w:rFonts w:hint="default"/>
                <w:color w:val="auto"/>
                <w:kern w:val="1"/>
                <w:sz w:val="24"/>
                <w:u w:val="none"/>
              </w:rPr>
              <w:t>，</w:t>
            </w:r>
            <w:r>
              <w:rPr>
                <w:rFonts w:hint="eastAsia"/>
                <w:color w:val="auto"/>
                <w:kern w:val="1"/>
                <w:sz w:val="24"/>
                <w:u w:val="none"/>
                <w:lang w:val="en-US" w:eastAsia="zh-CN"/>
              </w:rPr>
              <w:t>代码900-249-08，收集后</w:t>
            </w:r>
            <w:r>
              <w:rPr>
                <w:rFonts w:hint="default"/>
                <w:color w:val="auto"/>
                <w:kern w:val="1"/>
                <w:sz w:val="24"/>
                <w:u w:val="none"/>
              </w:rPr>
              <w:t>依据国家相关环保规定，设置专用收集桶回收废润滑油，放置于密闭容器中，再置于托盘上，暂存于危废暂存间内，避免泄漏，最后交由有资质的单位处理。</w:t>
            </w:r>
          </w:p>
          <w:p w14:paraId="1E77B592">
            <w:pPr>
              <w:keepNext w:val="0"/>
              <w:keepLines w:val="0"/>
              <w:numPr>
                <w:ilvl w:val="0"/>
                <w:numId w:val="0"/>
              </w:numPr>
              <w:suppressLineNumbers w:val="0"/>
              <w:spacing w:before="0" w:beforeAutospacing="0" w:after="0" w:afterAutospacing="0" w:line="360" w:lineRule="auto"/>
              <w:ind w:left="0" w:right="0" w:firstLine="480" w:firstLineChars="200"/>
              <w:rPr>
                <w:rFonts w:hint="default"/>
                <w:color w:val="auto"/>
                <w:kern w:val="1"/>
                <w:sz w:val="24"/>
                <w:u w:val="none"/>
              </w:rPr>
            </w:pPr>
            <w:r>
              <w:rPr>
                <w:rFonts w:hint="eastAsia"/>
                <w:color w:val="auto"/>
                <w:kern w:val="1"/>
                <w:sz w:val="24"/>
                <w:u w:val="none"/>
                <w:lang w:val="en-US" w:eastAsia="zh-CN"/>
              </w:rPr>
              <w:t>③</w:t>
            </w:r>
            <w:r>
              <w:rPr>
                <w:rFonts w:hint="default"/>
                <w:color w:val="auto"/>
                <w:kern w:val="1"/>
                <w:sz w:val="24"/>
                <w:u w:val="none"/>
              </w:rPr>
              <w:t>含油抹布、手套</w:t>
            </w:r>
          </w:p>
          <w:p w14:paraId="12512954">
            <w:pPr>
              <w:keepNext w:val="0"/>
              <w:keepLines w:val="0"/>
              <w:numPr>
                <w:ilvl w:val="0"/>
                <w:numId w:val="0"/>
              </w:numPr>
              <w:suppressLineNumbers w:val="0"/>
              <w:spacing w:before="0" w:beforeAutospacing="0" w:after="0" w:afterAutospacing="0" w:line="360" w:lineRule="auto"/>
              <w:ind w:left="0" w:right="0" w:firstLine="480" w:firstLineChars="200"/>
              <w:rPr>
                <w:rFonts w:hint="default"/>
                <w:color w:val="auto"/>
              </w:rPr>
            </w:pPr>
            <w:r>
              <w:rPr>
                <w:rFonts w:hint="default"/>
                <w:color w:val="auto"/>
                <w:kern w:val="1"/>
                <w:sz w:val="24"/>
                <w:u w:val="none"/>
              </w:rPr>
              <w:t>含油抹布、手套为设备定期维护时更换</w:t>
            </w:r>
            <w:r>
              <w:rPr>
                <w:rFonts w:hint="default" w:ascii="Times New Roman" w:hAnsi="Times New Roman" w:cs="Times New Roman"/>
                <w:color w:val="auto"/>
                <w:kern w:val="1"/>
                <w:sz w:val="24"/>
                <w:u w:val="none"/>
              </w:rPr>
              <w:t>产生，为危险废物，产生量约为0.</w:t>
            </w:r>
            <w:r>
              <w:rPr>
                <w:rFonts w:hint="eastAsia" w:ascii="Times New Roman" w:hAnsi="Times New Roman" w:cs="Times New Roman"/>
                <w:color w:val="auto"/>
                <w:kern w:val="1"/>
                <w:sz w:val="24"/>
                <w:u w:val="none"/>
                <w:lang w:val="en-US" w:eastAsia="zh-CN"/>
              </w:rPr>
              <w:t>0</w:t>
            </w:r>
            <w:r>
              <w:rPr>
                <w:rFonts w:hint="eastAsia" w:cs="Times New Roman"/>
                <w:color w:val="auto"/>
                <w:kern w:val="1"/>
                <w:sz w:val="24"/>
                <w:u w:val="none"/>
                <w:lang w:val="en-US" w:eastAsia="zh-CN"/>
              </w:rPr>
              <w:t>5</w:t>
            </w:r>
            <w:r>
              <w:rPr>
                <w:rFonts w:hint="default" w:ascii="Times New Roman" w:hAnsi="Times New Roman" w:cs="Times New Roman"/>
                <w:color w:val="auto"/>
                <w:kern w:val="1"/>
                <w:sz w:val="24"/>
                <w:u w:val="none"/>
              </w:rPr>
              <w:t>t/a，</w:t>
            </w:r>
            <w:r>
              <w:rPr>
                <w:rFonts w:hint="eastAsia" w:ascii="Times New Roman" w:hAnsi="Times New Roman" w:cs="Times New Roman"/>
                <w:color w:val="auto"/>
                <w:kern w:val="1"/>
                <w:sz w:val="24"/>
                <w:u w:val="none"/>
                <w:lang w:val="en-US" w:eastAsia="zh-CN"/>
              </w:rPr>
              <w:t>根据</w:t>
            </w:r>
            <w:r>
              <w:rPr>
                <w:rFonts w:hint="default" w:ascii="Times New Roman" w:hAnsi="Times New Roman" w:cs="Times New Roman"/>
                <w:color w:val="auto"/>
                <w:kern w:val="1"/>
                <w:sz w:val="24"/>
                <w:u w:val="none"/>
              </w:rPr>
              <w:t>《国家危险废物名录》（202</w:t>
            </w:r>
            <w:r>
              <w:rPr>
                <w:rFonts w:hint="eastAsia" w:ascii="Times New Roman" w:hAnsi="Times New Roman" w:cs="Times New Roman"/>
                <w:color w:val="auto"/>
                <w:kern w:val="1"/>
                <w:sz w:val="24"/>
                <w:u w:val="none"/>
                <w:lang w:val="en-US" w:eastAsia="zh-CN"/>
              </w:rPr>
              <w:t>5</w:t>
            </w:r>
            <w:r>
              <w:rPr>
                <w:rFonts w:hint="default" w:ascii="Times New Roman" w:hAnsi="Times New Roman" w:cs="Times New Roman"/>
                <w:color w:val="auto"/>
                <w:kern w:val="1"/>
                <w:sz w:val="24"/>
                <w:u w:val="none"/>
              </w:rPr>
              <w:t>版）的</w:t>
            </w:r>
            <w:r>
              <w:rPr>
                <w:rFonts w:hint="eastAsia" w:ascii="Times New Roman" w:hAnsi="Times New Roman" w:cs="Times New Roman"/>
                <w:color w:val="auto"/>
                <w:kern w:val="1"/>
                <w:sz w:val="24"/>
                <w:u w:val="none"/>
                <w:lang w:val="en-US" w:eastAsia="zh-CN"/>
              </w:rPr>
              <w:t>规定，</w:t>
            </w:r>
            <w:r>
              <w:rPr>
                <w:rFonts w:hint="default"/>
                <w:color w:val="auto"/>
                <w:kern w:val="1"/>
                <w:sz w:val="24"/>
                <w:u w:val="none"/>
              </w:rPr>
              <w:t>含油抹布、手套</w:t>
            </w:r>
            <w:r>
              <w:rPr>
                <w:rFonts w:hint="eastAsia"/>
                <w:color w:val="auto"/>
                <w:kern w:val="1"/>
                <w:sz w:val="24"/>
                <w:u w:val="none"/>
                <w:lang w:val="en-US" w:eastAsia="zh-CN"/>
              </w:rPr>
              <w:t>属于</w:t>
            </w:r>
            <w:r>
              <w:rPr>
                <w:rFonts w:hint="default" w:ascii="Times New Roman" w:hAnsi="Times New Roman" w:cs="Times New Roman"/>
                <w:color w:val="auto"/>
                <w:kern w:val="1"/>
                <w:sz w:val="24"/>
                <w:u w:val="none"/>
              </w:rPr>
              <w:t>HW49</w:t>
            </w:r>
            <w:r>
              <w:rPr>
                <w:rFonts w:hint="eastAsia" w:ascii="Times New Roman" w:hAnsi="Times New Roman" w:cs="Times New Roman"/>
                <w:color w:val="auto"/>
                <w:kern w:val="1"/>
                <w:sz w:val="24"/>
                <w:u w:val="none"/>
                <w:lang w:val="en-US" w:eastAsia="zh-CN"/>
              </w:rPr>
              <w:t>类别，代码</w:t>
            </w:r>
            <w:r>
              <w:rPr>
                <w:rFonts w:hint="eastAsia" w:ascii="Times New Roman" w:hAnsi="Times New Roman" w:cs="Times New Roman"/>
                <w:color w:val="auto"/>
                <w:kern w:val="1"/>
                <w:sz w:val="24"/>
                <w:u w:val="none"/>
                <w:lang w:eastAsia="zh-CN"/>
              </w:rPr>
              <w:t>900-041-49</w:t>
            </w:r>
            <w:r>
              <w:rPr>
                <w:rFonts w:hint="default" w:ascii="Times New Roman" w:hAnsi="Times New Roman" w:cs="Times New Roman"/>
                <w:color w:val="auto"/>
                <w:kern w:val="1"/>
                <w:sz w:val="24"/>
                <w:u w:val="none"/>
              </w:rPr>
              <w:t>，</w:t>
            </w:r>
            <w:r>
              <w:rPr>
                <w:rFonts w:hint="eastAsia" w:ascii="Times New Roman" w:hAnsi="Times New Roman" w:cs="Times New Roman"/>
                <w:color w:val="auto"/>
                <w:kern w:val="1"/>
                <w:sz w:val="24"/>
                <w:u w:val="none"/>
                <w:lang w:val="en-US" w:eastAsia="zh-CN"/>
              </w:rPr>
              <w:t>收集后</w:t>
            </w:r>
            <w:r>
              <w:rPr>
                <w:rFonts w:hint="default" w:ascii="Times New Roman" w:hAnsi="Times New Roman" w:cs="Times New Roman"/>
                <w:color w:val="auto"/>
                <w:kern w:val="1"/>
                <w:sz w:val="24"/>
                <w:u w:val="none"/>
              </w:rPr>
              <w:t>暂存于危废暂存间内，交由有资质的单位处理。</w:t>
            </w:r>
          </w:p>
          <w:p w14:paraId="2A5C871B">
            <w:pPr>
              <w:keepNext w:val="0"/>
              <w:keepLines w:val="0"/>
              <w:numPr>
                <w:ilvl w:val="0"/>
                <w:numId w:val="0"/>
              </w:numPr>
              <w:suppressLineNumbers w:val="0"/>
              <w:spacing w:before="0" w:beforeAutospacing="0" w:after="0" w:afterAutospacing="0" w:line="360" w:lineRule="auto"/>
              <w:ind w:left="0" w:right="0" w:firstLine="480" w:firstLineChars="200"/>
              <w:rPr>
                <w:rFonts w:hint="eastAsia" w:cs="Times New Roman"/>
                <w:bCs/>
                <w:snapToGrid w:val="0"/>
                <w:color w:val="auto"/>
                <w:kern w:val="0"/>
                <w:sz w:val="24"/>
                <w:highlight w:val="none"/>
                <w:u w:val="none"/>
                <w:lang w:val="en-US" w:eastAsia="zh-CN"/>
              </w:rPr>
            </w:pPr>
            <w:r>
              <w:rPr>
                <w:rFonts w:hint="eastAsia" w:cs="Times New Roman"/>
                <w:bCs/>
                <w:snapToGrid w:val="0"/>
                <w:color w:val="auto"/>
                <w:kern w:val="0"/>
                <w:sz w:val="24"/>
                <w:highlight w:val="none"/>
                <w:u w:val="none"/>
                <w:lang w:val="en-US" w:eastAsia="zh-CN"/>
              </w:rPr>
              <w:t>④废切削液</w:t>
            </w:r>
          </w:p>
          <w:p w14:paraId="7C7569C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1"/>
                <w:sz w:val="24"/>
                <w:u w:val="single"/>
                <w:lang w:val="en-US" w:eastAsia="zh-CN"/>
              </w:rPr>
            </w:pPr>
            <w:r>
              <w:rPr>
                <w:rFonts w:hint="eastAsia" w:ascii="Times New Roman" w:hAnsi="Times New Roman" w:cs="Times New Roman"/>
                <w:color w:val="auto"/>
                <w:kern w:val="1"/>
                <w:sz w:val="24"/>
                <w:u w:val="none"/>
                <w:lang w:val="en-US" w:eastAsia="zh-CN"/>
              </w:rPr>
              <w:t>项目机加工过程中会使用切削液，因此会产生废切削液，根据建设单位介绍，</w:t>
            </w:r>
            <w:r>
              <w:rPr>
                <w:rFonts w:hint="eastAsia" w:cs="Times New Roman"/>
                <w:color w:val="auto"/>
                <w:kern w:val="1"/>
                <w:sz w:val="24"/>
                <w:u w:val="none"/>
                <w:lang w:val="en-US" w:eastAsia="zh-CN"/>
              </w:rPr>
              <w:t>项目拥有使用切削液的机械设备约为212台，每台设备均配置有沉淀水箱，从100L-200L不等，本次评价取平均值150L计算，</w:t>
            </w:r>
            <w:r>
              <w:rPr>
                <w:rFonts w:hint="eastAsia" w:ascii="Times New Roman" w:hAnsi="Times New Roman" w:cs="Times New Roman"/>
                <w:color w:val="auto"/>
                <w:kern w:val="1"/>
                <w:sz w:val="24"/>
                <w:u w:val="none"/>
                <w:lang w:val="en-US" w:eastAsia="zh-CN"/>
              </w:rPr>
              <w:t>产生量约为</w:t>
            </w:r>
            <w:r>
              <w:rPr>
                <w:rFonts w:hint="eastAsia" w:cs="Times New Roman"/>
                <w:color w:val="auto"/>
                <w:kern w:val="1"/>
                <w:sz w:val="24"/>
                <w:u w:val="none"/>
                <w:lang w:val="en-US" w:eastAsia="zh-CN"/>
              </w:rPr>
              <w:t>32</w:t>
            </w:r>
            <w:r>
              <w:rPr>
                <w:rFonts w:hint="eastAsia" w:ascii="Times New Roman" w:hAnsi="Times New Roman" w:cs="Times New Roman"/>
                <w:color w:val="auto"/>
                <w:kern w:val="1"/>
                <w:sz w:val="24"/>
                <w:u w:val="none"/>
                <w:lang w:val="en-US" w:eastAsia="zh-CN"/>
              </w:rPr>
              <w:t>t/a。《国家危险废物名录》（2025年版）可知，废切削液危废类别为HW09其他废物（900-006-09），收集后</w:t>
            </w:r>
            <w:r>
              <w:rPr>
                <w:rFonts w:hint="eastAsia" w:cs="Times New Roman"/>
                <w:color w:val="auto"/>
                <w:kern w:val="1"/>
                <w:sz w:val="24"/>
                <w:u w:val="none"/>
                <w:lang w:val="en-US" w:eastAsia="zh-CN"/>
              </w:rPr>
              <w:t>废切削液每年更换一次，每次更换后暂存</w:t>
            </w:r>
            <w:r>
              <w:rPr>
                <w:rFonts w:hint="eastAsia" w:ascii="Times New Roman" w:hAnsi="Times New Roman" w:cs="Times New Roman"/>
                <w:color w:val="auto"/>
                <w:kern w:val="1"/>
                <w:sz w:val="24"/>
                <w:u w:val="none"/>
                <w:lang w:val="en-US" w:eastAsia="zh-CN"/>
              </w:rPr>
              <w:t>在</w:t>
            </w:r>
            <w:r>
              <w:rPr>
                <w:rFonts w:hint="eastAsia" w:cs="Times New Roman"/>
                <w:color w:val="auto"/>
                <w:kern w:val="1"/>
                <w:sz w:val="24"/>
                <w:u w:val="none"/>
                <w:lang w:val="en-US" w:eastAsia="zh-CN"/>
              </w:rPr>
              <w:t>废铁屑暂存间</w:t>
            </w:r>
            <w:r>
              <w:rPr>
                <w:rFonts w:hint="eastAsia" w:ascii="Times New Roman" w:hAnsi="Times New Roman" w:cs="Times New Roman"/>
                <w:color w:val="auto"/>
                <w:kern w:val="1"/>
                <w:sz w:val="24"/>
                <w:u w:val="none"/>
                <w:lang w:val="en-US" w:eastAsia="zh-CN"/>
              </w:rPr>
              <w:t>，</w:t>
            </w:r>
            <w:r>
              <w:rPr>
                <w:rFonts w:hint="eastAsia" w:cs="Times New Roman"/>
                <w:color w:val="auto"/>
                <w:kern w:val="1"/>
                <w:sz w:val="24"/>
                <w:u w:val="none"/>
                <w:lang w:val="en-US" w:eastAsia="zh-CN"/>
              </w:rPr>
              <w:t>定期</w:t>
            </w:r>
            <w:r>
              <w:rPr>
                <w:rFonts w:hint="eastAsia" w:ascii="Times New Roman" w:hAnsi="Times New Roman" w:cs="Times New Roman"/>
                <w:color w:val="auto"/>
                <w:kern w:val="1"/>
                <w:sz w:val="24"/>
                <w:u w:val="none"/>
                <w:lang w:val="en-US" w:eastAsia="zh-CN"/>
              </w:rPr>
              <w:t>交有资质单位处置。</w:t>
            </w:r>
          </w:p>
          <w:p w14:paraId="27FB05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color w:val="auto"/>
                <w:kern w:val="2"/>
                <w:sz w:val="24"/>
                <w:szCs w:val="24"/>
                <w:u w:val="none"/>
                <w:lang w:val="en-US" w:eastAsia="zh-CN" w:bidi="ar-SA"/>
              </w:rPr>
            </w:pPr>
            <w:r>
              <w:rPr>
                <w:rFonts w:hint="eastAsia" w:cs="Times New Roman"/>
                <w:bCs/>
                <w:snapToGrid w:val="0"/>
                <w:color w:val="auto"/>
                <w:kern w:val="0"/>
                <w:sz w:val="24"/>
                <w:highlight w:val="none"/>
                <w:u w:val="none"/>
                <w:lang w:val="en-US" w:eastAsia="zh-CN"/>
              </w:rPr>
              <w:t>⑤</w:t>
            </w:r>
            <w:r>
              <w:rPr>
                <w:rFonts w:hint="eastAsia" w:ascii="Times New Roman" w:hAnsi="Times New Roman" w:eastAsia="宋体" w:cs="Times New Roman"/>
                <w:b w:val="0"/>
                <w:bCs/>
                <w:color w:val="auto"/>
                <w:kern w:val="2"/>
                <w:sz w:val="24"/>
                <w:szCs w:val="24"/>
                <w:u w:val="none"/>
                <w:lang w:val="en-US" w:eastAsia="zh-CN" w:bidi="ar-SA"/>
              </w:rPr>
              <w:t>废润滑油桶</w:t>
            </w:r>
            <w:r>
              <w:rPr>
                <w:rFonts w:hint="eastAsia" w:cs="Times New Roman"/>
                <w:b w:val="0"/>
                <w:bCs/>
                <w:color w:val="auto"/>
                <w:kern w:val="2"/>
                <w:sz w:val="24"/>
                <w:szCs w:val="24"/>
                <w:u w:val="none"/>
                <w:lang w:val="en-US" w:eastAsia="zh-CN" w:bidi="ar-SA"/>
              </w:rPr>
              <w:t>、废切削液桶</w:t>
            </w:r>
          </w:p>
          <w:p w14:paraId="611D2BD8">
            <w:pPr>
              <w:keepNext w:val="0"/>
              <w:keepLines w:val="0"/>
              <w:widowControl/>
              <w:suppressLineNumbers w:val="0"/>
              <w:spacing w:before="0" w:beforeAutospacing="0" w:after="0" w:afterAutospacing="0" w:line="360" w:lineRule="auto"/>
              <w:ind w:left="0" w:right="0" w:firstLine="480" w:firstLineChars="200"/>
              <w:rPr>
                <w:rFonts w:hint="default"/>
                <w:color w:val="auto"/>
                <w:kern w:val="0"/>
                <w:sz w:val="24"/>
                <w:lang w:bidi="ar"/>
              </w:rPr>
            </w:pPr>
            <w:r>
              <w:rPr>
                <w:rFonts w:hint="eastAsia" w:ascii="宋体" w:hAnsi="宋体" w:cs="宋体"/>
                <w:color w:val="auto"/>
                <w:kern w:val="0"/>
                <w:sz w:val="24"/>
                <w:lang w:val="en-US" w:eastAsia="zh-CN" w:bidi="ar"/>
              </w:rPr>
              <w:t>本项目使用的防锈油、</w:t>
            </w:r>
            <w:r>
              <w:rPr>
                <w:rFonts w:hint="eastAsia" w:ascii="宋体" w:hAnsi="宋体" w:cs="宋体"/>
                <w:color w:val="auto"/>
                <w:kern w:val="0"/>
                <w:sz w:val="24"/>
                <w:lang w:bidi="ar"/>
              </w:rPr>
              <w:t>切削液</w:t>
            </w:r>
            <w:r>
              <w:rPr>
                <w:rFonts w:hint="eastAsia" w:ascii="宋体" w:hAnsi="宋体" w:cs="宋体"/>
                <w:color w:val="auto"/>
                <w:kern w:val="0"/>
                <w:sz w:val="24"/>
                <w:lang w:eastAsia="zh-CN" w:bidi="ar"/>
              </w:rPr>
              <w:t>、</w:t>
            </w:r>
            <w:r>
              <w:rPr>
                <w:rFonts w:hint="eastAsia" w:ascii="宋体" w:hAnsi="宋体" w:cs="宋体"/>
                <w:color w:val="auto"/>
                <w:kern w:val="0"/>
                <w:sz w:val="24"/>
                <w:lang w:val="en-US" w:eastAsia="zh-CN" w:bidi="ar"/>
              </w:rPr>
              <w:t>润滑油等均会产生废桶，</w:t>
            </w:r>
            <w:r>
              <w:rPr>
                <w:rFonts w:hint="default"/>
                <w:color w:val="auto"/>
                <w:kern w:val="0"/>
                <w:sz w:val="24"/>
                <w:lang w:bidi="ar"/>
              </w:rPr>
              <w:t>产生量约为</w:t>
            </w:r>
            <w:r>
              <w:rPr>
                <w:rFonts w:hint="eastAsia"/>
                <w:color w:val="auto"/>
                <w:kern w:val="0"/>
                <w:sz w:val="24"/>
                <w:lang w:bidi="ar"/>
              </w:rPr>
              <w:t>0.</w:t>
            </w:r>
            <w:r>
              <w:rPr>
                <w:rFonts w:hint="eastAsia"/>
                <w:color w:val="auto"/>
                <w:kern w:val="0"/>
                <w:sz w:val="24"/>
                <w:lang w:val="en-US" w:eastAsia="zh-CN" w:bidi="ar"/>
              </w:rPr>
              <w:t>7</w:t>
            </w:r>
            <w:r>
              <w:rPr>
                <w:rFonts w:hint="default"/>
                <w:color w:val="auto"/>
                <w:kern w:val="0"/>
                <w:sz w:val="24"/>
                <w:lang w:bidi="ar"/>
              </w:rPr>
              <w:t>t/a。《国家危险废物名录》（202</w:t>
            </w:r>
            <w:r>
              <w:rPr>
                <w:rFonts w:hint="eastAsia"/>
                <w:color w:val="auto"/>
                <w:kern w:val="0"/>
                <w:sz w:val="24"/>
                <w:lang w:val="en-US" w:eastAsia="zh-CN" w:bidi="ar"/>
              </w:rPr>
              <w:t>5</w:t>
            </w:r>
            <w:r>
              <w:rPr>
                <w:rFonts w:hint="default"/>
                <w:color w:val="auto"/>
                <w:kern w:val="0"/>
                <w:sz w:val="24"/>
                <w:lang w:bidi="ar"/>
              </w:rPr>
              <w:t>年版）可知，</w:t>
            </w:r>
            <w:r>
              <w:rPr>
                <w:rFonts w:hint="eastAsia"/>
                <w:color w:val="auto"/>
                <w:kern w:val="0"/>
                <w:sz w:val="24"/>
                <w:lang w:bidi="ar"/>
              </w:rPr>
              <w:t>废切削液桶</w:t>
            </w:r>
            <w:r>
              <w:rPr>
                <w:rFonts w:hint="default"/>
                <w:color w:val="auto"/>
                <w:kern w:val="0"/>
                <w:sz w:val="24"/>
                <w:lang w:bidi="ar"/>
              </w:rPr>
              <w:t>危废类别为HW49其他废物（900-041-49），分类收集后暂存在危废间，定期交有资质单位处置。</w:t>
            </w:r>
          </w:p>
          <w:p w14:paraId="40F4ED7E">
            <w:pPr>
              <w:keepNext w:val="0"/>
              <w:keepLines w:val="0"/>
              <w:widowControl/>
              <w:suppressLineNumbers w:val="0"/>
              <w:spacing w:before="0" w:beforeAutospacing="0" w:after="0" w:afterAutospacing="0" w:line="360" w:lineRule="auto"/>
              <w:ind w:left="0" w:right="0" w:firstLine="480" w:firstLineChars="200"/>
              <w:rPr>
                <w:rFonts w:hint="eastAsia" w:ascii="宋体" w:hAnsi="宋体" w:cs="宋体"/>
                <w:color w:val="auto"/>
                <w:kern w:val="0"/>
                <w:sz w:val="24"/>
                <w:u w:val="single"/>
                <w:lang w:val="en-US" w:eastAsia="zh-CN" w:bidi="ar"/>
              </w:rPr>
            </w:pPr>
            <w:r>
              <w:rPr>
                <w:rFonts w:hint="eastAsia" w:ascii="宋体" w:hAnsi="宋体" w:cs="宋体"/>
                <w:color w:val="auto"/>
                <w:kern w:val="0"/>
                <w:sz w:val="24"/>
                <w:u w:val="single"/>
                <w:lang w:val="en-US" w:eastAsia="zh-CN" w:bidi="ar"/>
              </w:rPr>
              <w:t>⑥隔油渣</w:t>
            </w:r>
          </w:p>
          <w:p w14:paraId="08010D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Cs/>
                <w:snapToGrid w:val="0"/>
                <w:color w:val="auto"/>
                <w:kern w:val="0"/>
                <w:sz w:val="24"/>
                <w:highlight w:val="none"/>
                <w:u w:val="single"/>
                <w:lang w:val="en-US" w:eastAsia="zh-CN"/>
              </w:rPr>
            </w:pPr>
            <w:r>
              <w:rPr>
                <w:rFonts w:hint="eastAsia" w:ascii="宋体" w:hAnsi="宋体" w:cs="宋体"/>
                <w:color w:val="auto"/>
                <w:kern w:val="0"/>
                <w:sz w:val="24"/>
                <w:u w:val="single"/>
                <w:lang w:val="en-US" w:eastAsia="zh-CN" w:bidi="ar"/>
              </w:rPr>
              <w:t>本项目清洗工序，废水平常经隔油沉淀后循环使用，隔油时会产生隔油渣，产生量约为0.2t/a，根据</w:t>
            </w:r>
            <w:r>
              <w:rPr>
                <w:rFonts w:hint="default" w:ascii="宋体" w:hAnsi="宋体" w:cs="宋体"/>
                <w:color w:val="auto"/>
                <w:kern w:val="0"/>
                <w:sz w:val="24"/>
                <w:u w:val="single"/>
                <w:lang w:val="en-US" w:eastAsia="zh-CN" w:bidi="ar"/>
              </w:rPr>
              <w:t>《国家危险废物名录》（202</w:t>
            </w:r>
            <w:r>
              <w:rPr>
                <w:rFonts w:hint="eastAsia" w:ascii="宋体" w:hAnsi="宋体" w:cs="宋体"/>
                <w:color w:val="auto"/>
                <w:kern w:val="0"/>
                <w:sz w:val="24"/>
                <w:u w:val="single"/>
                <w:lang w:val="en-US" w:eastAsia="zh-CN" w:bidi="ar"/>
              </w:rPr>
              <w:t>5</w:t>
            </w:r>
            <w:r>
              <w:rPr>
                <w:rFonts w:hint="default" w:ascii="宋体" w:hAnsi="宋体" w:cs="宋体"/>
                <w:color w:val="auto"/>
                <w:kern w:val="0"/>
                <w:sz w:val="24"/>
                <w:u w:val="single"/>
                <w:lang w:val="en-US" w:eastAsia="zh-CN" w:bidi="ar"/>
              </w:rPr>
              <w:t>年版）可知</w:t>
            </w:r>
            <w:r>
              <w:rPr>
                <w:rFonts w:hint="eastAsia" w:ascii="宋体" w:hAnsi="宋体" w:cs="宋体"/>
                <w:color w:val="auto"/>
                <w:kern w:val="0"/>
                <w:sz w:val="24"/>
                <w:u w:val="single"/>
                <w:lang w:val="en-US" w:eastAsia="zh-CN" w:bidi="ar"/>
              </w:rPr>
              <w:t>，隔油渣危废类别为HW08废矿物油与含矿物油废物，危废代码900-210-08（含油废水处理中隔油、气浮、沉淀等处理过程中产生的浮油、浮渣和污泥），</w:t>
            </w:r>
            <w:r>
              <w:rPr>
                <w:rFonts w:hint="eastAsia" w:ascii="Times New Roman" w:hAnsi="Times New Roman" w:eastAsia="宋体" w:cs="Times New Roman"/>
                <w:bCs/>
                <w:snapToGrid w:val="0"/>
                <w:color w:val="auto"/>
                <w:kern w:val="0"/>
                <w:sz w:val="24"/>
                <w:highlight w:val="none"/>
                <w:u w:val="single"/>
                <w:lang w:val="en-US" w:eastAsia="zh-CN"/>
              </w:rPr>
              <w:t>分类收集后暂存在危废间，定期交由有</w:t>
            </w:r>
            <w:r>
              <w:rPr>
                <w:rFonts w:hint="eastAsia" w:cs="Times New Roman"/>
                <w:bCs/>
                <w:snapToGrid w:val="0"/>
                <w:color w:val="auto"/>
                <w:kern w:val="0"/>
                <w:sz w:val="24"/>
                <w:highlight w:val="none"/>
                <w:u w:val="single"/>
                <w:lang w:val="en-US" w:eastAsia="zh-CN"/>
              </w:rPr>
              <w:t>资质</w:t>
            </w:r>
            <w:r>
              <w:rPr>
                <w:rFonts w:hint="eastAsia" w:ascii="Times New Roman" w:hAnsi="Times New Roman" w:eastAsia="宋体" w:cs="Times New Roman"/>
                <w:bCs/>
                <w:snapToGrid w:val="0"/>
                <w:color w:val="auto"/>
                <w:kern w:val="0"/>
                <w:sz w:val="24"/>
                <w:highlight w:val="none"/>
                <w:u w:val="single"/>
                <w:lang w:val="en-US" w:eastAsia="zh-CN"/>
              </w:rPr>
              <w:t>单位处理。</w:t>
            </w:r>
          </w:p>
          <w:p w14:paraId="4367BF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Cs/>
                <w:snapToGrid w:val="0"/>
                <w:color w:val="auto"/>
                <w:kern w:val="0"/>
                <w:sz w:val="24"/>
                <w:highlight w:val="none"/>
                <w:u w:val="none"/>
                <w:lang w:val="en-US" w:eastAsia="zh-CN"/>
              </w:rPr>
            </w:pPr>
            <w:r>
              <w:rPr>
                <w:rFonts w:hint="eastAsia" w:cs="Times New Roman"/>
                <w:bCs/>
                <w:snapToGrid w:val="0"/>
                <w:color w:val="auto"/>
                <w:kern w:val="0"/>
                <w:sz w:val="24"/>
                <w:highlight w:val="none"/>
                <w:u w:val="none"/>
                <w:lang w:val="en-US" w:eastAsia="zh-CN"/>
              </w:rPr>
              <w:t>⑦</w:t>
            </w:r>
            <w:r>
              <w:rPr>
                <w:rFonts w:hint="eastAsia" w:ascii="Times New Roman" w:hAnsi="Times New Roman" w:eastAsia="宋体" w:cs="Times New Roman"/>
                <w:bCs/>
                <w:snapToGrid w:val="0"/>
                <w:color w:val="auto"/>
                <w:kern w:val="0"/>
                <w:sz w:val="24"/>
                <w:highlight w:val="none"/>
                <w:u w:val="none"/>
                <w:lang w:val="en-US" w:eastAsia="zh-CN"/>
              </w:rPr>
              <w:t>清洗废液</w:t>
            </w:r>
          </w:p>
          <w:p w14:paraId="5443BE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Cs/>
                <w:snapToGrid w:val="0"/>
                <w:color w:val="auto"/>
                <w:kern w:val="0"/>
                <w:sz w:val="24"/>
                <w:highlight w:val="none"/>
                <w:u w:val="none"/>
                <w:lang w:val="en-US" w:eastAsia="zh-CN"/>
              </w:rPr>
            </w:pPr>
            <w:r>
              <w:rPr>
                <w:rFonts w:hint="eastAsia" w:ascii="Times New Roman" w:hAnsi="Times New Roman" w:eastAsia="宋体" w:cs="Times New Roman"/>
                <w:bCs/>
                <w:snapToGrid w:val="0"/>
                <w:color w:val="auto"/>
                <w:kern w:val="0"/>
                <w:sz w:val="24"/>
                <w:highlight w:val="none"/>
                <w:u w:val="none"/>
                <w:lang w:val="en-US" w:eastAsia="zh-CN"/>
              </w:rPr>
              <w:t>本项目清洗工序，废水平常经</w:t>
            </w:r>
            <w:r>
              <w:rPr>
                <w:rFonts w:hint="eastAsia" w:cs="Times New Roman"/>
                <w:bCs/>
                <w:snapToGrid w:val="0"/>
                <w:color w:val="auto"/>
                <w:kern w:val="0"/>
                <w:sz w:val="24"/>
                <w:highlight w:val="none"/>
                <w:u w:val="none"/>
                <w:lang w:val="en-US" w:eastAsia="zh-CN"/>
              </w:rPr>
              <w:t>隔油</w:t>
            </w:r>
            <w:r>
              <w:rPr>
                <w:rFonts w:hint="eastAsia" w:ascii="Times New Roman" w:hAnsi="Times New Roman" w:eastAsia="宋体" w:cs="Times New Roman"/>
                <w:bCs/>
                <w:snapToGrid w:val="0"/>
                <w:color w:val="auto"/>
                <w:kern w:val="0"/>
                <w:sz w:val="24"/>
                <w:highlight w:val="none"/>
                <w:u w:val="none"/>
                <w:lang w:val="en-US" w:eastAsia="zh-CN"/>
              </w:rPr>
              <w:t>沉淀后循环使用，每月底做危废处理一次，处理量为2m</w:t>
            </w:r>
            <w:r>
              <w:rPr>
                <w:rFonts w:hint="eastAsia" w:ascii="Times New Roman" w:hAnsi="Times New Roman" w:eastAsia="宋体" w:cs="Times New Roman"/>
                <w:bCs/>
                <w:snapToGrid w:val="0"/>
                <w:color w:val="auto"/>
                <w:kern w:val="0"/>
                <w:sz w:val="24"/>
                <w:highlight w:val="none"/>
                <w:u w:val="none"/>
                <w:vertAlign w:val="superscript"/>
                <w:lang w:val="en-US" w:eastAsia="zh-CN"/>
              </w:rPr>
              <w:t>2</w:t>
            </w:r>
            <w:r>
              <w:rPr>
                <w:rFonts w:hint="eastAsia" w:ascii="Times New Roman" w:hAnsi="Times New Roman" w:eastAsia="宋体" w:cs="Times New Roman"/>
                <w:bCs/>
                <w:snapToGrid w:val="0"/>
                <w:color w:val="auto"/>
                <w:kern w:val="0"/>
                <w:sz w:val="24"/>
                <w:highlight w:val="none"/>
                <w:u w:val="none"/>
                <w:lang w:val="en-US" w:eastAsia="zh-CN"/>
              </w:rPr>
              <w:t>/次，根据</w:t>
            </w:r>
            <w:r>
              <w:rPr>
                <w:rFonts w:hint="default" w:ascii="Times New Roman" w:hAnsi="Times New Roman" w:eastAsia="宋体" w:cs="Times New Roman"/>
                <w:bCs/>
                <w:snapToGrid w:val="0"/>
                <w:color w:val="auto"/>
                <w:kern w:val="0"/>
                <w:sz w:val="24"/>
                <w:highlight w:val="none"/>
                <w:u w:val="none"/>
                <w:lang w:val="en-US" w:eastAsia="zh-CN"/>
              </w:rPr>
              <w:t>《国家危险废物名录》（202</w:t>
            </w:r>
            <w:r>
              <w:rPr>
                <w:rFonts w:hint="eastAsia" w:ascii="Times New Roman" w:hAnsi="Times New Roman" w:eastAsia="宋体" w:cs="Times New Roman"/>
                <w:bCs/>
                <w:snapToGrid w:val="0"/>
                <w:color w:val="auto"/>
                <w:kern w:val="0"/>
                <w:sz w:val="24"/>
                <w:highlight w:val="none"/>
                <w:u w:val="none"/>
                <w:lang w:val="en-US" w:eastAsia="zh-CN"/>
              </w:rPr>
              <w:t>5</w:t>
            </w:r>
            <w:r>
              <w:rPr>
                <w:rFonts w:hint="default" w:ascii="Times New Roman" w:hAnsi="Times New Roman" w:eastAsia="宋体" w:cs="Times New Roman"/>
                <w:bCs/>
                <w:snapToGrid w:val="0"/>
                <w:color w:val="auto"/>
                <w:kern w:val="0"/>
                <w:sz w:val="24"/>
                <w:highlight w:val="none"/>
                <w:u w:val="none"/>
                <w:lang w:val="en-US" w:eastAsia="zh-CN"/>
              </w:rPr>
              <w:t>年版）可知，</w:t>
            </w:r>
            <w:r>
              <w:rPr>
                <w:rFonts w:hint="eastAsia" w:ascii="Times New Roman" w:hAnsi="Times New Roman" w:eastAsia="宋体" w:cs="Times New Roman"/>
                <w:bCs/>
                <w:snapToGrid w:val="0"/>
                <w:color w:val="auto"/>
                <w:kern w:val="0"/>
                <w:sz w:val="24"/>
                <w:highlight w:val="none"/>
                <w:u w:val="single"/>
                <w:lang w:val="en-US" w:eastAsia="zh-CN"/>
              </w:rPr>
              <w:t>本项目清洗废液</w:t>
            </w:r>
            <w:r>
              <w:rPr>
                <w:rFonts w:hint="default" w:ascii="Times New Roman" w:hAnsi="Times New Roman" w:eastAsia="宋体" w:cs="Times New Roman"/>
                <w:bCs/>
                <w:snapToGrid w:val="0"/>
                <w:color w:val="auto"/>
                <w:kern w:val="0"/>
                <w:sz w:val="24"/>
                <w:highlight w:val="none"/>
                <w:u w:val="single"/>
                <w:lang w:val="en-US" w:eastAsia="zh-CN"/>
              </w:rPr>
              <w:t>危废类别为HW</w:t>
            </w:r>
            <w:r>
              <w:rPr>
                <w:rFonts w:hint="eastAsia" w:ascii="Times New Roman" w:hAnsi="Times New Roman" w:eastAsia="宋体" w:cs="Times New Roman"/>
                <w:bCs/>
                <w:snapToGrid w:val="0"/>
                <w:color w:val="auto"/>
                <w:kern w:val="0"/>
                <w:sz w:val="24"/>
                <w:highlight w:val="none"/>
                <w:u w:val="single"/>
                <w:lang w:val="en-US" w:eastAsia="zh-CN"/>
              </w:rPr>
              <w:t>09</w:t>
            </w:r>
            <w:r>
              <w:rPr>
                <w:rFonts w:hint="default" w:ascii="Times New Roman" w:hAnsi="Times New Roman" w:eastAsia="宋体" w:cs="Times New Roman"/>
                <w:bCs/>
                <w:snapToGrid w:val="0"/>
                <w:color w:val="auto"/>
                <w:kern w:val="0"/>
                <w:sz w:val="24"/>
                <w:highlight w:val="none"/>
                <w:u w:val="single"/>
                <w:lang w:val="en-US" w:eastAsia="zh-CN"/>
              </w:rPr>
              <w:t>其他废物（900-0</w:t>
            </w:r>
            <w:r>
              <w:rPr>
                <w:rFonts w:hint="eastAsia" w:ascii="Times New Roman" w:hAnsi="Times New Roman" w:eastAsia="宋体" w:cs="Times New Roman"/>
                <w:bCs/>
                <w:snapToGrid w:val="0"/>
                <w:color w:val="auto"/>
                <w:kern w:val="0"/>
                <w:sz w:val="24"/>
                <w:highlight w:val="none"/>
                <w:u w:val="single"/>
                <w:lang w:val="en-US" w:eastAsia="zh-CN"/>
              </w:rPr>
              <w:t>07</w:t>
            </w:r>
            <w:r>
              <w:rPr>
                <w:rFonts w:hint="default" w:ascii="Times New Roman" w:hAnsi="Times New Roman" w:eastAsia="宋体" w:cs="Times New Roman"/>
                <w:bCs/>
                <w:snapToGrid w:val="0"/>
                <w:color w:val="auto"/>
                <w:kern w:val="0"/>
                <w:sz w:val="24"/>
                <w:highlight w:val="none"/>
                <w:u w:val="single"/>
                <w:lang w:val="en-US" w:eastAsia="zh-CN"/>
              </w:rPr>
              <w:t>-</w:t>
            </w:r>
            <w:r>
              <w:rPr>
                <w:rFonts w:hint="eastAsia" w:ascii="Times New Roman" w:hAnsi="Times New Roman" w:eastAsia="宋体" w:cs="Times New Roman"/>
                <w:bCs/>
                <w:snapToGrid w:val="0"/>
                <w:color w:val="auto"/>
                <w:kern w:val="0"/>
                <w:sz w:val="24"/>
                <w:highlight w:val="none"/>
                <w:u w:val="single"/>
                <w:lang w:val="en-US" w:eastAsia="zh-CN"/>
              </w:rPr>
              <w:t>09</w:t>
            </w:r>
            <w:r>
              <w:rPr>
                <w:rFonts w:hint="default" w:ascii="Times New Roman" w:hAnsi="Times New Roman" w:eastAsia="宋体" w:cs="Times New Roman"/>
                <w:bCs/>
                <w:snapToGrid w:val="0"/>
                <w:color w:val="auto"/>
                <w:kern w:val="0"/>
                <w:sz w:val="24"/>
                <w:highlight w:val="none"/>
                <w:u w:val="single"/>
                <w:lang w:val="en-US" w:eastAsia="zh-CN"/>
              </w:rPr>
              <w:t>）</w:t>
            </w:r>
            <w:r>
              <w:rPr>
                <w:rFonts w:hint="eastAsia" w:ascii="Times New Roman" w:hAnsi="Times New Roman" w:eastAsia="宋体" w:cs="Times New Roman"/>
                <w:bCs/>
                <w:snapToGrid w:val="0"/>
                <w:color w:val="auto"/>
                <w:kern w:val="0"/>
                <w:sz w:val="24"/>
                <w:highlight w:val="none"/>
                <w:u w:val="single"/>
                <w:lang w:val="en-US" w:eastAsia="zh-CN"/>
              </w:rPr>
              <w:t>其他工艺过程中产生的废弃的油/水、烃/水混合物或者乳化液</w:t>
            </w:r>
            <w:r>
              <w:rPr>
                <w:rFonts w:hint="eastAsia" w:ascii="Times New Roman" w:hAnsi="Times New Roman" w:eastAsia="宋体" w:cs="Times New Roman"/>
                <w:bCs/>
                <w:snapToGrid w:val="0"/>
                <w:color w:val="auto"/>
                <w:kern w:val="0"/>
                <w:sz w:val="24"/>
                <w:highlight w:val="none"/>
                <w:u w:val="none"/>
                <w:lang w:val="en-US" w:eastAsia="zh-CN"/>
              </w:rPr>
              <w:t>，分类收集后暂存在危废间，定期交由有</w:t>
            </w:r>
            <w:r>
              <w:rPr>
                <w:rFonts w:hint="eastAsia" w:cs="Times New Roman"/>
                <w:bCs/>
                <w:snapToGrid w:val="0"/>
                <w:color w:val="auto"/>
                <w:kern w:val="0"/>
                <w:sz w:val="24"/>
                <w:highlight w:val="none"/>
                <w:u w:val="none"/>
                <w:lang w:val="en-US" w:eastAsia="zh-CN"/>
              </w:rPr>
              <w:t>资质</w:t>
            </w:r>
            <w:r>
              <w:rPr>
                <w:rFonts w:hint="eastAsia" w:ascii="Times New Roman" w:hAnsi="Times New Roman" w:eastAsia="宋体" w:cs="Times New Roman"/>
                <w:bCs/>
                <w:snapToGrid w:val="0"/>
                <w:color w:val="auto"/>
                <w:kern w:val="0"/>
                <w:sz w:val="24"/>
                <w:highlight w:val="none"/>
                <w:u w:val="none"/>
                <w:lang w:val="en-US" w:eastAsia="zh-CN"/>
              </w:rPr>
              <w:t>单位处理。</w:t>
            </w:r>
          </w:p>
          <w:p w14:paraId="674552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Cs/>
                <w:snapToGrid w:val="0"/>
                <w:color w:val="auto"/>
                <w:kern w:val="0"/>
                <w:sz w:val="24"/>
                <w:highlight w:val="none"/>
                <w:u w:val="single"/>
                <w:lang w:val="en-US" w:eastAsia="zh-CN"/>
              </w:rPr>
            </w:pPr>
            <w:r>
              <w:rPr>
                <w:rFonts w:hint="eastAsia" w:ascii="Times New Roman" w:hAnsi="Times New Roman" w:eastAsia="宋体" w:cs="Times New Roman"/>
                <w:bCs/>
                <w:snapToGrid w:val="0"/>
                <w:color w:val="auto"/>
                <w:kern w:val="0"/>
                <w:sz w:val="24"/>
                <w:highlight w:val="none"/>
                <w:u w:val="single"/>
                <w:lang w:val="en-US" w:eastAsia="zh-CN"/>
              </w:rPr>
              <w:t>⑧废滤芯</w:t>
            </w:r>
          </w:p>
          <w:p w14:paraId="00A8D5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Cs/>
                <w:snapToGrid w:val="0"/>
                <w:color w:val="auto"/>
                <w:kern w:val="0"/>
                <w:sz w:val="24"/>
                <w:highlight w:val="none"/>
                <w:u w:val="single"/>
                <w:lang w:val="en-US" w:eastAsia="zh-CN"/>
              </w:rPr>
            </w:pPr>
            <w:r>
              <w:rPr>
                <w:rFonts w:hint="eastAsia" w:ascii="Times New Roman" w:hAnsi="Times New Roman" w:eastAsia="宋体" w:cs="Times New Roman"/>
                <w:bCs/>
                <w:snapToGrid w:val="0"/>
                <w:color w:val="auto"/>
                <w:kern w:val="0"/>
                <w:sz w:val="24"/>
                <w:highlight w:val="none"/>
                <w:u w:val="single"/>
                <w:lang w:val="en-US" w:eastAsia="zh-CN"/>
              </w:rPr>
              <w:t>项目有机械加工设备212台，自带三级过滤，第一级过滤中，通过旋转式螺旋过滤器或旋风预处理器排出固体颗粒；在二级过滤中，滤芯阻挡（采用金属滤网）阻挡细小杂质颗粒；三级过滤（采用纤维滤芯），金属滤网年更换1次，纤维滤芯每年更换2次，金属滤网重量约为1.5-3.0kg/个，按平均值2.25kg/个，纤维滤芯重量约为3.5-7.5kg/个，按平均5.5kg/个，经计算，全年产生废滤芯2.809t/a，根据</w:t>
            </w:r>
            <w:r>
              <w:rPr>
                <w:rFonts w:hint="default" w:ascii="Times New Roman" w:hAnsi="Times New Roman" w:eastAsia="宋体" w:cs="Times New Roman"/>
                <w:bCs/>
                <w:snapToGrid w:val="0"/>
                <w:color w:val="auto"/>
                <w:kern w:val="0"/>
                <w:sz w:val="24"/>
                <w:highlight w:val="none"/>
                <w:u w:val="single"/>
                <w:lang w:val="en-US" w:eastAsia="zh-CN"/>
              </w:rPr>
              <w:t>《国家危险废物名录》（202</w:t>
            </w:r>
            <w:r>
              <w:rPr>
                <w:rFonts w:hint="eastAsia" w:ascii="Times New Roman" w:hAnsi="Times New Roman" w:eastAsia="宋体" w:cs="Times New Roman"/>
                <w:bCs/>
                <w:snapToGrid w:val="0"/>
                <w:color w:val="auto"/>
                <w:kern w:val="0"/>
                <w:sz w:val="24"/>
                <w:highlight w:val="none"/>
                <w:u w:val="single"/>
                <w:lang w:val="en-US" w:eastAsia="zh-CN"/>
              </w:rPr>
              <w:t>5</w:t>
            </w:r>
            <w:r>
              <w:rPr>
                <w:rFonts w:hint="default" w:ascii="Times New Roman" w:hAnsi="Times New Roman" w:eastAsia="宋体" w:cs="Times New Roman"/>
                <w:bCs/>
                <w:snapToGrid w:val="0"/>
                <w:color w:val="auto"/>
                <w:kern w:val="0"/>
                <w:sz w:val="24"/>
                <w:highlight w:val="none"/>
                <w:u w:val="single"/>
                <w:lang w:val="en-US" w:eastAsia="zh-CN"/>
              </w:rPr>
              <w:t>年版）可知，</w:t>
            </w:r>
            <w:r>
              <w:rPr>
                <w:rFonts w:hint="eastAsia" w:ascii="Times New Roman" w:hAnsi="Times New Roman" w:eastAsia="宋体" w:cs="Times New Roman"/>
                <w:bCs/>
                <w:snapToGrid w:val="0"/>
                <w:color w:val="auto"/>
                <w:kern w:val="0"/>
                <w:sz w:val="24"/>
                <w:highlight w:val="none"/>
                <w:u w:val="single"/>
                <w:lang w:val="en-US" w:eastAsia="zh-CN"/>
              </w:rPr>
              <w:t>废滤芯</w:t>
            </w:r>
            <w:r>
              <w:rPr>
                <w:rFonts w:hint="default" w:ascii="Times New Roman" w:hAnsi="Times New Roman" w:eastAsia="宋体" w:cs="Times New Roman"/>
                <w:bCs/>
                <w:snapToGrid w:val="0"/>
                <w:color w:val="auto"/>
                <w:kern w:val="0"/>
                <w:sz w:val="24"/>
                <w:highlight w:val="none"/>
                <w:u w:val="single"/>
                <w:lang w:val="en-US" w:eastAsia="zh-CN"/>
              </w:rPr>
              <w:t>危废类别为HW</w:t>
            </w:r>
            <w:r>
              <w:rPr>
                <w:rFonts w:hint="eastAsia" w:ascii="Times New Roman" w:hAnsi="Times New Roman" w:eastAsia="宋体" w:cs="Times New Roman"/>
                <w:bCs/>
                <w:snapToGrid w:val="0"/>
                <w:color w:val="auto"/>
                <w:kern w:val="0"/>
                <w:sz w:val="24"/>
                <w:highlight w:val="none"/>
                <w:u w:val="single"/>
                <w:lang w:val="en-US" w:eastAsia="zh-CN"/>
              </w:rPr>
              <w:t>49</w:t>
            </w:r>
            <w:r>
              <w:rPr>
                <w:rFonts w:hint="default" w:ascii="Times New Roman" w:hAnsi="Times New Roman" w:eastAsia="宋体" w:cs="Times New Roman"/>
                <w:bCs/>
                <w:snapToGrid w:val="0"/>
                <w:color w:val="auto"/>
                <w:kern w:val="0"/>
                <w:sz w:val="24"/>
                <w:highlight w:val="none"/>
                <w:u w:val="single"/>
                <w:lang w:val="en-US" w:eastAsia="zh-CN"/>
              </w:rPr>
              <w:t>其他废物（900-</w:t>
            </w:r>
            <w:r>
              <w:rPr>
                <w:rFonts w:hint="eastAsia" w:ascii="Times New Roman" w:hAnsi="Times New Roman" w:eastAsia="宋体" w:cs="Times New Roman"/>
                <w:bCs/>
                <w:snapToGrid w:val="0"/>
                <w:color w:val="auto"/>
                <w:kern w:val="0"/>
                <w:sz w:val="24"/>
                <w:highlight w:val="none"/>
                <w:u w:val="single"/>
                <w:lang w:val="en-US" w:eastAsia="zh-CN"/>
              </w:rPr>
              <w:t>041</w:t>
            </w:r>
            <w:r>
              <w:rPr>
                <w:rFonts w:hint="default" w:ascii="Times New Roman" w:hAnsi="Times New Roman" w:eastAsia="宋体" w:cs="Times New Roman"/>
                <w:bCs/>
                <w:snapToGrid w:val="0"/>
                <w:color w:val="auto"/>
                <w:kern w:val="0"/>
                <w:sz w:val="24"/>
                <w:highlight w:val="none"/>
                <w:u w:val="single"/>
                <w:lang w:val="en-US" w:eastAsia="zh-CN"/>
              </w:rPr>
              <w:t>-</w:t>
            </w:r>
            <w:r>
              <w:rPr>
                <w:rFonts w:hint="eastAsia" w:ascii="Times New Roman" w:hAnsi="Times New Roman" w:eastAsia="宋体" w:cs="Times New Roman"/>
                <w:bCs/>
                <w:snapToGrid w:val="0"/>
                <w:color w:val="auto"/>
                <w:kern w:val="0"/>
                <w:sz w:val="24"/>
                <w:highlight w:val="none"/>
                <w:u w:val="single"/>
                <w:lang w:val="en-US" w:eastAsia="zh-CN"/>
              </w:rPr>
              <w:t>41</w:t>
            </w:r>
            <w:r>
              <w:rPr>
                <w:rFonts w:hint="default" w:ascii="Times New Roman" w:hAnsi="Times New Roman" w:eastAsia="宋体" w:cs="Times New Roman"/>
                <w:bCs/>
                <w:snapToGrid w:val="0"/>
                <w:color w:val="auto"/>
                <w:kern w:val="0"/>
                <w:sz w:val="24"/>
                <w:highlight w:val="none"/>
                <w:u w:val="single"/>
                <w:lang w:val="en-US" w:eastAsia="zh-CN"/>
              </w:rPr>
              <w:t>）</w:t>
            </w:r>
            <w:r>
              <w:rPr>
                <w:rFonts w:hint="eastAsia" w:ascii="Times New Roman" w:hAnsi="Times New Roman" w:eastAsia="宋体" w:cs="Times New Roman"/>
                <w:bCs/>
                <w:snapToGrid w:val="0"/>
                <w:color w:val="auto"/>
                <w:kern w:val="0"/>
                <w:sz w:val="24"/>
                <w:highlight w:val="none"/>
                <w:u w:val="single"/>
                <w:lang w:val="en-US" w:eastAsia="zh-CN"/>
              </w:rPr>
              <w:t>含有或者沾染毒性、感染性危险废物的废弃的包装物、容器、过滤吸附介质</w:t>
            </w:r>
            <w:r>
              <w:rPr>
                <w:rFonts w:hint="eastAsia" w:cs="Times New Roman"/>
                <w:bCs/>
                <w:snapToGrid w:val="0"/>
                <w:color w:val="auto"/>
                <w:kern w:val="0"/>
                <w:sz w:val="24"/>
                <w:highlight w:val="none"/>
                <w:u w:val="single"/>
                <w:lang w:val="en-US" w:eastAsia="zh-CN"/>
              </w:rPr>
              <w:t>，</w:t>
            </w:r>
            <w:r>
              <w:rPr>
                <w:rFonts w:hint="eastAsia" w:ascii="Times New Roman" w:hAnsi="Times New Roman" w:eastAsia="宋体" w:cs="Times New Roman"/>
                <w:bCs/>
                <w:snapToGrid w:val="0"/>
                <w:color w:val="auto"/>
                <w:kern w:val="0"/>
                <w:sz w:val="24"/>
                <w:highlight w:val="none"/>
                <w:u w:val="single"/>
                <w:lang w:val="en-US" w:eastAsia="zh-CN"/>
              </w:rPr>
              <w:t>分类收集后暂存在危废间，定期交由有</w:t>
            </w:r>
            <w:r>
              <w:rPr>
                <w:rFonts w:hint="eastAsia" w:cs="Times New Roman"/>
                <w:bCs/>
                <w:snapToGrid w:val="0"/>
                <w:color w:val="auto"/>
                <w:kern w:val="0"/>
                <w:sz w:val="24"/>
                <w:highlight w:val="none"/>
                <w:u w:val="single"/>
                <w:lang w:val="en-US" w:eastAsia="zh-CN"/>
              </w:rPr>
              <w:t>资质</w:t>
            </w:r>
            <w:r>
              <w:rPr>
                <w:rFonts w:hint="eastAsia" w:ascii="Times New Roman" w:hAnsi="Times New Roman" w:eastAsia="宋体" w:cs="Times New Roman"/>
                <w:bCs/>
                <w:snapToGrid w:val="0"/>
                <w:color w:val="auto"/>
                <w:kern w:val="0"/>
                <w:sz w:val="24"/>
                <w:highlight w:val="none"/>
                <w:u w:val="single"/>
                <w:lang w:val="en-US" w:eastAsia="zh-CN"/>
              </w:rPr>
              <w:t>单位处理。</w:t>
            </w:r>
          </w:p>
          <w:p w14:paraId="335363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snapToGrid w:val="0"/>
                <w:color w:val="auto"/>
                <w:kern w:val="0"/>
                <w:sz w:val="24"/>
                <w:highlight w:val="none"/>
                <w:u w:val="none"/>
                <w:lang w:val="en-US" w:eastAsia="zh-CN"/>
              </w:rPr>
            </w:pPr>
            <w:r>
              <w:rPr>
                <w:rFonts w:hint="eastAsia" w:ascii="Times New Roman" w:hAnsi="Times New Roman" w:eastAsia="宋体" w:cs="Times New Roman"/>
                <w:bCs/>
                <w:snapToGrid w:val="0"/>
                <w:color w:val="auto"/>
                <w:kern w:val="0"/>
                <w:sz w:val="24"/>
                <w:highlight w:val="none"/>
                <w:u w:val="single"/>
                <w:lang w:val="en-US" w:eastAsia="zh-CN"/>
              </w:rPr>
              <w:t>经查询，湖南瀚洋环保科技有限公司位于长沙市长沙县北山镇北山村万谷岭；经营类别：HW01（841-003-01、841-004-01、841-005-01），HW02、HW03、HW04、HW05、HW06、HW07、HW08、HW09、HW11、HW12、HW13、HW14、HW16、HW17、HW18、HW19、HW20、HW21、HW22、HW23、HW24、HW25、HW26、HW27、HW28、HW30、HW31、HW32、HW33、HW34、HW35、HW36、HW37、HW38、HW39、HW40、HW45、HW46、HW47、HW48、HW49、HW50；经营规模及范围：166450吨/年（焚烧54450吨/年、填埋规模100000吨/年、物化规模12000吨/年；危险废物来源限长沙市、株洲市、湘潭市、岳阳市、益阳市、常德市、娄底市、怀化市、张家界市及湘西自治州；本项目所产生的危险废物在其经营类别之内，在其经营范围之内，本次评价建议建设单位投产后与湖南瀚洋环保科技有限公司签订危险废物处置合同，定期交由其处置。</w:t>
            </w:r>
          </w:p>
          <w:p w14:paraId="45866F28">
            <w:pPr>
              <w:keepNext w:val="0"/>
              <w:keepLines w:val="0"/>
              <w:suppressLineNumbers w:val="0"/>
              <w:spacing w:before="0" w:beforeAutospacing="0" w:after="0" w:afterAutospacing="0" w:line="360" w:lineRule="auto"/>
              <w:ind w:left="0" w:right="0"/>
              <w:rPr>
                <w:rFonts w:hint="default" w:eastAsia="宋体" w:cs="Times New Roman"/>
                <w:b/>
                <w:bCs w:val="0"/>
                <w:snapToGrid w:val="0"/>
                <w:color w:val="auto"/>
                <w:kern w:val="0"/>
                <w:sz w:val="24"/>
                <w:highlight w:val="none"/>
                <w:u w:val="none"/>
                <w:lang w:val="en-US" w:eastAsia="zh-CN"/>
              </w:rPr>
            </w:pPr>
            <w:r>
              <w:rPr>
                <w:rFonts w:hint="eastAsia" w:eastAsia="宋体" w:cs="Times New Roman"/>
                <w:b/>
                <w:bCs w:val="0"/>
                <w:snapToGrid w:val="0"/>
                <w:color w:val="auto"/>
                <w:kern w:val="0"/>
                <w:sz w:val="24"/>
                <w:highlight w:val="none"/>
                <w:u w:val="none"/>
                <w:lang w:val="en-US" w:eastAsia="zh-CN"/>
              </w:rPr>
              <w:t>4.2固体废物汇总表</w:t>
            </w:r>
          </w:p>
          <w:p w14:paraId="26BA9D97">
            <w:pPr>
              <w:keepNext w:val="0"/>
              <w:keepLines w:val="0"/>
              <w:suppressLineNumbers w:val="0"/>
              <w:spacing w:before="0" w:beforeAutospacing="0" w:after="0" w:afterAutospacing="0"/>
              <w:ind w:left="0" w:right="0" w:firstLine="48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表4-1</w:t>
            </w:r>
            <w:r>
              <w:rPr>
                <w:rFonts w:hint="eastAsia" w:cs="Times New Roman"/>
                <w:b/>
                <w:bCs/>
                <w:color w:val="auto"/>
                <w:sz w:val="21"/>
                <w:szCs w:val="24"/>
                <w:lang w:val="en-US" w:eastAsia="zh-CN"/>
              </w:rPr>
              <w:t>6</w:t>
            </w:r>
            <w:r>
              <w:rPr>
                <w:rFonts w:hint="default" w:ascii="Times New Roman" w:hAnsi="Times New Roman" w:eastAsia="宋体" w:cs="Times New Roman"/>
                <w:b/>
                <w:bCs/>
                <w:color w:val="auto"/>
                <w:sz w:val="21"/>
                <w:szCs w:val="24"/>
              </w:rPr>
              <w:t xml:space="preserve">   固废产生一览表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153"/>
              <w:gridCol w:w="767"/>
              <w:gridCol w:w="796"/>
              <w:gridCol w:w="1005"/>
              <w:gridCol w:w="817"/>
              <w:gridCol w:w="1058"/>
              <w:gridCol w:w="1955"/>
            </w:tblGrid>
            <w:tr w14:paraId="31FF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01" w:type="dxa"/>
                  <w:noWrap w:val="0"/>
                  <w:vAlign w:val="center"/>
                </w:tcPr>
                <w:p w14:paraId="564363E7">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产生位置</w:t>
                  </w:r>
                </w:p>
              </w:tc>
              <w:tc>
                <w:tcPr>
                  <w:tcW w:w="1153" w:type="dxa"/>
                  <w:noWrap w:val="0"/>
                  <w:vAlign w:val="center"/>
                </w:tcPr>
                <w:p w14:paraId="7AD1ED4A">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名称</w:t>
                  </w:r>
                </w:p>
              </w:tc>
              <w:tc>
                <w:tcPr>
                  <w:tcW w:w="767" w:type="dxa"/>
                  <w:noWrap w:val="0"/>
                  <w:vAlign w:val="center"/>
                </w:tcPr>
                <w:p w14:paraId="4426C6E9">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属性</w:t>
                  </w:r>
                </w:p>
              </w:tc>
              <w:tc>
                <w:tcPr>
                  <w:tcW w:w="796" w:type="dxa"/>
                  <w:noWrap w:val="0"/>
                  <w:vAlign w:val="center"/>
                </w:tcPr>
                <w:p w14:paraId="3E220403">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废物种类</w:t>
                  </w:r>
                </w:p>
              </w:tc>
              <w:tc>
                <w:tcPr>
                  <w:tcW w:w="1005" w:type="dxa"/>
                  <w:noWrap w:val="0"/>
                  <w:vAlign w:val="center"/>
                </w:tcPr>
                <w:p w14:paraId="36FCCD58">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固废代码</w:t>
                  </w:r>
                </w:p>
              </w:tc>
              <w:tc>
                <w:tcPr>
                  <w:tcW w:w="817" w:type="dxa"/>
                  <w:noWrap w:val="0"/>
                  <w:vAlign w:val="center"/>
                </w:tcPr>
                <w:p w14:paraId="7420930A">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物理状态</w:t>
                  </w:r>
                </w:p>
              </w:tc>
              <w:tc>
                <w:tcPr>
                  <w:tcW w:w="1058" w:type="dxa"/>
                  <w:noWrap w:val="0"/>
                  <w:vAlign w:val="center"/>
                </w:tcPr>
                <w:p w14:paraId="494F86E9">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年产生量（</w:t>
                  </w:r>
                  <w:r>
                    <w:rPr>
                      <w:rFonts w:hint="default" w:ascii="Times New Roman" w:hAnsi="Times New Roman" w:eastAsia="宋体" w:cs="Times New Roman"/>
                      <w:color w:val="auto"/>
                      <w:u w:val="none"/>
                    </w:rPr>
                    <w:t>t/a</w:t>
                  </w:r>
                  <w:r>
                    <w:rPr>
                      <w:rFonts w:hint="default" w:ascii="Times New Roman" w:hAnsi="Times New Roman" w:eastAsia="宋体" w:cs="Times New Roman"/>
                      <w:color w:val="auto"/>
                      <w:sz w:val="21"/>
                      <w:szCs w:val="21"/>
                      <w:u w:val="none"/>
                    </w:rPr>
                    <w:t>）</w:t>
                  </w:r>
                </w:p>
              </w:tc>
              <w:tc>
                <w:tcPr>
                  <w:tcW w:w="1955" w:type="dxa"/>
                  <w:noWrap w:val="0"/>
                  <w:vAlign w:val="center"/>
                </w:tcPr>
                <w:p w14:paraId="13D3BB31">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利用处置方式和去向</w:t>
                  </w:r>
                </w:p>
              </w:tc>
            </w:tr>
            <w:tr w14:paraId="6FCA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01" w:type="dxa"/>
                  <w:noWrap w:val="0"/>
                  <w:vAlign w:val="center"/>
                </w:tcPr>
                <w:p w14:paraId="05035B81">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员工办公</w:t>
                  </w:r>
                </w:p>
              </w:tc>
              <w:tc>
                <w:tcPr>
                  <w:tcW w:w="1153" w:type="dxa"/>
                  <w:noWrap w:val="0"/>
                  <w:vAlign w:val="center"/>
                </w:tcPr>
                <w:p w14:paraId="2C1FD966">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生活垃圾</w:t>
                  </w:r>
                </w:p>
              </w:tc>
              <w:tc>
                <w:tcPr>
                  <w:tcW w:w="767" w:type="dxa"/>
                  <w:noWrap w:val="0"/>
                  <w:vAlign w:val="center"/>
                </w:tcPr>
                <w:p w14:paraId="72CC198F">
                  <w:pPr>
                    <w:pStyle w:val="159"/>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w:t>
                  </w:r>
                </w:p>
              </w:tc>
              <w:tc>
                <w:tcPr>
                  <w:tcW w:w="796" w:type="dxa"/>
                  <w:noWrap w:val="0"/>
                  <w:vAlign w:val="center"/>
                </w:tcPr>
                <w:p w14:paraId="3586929C">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SW64</w:t>
                  </w:r>
                </w:p>
              </w:tc>
              <w:tc>
                <w:tcPr>
                  <w:tcW w:w="1005" w:type="dxa"/>
                  <w:noWrap w:val="0"/>
                  <w:vAlign w:val="center"/>
                </w:tcPr>
                <w:p w14:paraId="0C70BECC">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900-099-S64</w:t>
                  </w:r>
                </w:p>
              </w:tc>
              <w:tc>
                <w:tcPr>
                  <w:tcW w:w="817" w:type="dxa"/>
                  <w:noWrap w:val="0"/>
                  <w:vAlign w:val="center"/>
                </w:tcPr>
                <w:p w14:paraId="37B5EB94">
                  <w:pPr>
                    <w:pStyle w:val="159"/>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固体</w:t>
                  </w:r>
                </w:p>
              </w:tc>
              <w:tc>
                <w:tcPr>
                  <w:tcW w:w="1058" w:type="dxa"/>
                  <w:noWrap w:val="0"/>
                  <w:vAlign w:val="center"/>
                </w:tcPr>
                <w:p w14:paraId="3BCB0E85">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60</w:t>
                  </w:r>
                </w:p>
              </w:tc>
              <w:tc>
                <w:tcPr>
                  <w:tcW w:w="1955" w:type="dxa"/>
                  <w:noWrap w:val="0"/>
                  <w:vAlign w:val="center"/>
                </w:tcPr>
                <w:p w14:paraId="6F9A039C">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垃圾桶</w:t>
                  </w:r>
                  <w:r>
                    <w:rPr>
                      <w:rFonts w:hint="eastAsia" w:cs="Times New Roman"/>
                      <w:b w:val="0"/>
                      <w:bCs w:val="0"/>
                      <w:color w:val="auto"/>
                      <w:kern w:val="2"/>
                      <w:sz w:val="21"/>
                      <w:szCs w:val="24"/>
                      <w:u w:val="none"/>
                      <w:lang w:val="en-US" w:eastAsia="zh-CN" w:bidi="ar-SA"/>
                    </w:rPr>
                    <w:t>暂存，交</w:t>
                  </w:r>
                </w:p>
                <w:p w14:paraId="5E1310BC">
                  <w:pPr>
                    <w:pStyle w:val="15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环卫处理</w:t>
                  </w:r>
                </w:p>
              </w:tc>
            </w:tr>
            <w:tr w14:paraId="4A30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01" w:type="dxa"/>
                  <w:vMerge w:val="restart"/>
                  <w:noWrap w:val="0"/>
                  <w:vAlign w:val="center"/>
                </w:tcPr>
                <w:p w14:paraId="440DF19F">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生产运营</w:t>
                  </w:r>
                </w:p>
              </w:tc>
              <w:tc>
                <w:tcPr>
                  <w:tcW w:w="1153" w:type="dxa"/>
                  <w:noWrap w:val="0"/>
                  <w:vAlign w:val="center"/>
                </w:tcPr>
                <w:p w14:paraId="65BEE349">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废包装</w:t>
                  </w:r>
                  <w:r>
                    <w:rPr>
                      <w:rFonts w:hint="eastAsia" w:cs="Times New Roman"/>
                      <w:b w:val="0"/>
                      <w:bCs w:val="0"/>
                      <w:color w:val="auto"/>
                      <w:kern w:val="2"/>
                      <w:sz w:val="21"/>
                      <w:szCs w:val="24"/>
                      <w:u w:val="none"/>
                      <w:lang w:val="en-US" w:eastAsia="zh-CN" w:bidi="ar-SA"/>
                    </w:rPr>
                    <w:t>材料</w:t>
                  </w:r>
                </w:p>
              </w:tc>
              <w:tc>
                <w:tcPr>
                  <w:tcW w:w="767" w:type="dxa"/>
                  <w:noWrap w:val="0"/>
                  <w:vAlign w:val="center"/>
                </w:tcPr>
                <w:p w14:paraId="00D2F61B">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一般固废</w:t>
                  </w:r>
                </w:p>
              </w:tc>
              <w:tc>
                <w:tcPr>
                  <w:tcW w:w="796" w:type="dxa"/>
                  <w:shd w:val="clear" w:color="auto" w:fill="auto"/>
                  <w:noWrap w:val="0"/>
                  <w:vAlign w:val="center"/>
                </w:tcPr>
                <w:p w14:paraId="6B7FEF4B">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SW59</w:t>
                  </w:r>
                </w:p>
              </w:tc>
              <w:tc>
                <w:tcPr>
                  <w:tcW w:w="1005" w:type="dxa"/>
                  <w:noWrap w:val="0"/>
                  <w:vAlign w:val="center"/>
                </w:tcPr>
                <w:p w14:paraId="2A3E6D1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900-099-S59</w:t>
                  </w:r>
                </w:p>
              </w:tc>
              <w:tc>
                <w:tcPr>
                  <w:tcW w:w="817" w:type="dxa"/>
                  <w:noWrap w:val="0"/>
                  <w:vAlign w:val="center"/>
                </w:tcPr>
                <w:p w14:paraId="1EB51F9B">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固体</w:t>
                  </w:r>
                </w:p>
              </w:tc>
              <w:tc>
                <w:tcPr>
                  <w:tcW w:w="1058" w:type="dxa"/>
                  <w:noWrap w:val="0"/>
                  <w:vAlign w:val="center"/>
                </w:tcPr>
                <w:p w14:paraId="2116072F">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10</w:t>
                  </w:r>
                </w:p>
              </w:tc>
              <w:tc>
                <w:tcPr>
                  <w:tcW w:w="1955" w:type="dxa"/>
                  <w:noWrap w:val="0"/>
                  <w:vAlign w:val="center"/>
                </w:tcPr>
                <w:p w14:paraId="1EC3E7E9">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废品回收站</w:t>
                  </w:r>
                </w:p>
              </w:tc>
            </w:tr>
            <w:tr w14:paraId="0C75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01" w:type="dxa"/>
                  <w:vMerge w:val="continue"/>
                  <w:noWrap w:val="0"/>
                  <w:vAlign w:val="center"/>
                </w:tcPr>
                <w:p w14:paraId="18B18347">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p>
              </w:tc>
              <w:tc>
                <w:tcPr>
                  <w:tcW w:w="1153" w:type="dxa"/>
                  <w:noWrap w:val="0"/>
                  <w:vAlign w:val="center"/>
                </w:tcPr>
                <w:p w14:paraId="30B22BE2">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废</w:t>
                  </w:r>
                  <w:r>
                    <w:rPr>
                      <w:rFonts w:hint="eastAsia" w:cs="Times New Roman"/>
                      <w:b w:val="0"/>
                      <w:bCs w:val="0"/>
                      <w:color w:val="auto"/>
                      <w:kern w:val="2"/>
                      <w:sz w:val="21"/>
                      <w:szCs w:val="24"/>
                      <w:u w:val="none"/>
                      <w:lang w:val="en-US" w:eastAsia="zh-CN" w:bidi="ar-SA"/>
                    </w:rPr>
                    <w:t>水性淬火剂桶</w:t>
                  </w:r>
                </w:p>
              </w:tc>
              <w:tc>
                <w:tcPr>
                  <w:tcW w:w="767" w:type="dxa"/>
                  <w:noWrap w:val="0"/>
                  <w:vAlign w:val="center"/>
                </w:tcPr>
                <w:p w14:paraId="74174B45">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一般固废</w:t>
                  </w:r>
                </w:p>
              </w:tc>
              <w:tc>
                <w:tcPr>
                  <w:tcW w:w="796" w:type="dxa"/>
                  <w:shd w:val="clear" w:color="auto" w:fill="auto"/>
                  <w:noWrap w:val="0"/>
                  <w:vAlign w:val="center"/>
                </w:tcPr>
                <w:p w14:paraId="4111231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SW59</w:t>
                  </w:r>
                </w:p>
              </w:tc>
              <w:tc>
                <w:tcPr>
                  <w:tcW w:w="1005" w:type="dxa"/>
                  <w:noWrap w:val="0"/>
                  <w:vAlign w:val="center"/>
                </w:tcPr>
                <w:p w14:paraId="2D222A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900-099-S59</w:t>
                  </w:r>
                </w:p>
              </w:tc>
              <w:tc>
                <w:tcPr>
                  <w:tcW w:w="817" w:type="dxa"/>
                  <w:noWrap w:val="0"/>
                  <w:vAlign w:val="center"/>
                </w:tcPr>
                <w:p w14:paraId="2C15C563">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固体</w:t>
                  </w:r>
                </w:p>
              </w:tc>
              <w:tc>
                <w:tcPr>
                  <w:tcW w:w="1058" w:type="dxa"/>
                  <w:noWrap w:val="0"/>
                  <w:vAlign w:val="center"/>
                </w:tcPr>
                <w:p w14:paraId="1432C1AF">
                  <w:pPr>
                    <w:pStyle w:val="4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0.36</w:t>
                  </w:r>
                </w:p>
              </w:tc>
              <w:tc>
                <w:tcPr>
                  <w:tcW w:w="1955" w:type="dxa"/>
                  <w:noWrap w:val="0"/>
                  <w:vAlign w:val="center"/>
                </w:tcPr>
                <w:p w14:paraId="5794F0A3">
                  <w:pPr>
                    <w:pStyle w:val="15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废品回收站</w:t>
                  </w:r>
                </w:p>
              </w:tc>
            </w:tr>
            <w:tr w14:paraId="2606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01" w:type="dxa"/>
                  <w:vMerge w:val="continue"/>
                  <w:noWrap w:val="0"/>
                  <w:vAlign w:val="center"/>
                </w:tcPr>
                <w:p w14:paraId="3F670330">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p>
              </w:tc>
              <w:tc>
                <w:tcPr>
                  <w:tcW w:w="1153" w:type="dxa"/>
                  <w:noWrap w:val="0"/>
                  <w:vAlign w:val="center"/>
                </w:tcPr>
                <w:p w14:paraId="059E5B19">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废铁屑</w:t>
                  </w:r>
                </w:p>
              </w:tc>
              <w:tc>
                <w:tcPr>
                  <w:tcW w:w="767" w:type="dxa"/>
                  <w:noWrap w:val="0"/>
                  <w:vAlign w:val="center"/>
                </w:tcPr>
                <w:p w14:paraId="7C3B455D">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shd w:val="clear" w:color="auto" w:fill="auto"/>
                  <w:noWrap w:val="0"/>
                  <w:vAlign w:val="center"/>
                </w:tcPr>
                <w:p w14:paraId="341EFA86">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HW49</w:t>
                  </w:r>
                </w:p>
              </w:tc>
              <w:tc>
                <w:tcPr>
                  <w:tcW w:w="1005" w:type="dxa"/>
                  <w:shd w:val="clear" w:color="auto" w:fill="auto"/>
                  <w:noWrap w:val="0"/>
                  <w:vAlign w:val="center"/>
                </w:tcPr>
                <w:p w14:paraId="10284D20">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900-041-49</w:t>
                  </w:r>
                </w:p>
              </w:tc>
              <w:tc>
                <w:tcPr>
                  <w:tcW w:w="817" w:type="dxa"/>
                  <w:shd w:val="clear" w:color="auto" w:fill="auto"/>
                  <w:noWrap w:val="0"/>
                  <w:vAlign w:val="center"/>
                </w:tcPr>
                <w:p w14:paraId="4D3A379D">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固体</w:t>
                  </w:r>
                </w:p>
              </w:tc>
              <w:tc>
                <w:tcPr>
                  <w:tcW w:w="1058" w:type="dxa"/>
                  <w:shd w:val="clear" w:color="auto" w:fill="auto"/>
                  <w:noWrap w:val="0"/>
                  <w:vAlign w:val="center"/>
                </w:tcPr>
                <w:p w14:paraId="3216BB0F">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33.31（8.33t</w:t>
                  </w:r>
                </w:p>
                <w:p w14:paraId="320563D2">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/季度）</w:t>
                  </w:r>
                </w:p>
              </w:tc>
              <w:tc>
                <w:tcPr>
                  <w:tcW w:w="1955" w:type="dxa"/>
                  <w:vMerge w:val="restart"/>
                  <w:noWrap w:val="0"/>
                  <w:vAlign w:val="center"/>
                </w:tcPr>
                <w:p w14:paraId="35257C9A">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暂存废铁屑暂存间，沥干水分后由有资质单位运输至金属冶炼厂，每季度处理1次；废切削液、隔油渣、废滤芯每年由有资质单位处理1次；清洗废液每月由有资质单位处理1次；</w:t>
                  </w:r>
                </w:p>
              </w:tc>
            </w:tr>
            <w:tr w14:paraId="2FA9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01" w:type="dxa"/>
                  <w:vMerge w:val="continue"/>
                  <w:noWrap w:val="0"/>
                  <w:vAlign w:val="center"/>
                </w:tcPr>
                <w:p w14:paraId="15618331">
                  <w:pPr>
                    <w:pStyle w:val="42"/>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4"/>
                      <w:u w:val="none"/>
                      <w:lang w:val="en-US" w:eastAsia="zh-CN" w:bidi="ar-SA"/>
                    </w:rPr>
                  </w:pPr>
                </w:p>
              </w:tc>
              <w:tc>
                <w:tcPr>
                  <w:tcW w:w="1153" w:type="dxa"/>
                  <w:noWrap w:val="0"/>
                  <w:vAlign w:val="center"/>
                </w:tcPr>
                <w:p w14:paraId="242F7D45">
                  <w:pPr>
                    <w:pStyle w:val="42"/>
                    <w:keepNext w:val="0"/>
                    <w:keepLines w:val="0"/>
                    <w:suppressLineNumbers w:val="0"/>
                    <w:spacing w:before="0" w:beforeAutospacing="0" w:after="0" w:afterAutospacing="0"/>
                    <w:ind w:left="0" w:right="0"/>
                    <w:rPr>
                      <w:rFonts w:hint="default"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废液</w:t>
                  </w:r>
                </w:p>
              </w:tc>
              <w:tc>
                <w:tcPr>
                  <w:tcW w:w="767" w:type="dxa"/>
                  <w:noWrap w:val="0"/>
                  <w:vAlign w:val="center"/>
                </w:tcPr>
                <w:p w14:paraId="7FA0E633">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shd w:val="clear" w:color="auto" w:fill="auto"/>
                  <w:noWrap w:val="0"/>
                  <w:vAlign w:val="center"/>
                </w:tcPr>
                <w:p w14:paraId="6F81E7A9">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HW49</w:t>
                  </w:r>
                </w:p>
              </w:tc>
              <w:tc>
                <w:tcPr>
                  <w:tcW w:w="1005" w:type="dxa"/>
                  <w:shd w:val="clear" w:color="auto" w:fill="auto"/>
                  <w:noWrap w:val="0"/>
                  <w:vAlign w:val="center"/>
                </w:tcPr>
                <w:p w14:paraId="70FA0491">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900-047-49</w:t>
                  </w:r>
                </w:p>
              </w:tc>
              <w:tc>
                <w:tcPr>
                  <w:tcW w:w="817" w:type="dxa"/>
                  <w:shd w:val="clear" w:color="auto" w:fill="auto"/>
                  <w:noWrap w:val="0"/>
                  <w:vAlign w:val="center"/>
                </w:tcPr>
                <w:p w14:paraId="1D32C2E5">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液体</w:t>
                  </w:r>
                </w:p>
              </w:tc>
              <w:tc>
                <w:tcPr>
                  <w:tcW w:w="1058" w:type="dxa"/>
                  <w:shd w:val="clear" w:color="auto" w:fill="auto"/>
                  <w:noWrap w:val="0"/>
                  <w:vAlign w:val="center"/>
                </w:tcPr>
                <w:p w14:paraId="136FCC49">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24t/a</w:t>
                  </w:r>
                </w:p>
                <w:p w14:paraId="23B38E78">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（2t/月）</w:t>
                  </w:r>
                </w:p>
              </w:tc>
              <w:tc>
                <w:tcPr>
                  <w:tcW w:w="1955" w:type="dxa"/>
                  <w:vMerge w:val="continue"/>
                  <w:noWrap w:val="0"/>
                  <w:vAlign w:val="center"/>
                </w:tcPr>
                <w:p w14:paraId="6E72B28F">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p>
              </w:tc>
            </w:tr>
            <w:tr w14:paraId="170B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01" w:type="dxa"/>
                  <w:vMerge w:val="continue"/>
                  <w:noWrap w:val="0"/>
                  <w:vAlign w:val="center"/>
                </w:tcPr>
                <w:p w14:paraId="6D3EFBB6">
                  <w:pPr>
                    <w:pStyle w:val="42"/>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4"/>
                      <w:u w:val="none"/>
                      <w:lang w:val="en-US" w:eastAsia="zh-CN" w:bidi="ar-SA"/>
                    </w:rPr>
                  </w:pPr>
                </w:p>
              </w:tc>
              <w:tc>
                <w:tcPr>
                  <w:tcW w:w="1153" w:type="dxa"/>
                  <w:shd w:val="clear" w:color="auto" w:fill="auto"/>
                  <w:noWrap w:val="0"/>
                  <w:vAlign w:val="center"/>
                </w:tcPr>
                <w:p w14:paraId="5510FC67">
                  <w:pPr>
                    <w:pStyle w:val="4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废切削液</w:t>
                  </w:r>
                </w:p>
              </w:tc>
              <w:tc>
                <w:tcPr>
                  <w:tcW w:w="767" w:type="dxa"/>
                  <w:shd w:val="clear" w:color="auto" w:fill="auto"/>
                  <w:noWrap w:val="0"/>
                  <w:vAlign w:val="center"/>
                </w:tcPr>
                <w:p w14:paraId="34AFF641">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shd w:val="clear" w:color="auto" w:fill="auto"/>
                  <w:noWrap w:val="0"/>
                  <w:vAlign w:val="center"/>
                </w:tcPr>
                <w:p w14:paraId="36338D02">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HW08</w:t>
                  </w:r>
                </w:p>
              </w:tc>
              <w:tc>
                <w:tcPr>
                  <w:tcW w:w="1005" w:type="dxa"/>
                  <w:shd w:val="clear" w:color="auto" w:fill="auto"/>
                  <w:noWrap w:val="0"/>
                  <w:vAlign w:val="center"/>
                </w:tcPr>
                <w:p w14:paraId="443C6795">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900-249-08</w:t>
                  </w:r>
                </w:p>
              </w:tc>
              <w:tc>
                <w:tcPr>
                  <w:tcW w:w="817" w:type="dxa"/>
                  <w:shd w:val="clear" w:color="auto" w:fill="auto"/>
                  <w:noWrap w:val="0"/>
                  <w:vAlign w:val="center"/>
                </w:tcPr>
                <w:p w14:paraId="7932708E">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液体</w:t>
                  </w:r>
                </w:p>
              </w:tc>
              <w:tc>
                <w:tcPr>
                  <w:tcW w:w="1058" w:type="dxa"/>
                  <w:shd w:val="clear" w:color="auto" w:fill="auto"/>
                  <w:noWrap w:val="0"/>
                  <w:vAlign w:val="center"/>
                </w:tcPr>
                <w:p w14:paraId="67D60E05">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32</w:t>
                  </w:r>
                </w:p>
              </w:tc>
              <w:tc>
                <w:tcPr>
                  <w:tcW w:w="1955" w:type="dxa"/>
                  <w:vMerge w:val="continue"/>
                  <w:noWrap w:val="0"/>
                  <w:vAlign w:val="center"/>
                </w:tcPr>
                <w:p w14:paraId="502D88B2">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p>
              </w:tc>
            </w:tr>
            <w:tr w14:paraId="0D76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01" w:type="dxa"/>
                  <w:vMerge w:val="continue"/>
                  <w:noWrap w:val="0"/>
                  <w:vAlign w:val="center"/>
                </w:tcPr>
                <w:p w14:paraId="5FB457EB">
                  <w:pPr>
                    <w:pStyle w:val="42"/>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4"/>
                      <w:u w:val="none"/>
                      <w:lang w:val="en-US" w:eastAsia="zh-CN" w:bidi="ar-SA"/>
                    </w:rPr>
                  </w:pPr>
                </w:p>
              </w:tc>
              <w:tc>
                <w:tcPr>
                  <w:tcW w:w="1153" w:type="dxa"/>
                  <w:shd w:val="clear" w:color="auto" w:fill="auto"/>
                  <w:noWrap w:val="0"/>
                  <w:vAlign w:val="center"/>
                </w:tcPr>
                <w:p w14:paraId="153EA184">
                  <w:pPr>
                    <w:pStyle w:val="42"/>
                    <w:keepNext w:val="0"/>
                    <w:keepLines w:val="0"/>
                    <w:suppressLineNumbers w:val="0"/>
                    <w:spacing w:before="0" w:beforeAutospacing="0" w:after="0" w:afterAutospacing="0"/>
                    <w:ind w:left="0" w:leftChars="0" w:right="0" w:rightChars="0" w:firstLine="0" w:firstLineChars="0"/>
                    <w:rPr>
                      <w:rFonts w:hint="default"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隔油渣</w:t>
                  </w:r>
                </w:p>
              </w:tc>
              <w:tc>
                <w:tcPr>
                  <w:tcW w:w="767" w:type="dxa"/>
                  <w:shd w:val="clear" w:color="auto" w:fill="auto"/>
                  <w:noWrap w:val="0"/>
                  <w:vAlign w:val="center"/>
                </w:tcPr>
                <w:p w14:paraId="3C20C67C">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shd w:val="clear" w:color="auto" w:fill="auto"/>
                  <w:noWrap w:val="0"/>
                  <w:vAlign w:val="center"/>
                </w:tcPr>
                <w:p w14:paraId="3642810C">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HW08</w:t>
                  </w:r>
                </w:p>
              </w:tc>
              <w:tc>
                <w:tcPr>
                  <w:tcW w:w="1005" w:type="dxa"/>
                  <w:shd w:val="clear" w:color="auto" w:fill="auto"/>
                  <w:noWrap w:val="0"/>
                  <w:vAlign w:val="center"/>
                </w:tcPr>
                <w:p w14:paraId="042DC545">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900-0</w:t>
                  </w:r>
                  <w:r>
                    <w:rPr>
                      <w:rFonts w:hint="eastAsia" w:ascii="Times New Roman" w:hAnsi="Times New Roman" w:eastAsia="宋体" w:cs="Times New Roman"/>
                      <w:b w:val="0"/>
                      <w:bCs w:val="0"/>
                      <w:color w:val="auto"/>
                      <w:kern w:val="2"/>
                      <w:sz w:val="21"/>
                      <w:szCs w:val="24"/>
                      <w:u w:val="none"/>
                      <w:lang w:val="en-US" w:eastAsia="zh-CN" w:bidi="ar-SA"/>
                    </w:rPr>
                    <w:t>07</w:t>
                  </w:r>
                  <w:r>
                    <w:rPr>
                      <w:rFonts w:hint="default" w:ascii="Times New Roman" w:hAnsi="Times New Roman" w:eastAsia="宋体" w:cs="Times New Roman"/>
                      <w:b w:val="0"/>
                      <w:bCs w:val="0"/>
                      <w:color w:val="auto"/>
                      <w:kern w:val="2"/>
                      <w:sz w:val="21"/>
                      <w:szCs w:val="24"/>
                      <w:u w:val="none"/>
                      <w:lang w:val="en-US" w:eastAsia="zh-CN" w:bidi="ar-SA"/>
                    </w:rPr>
                    <w:t>-</w:t>
                  </w:r>
                  <w:r>
                    <w:rPr>
                      <w:rFonts w:hint="eastAsia" w:ascii="Times New Roman" w:hAnsi="Times New Roman" w:eastAsia="宋体" w:cs="Times New Roman"/>
                      <w:b w:val="0"/>
                      <w:bCs w:val="0"/>
                      <w:color w:val="auto"/>
                      <w:kern w:val="2"/>
                      <w:sz w:val="21"/>
                      <w:szCs w:val="24"/>
                      <w:u w:val="none"/>
                      <w:lang w:val="en-US" w:eastAsia="zh-CN" w:bidi="ar-SA"/>
                    </w:rPr>
                    <w:t>09</w:t>
                  </w:r>
                </w:p>
              </w:tc>
              <w:tc>
                <w:tcPr>
                  <w:tcW w:w="817" w:type="dxa"/>
                  <w:shd w:val="clear" w:color="auto" w:fill="auto"/>
                  <w:noWrap w:val="0"/>
                  <w:vAlign w:val="center"/>
                </w:tcPr>
                <w:p w14:paraId="6AA128FB">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固体</w:t>
                  </w:r>
                </w:p>
              </w:tc>
              <w:tc>
                <w:tcPr>
                  <w:tcW w:w="1058" w:type="dxa"/>
                  <w:shd w:val="clear" w:color="auto" w:fill="auto"/>
                  <w:noWrap w:val="0"/>
                  <w:vAlign w:val="center"/>
                </w:tcPr>
                <w:p w14:paraId="704F37F6">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0.2</w:t>
                  </w:r>
                </w:p>
              </w:tc>
              <w:tc>
                <w:tcPr>
                  <w:tcW w:w="1955" w:type="dxa"/>
                  <w:vMerge w:val="continue"/>
                  <w:noWrap w:val="0"/>
                  <w:vAlign w:val="center"/>
                </w:tcPr>
                <w:p w14:paraId="593B9E96">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p>
              </w:tc>
            </w:tr>
            <w:tr w14:paraId="57E2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01" w:type="dxa"/>
                  <w:vMerge w:val="continue"/>
                  <w:noWrap w:val="0"/>
                  <w:vAlign w:val="center"/>
                </w:tcPr>
                <w:p w14:paraId="381CE9A5">
                  <w:pPr>
                    <w:pStyle w:val="42"/>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4"/>
                      <w:u w:val="none"/>
                      <w:lang w:val="en-US" w:eastAsia="zh-CN" w:bidi="ar-SA"/>
                    </w:rPr>
                  </w:pPr>
                </w:p>
              </w:tc>
              <w:tc>
                <w:tcPr>
                  <w:tcW w:w="1153" w:type="dxa"/>
                  <w:shd w:val="clear" w:color="auto" w:fill="auto"/>
                  <w:noWrap w:val="0"/>
                  <w:vAlign w:val="center"/>
                </w:tcPr>
                <w:p w14:paraId="575CD27F">
                  <w:pPr>
                    <w:pStyle w:val="42"/>
                    <w:keepNext w:val="0"/>
                    <w:keepLines w:val="0"/>
                    <w:suppressLineNumbers w:val="0"/>
                    <w:spacing w:before="0" w:beforeAutospacing="0" w:after="0" w:afterAutospacing="0"/>
                    <w:ind w:left="0" w:leftChars="0" w:right="0" w:rightChars="0" w:firstLine="0" w:firstLineChars="0"/>
                    <w:rPr>
                      <w:rFonts w:hint="default"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废滤芯</w:t>
                  </w:r>
                </w:p>
              </w:tc>
              <w:tc>
                <w:tcPr>
                  <w:tcW w:w="767" w:type="dxa"/>
                  <w:shd w:val="clear" w:color="auto" w:fill="auto"/>
                  <w:noWrap w:val="0"/>
                  <w:vAlign w:val="center"/>
                </w:tcPr>
                <w:p w14:paraId="6C4EEB1C">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shd w:val="clear" w:color="auto" w:fill="auto"/>
                  <w:noWrap w:val="0"/>
                  <w:vAlign w:val="center"/>
                </w:tcPr>
                <w:p w14:paraId="4F2C3EF7">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HW49</w:t>
                  </w:r>
                </w:p>
              </w:tc>
              <w:tc>
                <w:tcPr>
                  <w:tcW w:w="1005" w:type="dxa"/>
                  <w:shd w:val="clear" w:color="auto" w:fill="auto"/>
                  <w:noWrap w:val="0"/>
                  <w:vAlign w:val="center"/>
                </w:tcPr>
                <w:p w14:paraId="1D17EDB5">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900-041-49</w:t>
                  </w:r>
                </w:p>
              </w:tc>
              <w:tc>
                <w:tcPr>
                  <w:tcW w:w="817" w:type="dxa"/>
                  <w:shd w:val="clear" w:color="auto" w:fill="auto"/>
                  <w:noWrap w:val="0"/>
                  <w:vAlign w:val="center"/>
                </w:tcPr>
                <w:p w14:paraId="0FE6A004">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固体</w:t>
                  </w:r>
                </w:p>
              </w:tc>
              <w:tc>
                <w:tcPr>
                  <w:tcW w:w="1058" w:type="dxa"/>
                  <w:shd w:val="clear" w:color="auto" w:fill="auto"/>
                  <w:noWrap w:val="0"/>
                  <w:vAlign w:val="center"/>
                </w:tcPr>
                <w:p w14:paraId="20CA7EC1">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2.809</w:t>
                  </w:r>
                </w:p>
              </w:tc>
              <w:tc>
                <w:tcPr>
                  <w:tcW w:w="1955" w:type="dxa"/>
                  <w:vMerge w:val="continue"/>
                  <w:noWrap w:val="0"/>
                  <w:vAlign w:val="center"/>
                </w:tcPr>
                <w:p w14:paraId="37034B54">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p>
              </w:tc>
            </w:tr>
            <w:tr w14:paraId="73CE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01" w:type="dxa"/>
                  <w:vMerge w:val="restart"/>
                  <w:noWrap w:val="0"/>
                  <w:vAlign w:val="center"/>
                </w:tcPr>
                <w:p w14:paraId="4E6FBC80">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设备维护保养</w:t>
                  </w:r>
                </w:p>
              </w:tc>
              <w:tc>
                <w:tcPr>
                  <w:tcW w:w="1153" w:type="dxa"/>
                  <w:noWrap w:val="0"/>
                  <w:vAlign w:val="center"/>
                </w:tcPr>
                <w:p w14:paraId="1CDC004B">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废润滑油</w:t>
                  </w:r>
                </w:p>
              </w:tc>
              <w:tc>
                <w:tcPr>
                  <w:tcW w:w="767" w:type="dxa"/>
                  <w:noWrap w:val="0"/>
                  <w:vAlign w:val="center"/>
                </w:tcPr>
                <w:p w14:paraId="4DE7F640">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noWrap w:val="0"/>
                  <w:vAlign w:val="center"/>
                </w:tcPr>
                <w:p w14:paraId="32C1C284">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HW08</w:t>
                  </w:r>
                </w:p>
              </w:tc>
              <w:tc>
                <w:tcPr>
                  <w:tcW w:w="1005" w:type="dxa"/>
                  <w:noWrap w:val="0"/>
                  <w:vAlign w:val="center"/>
                </w:tcPr>
                <w:p w14:paraId="41B8810D">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900-249-08</w:t>
                  </w:r>
                </w:p>
              </w:tc>
              <w:tc>
                <w:tcPr>
                  <w:tcW w:w="817" w:type="dxa"/>
                  <w:noWrap w:val="0"/>
                  <w:vAlign w:val="center"/>
                </w:tcPr>
                <w:p w14:paraId="72AA33EE">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液体</w:t>
                  </w:r>
                </w:p>
              </w:tc>
              <w:tc>
                <w:tcPr>
                  <w:tcW w:w="1058" w:type="dxa"/>
                  <w:noWrap w:val="0"/>
                  <w:vAlign w:val="center"/>
                </w:tcPr>
                <w:p w14:paraId="23CEA1C0">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3.0</w:t>
                  </w:r>
                </w:p>
              </w:tc>
              <w:tc>
                <w:tcPr>
                  <w:tcW w:w="1955" w:type="dxa"/>
                  <w:vMerge w:val="restart"/>
                  <w:noWrap w:val="0"/>
                  <w:vAlign w:val="center"/>
                </w:tcPr>
                <w:p w14:paraId="30B8A068">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暂存危废间，定期有资质单位回收</w:t>
                  </w:r>
                </w:p>
              </w:tc>
            </w:tr>
            <w:tr w14:paraId="2C9E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01" w:type="dxa"/>
                  <w:vMerge w:val="continue"/>
                  <w:noWrap w:val="0"/>
                  <w:vAlign w:val="center"/>
                </w:tcPr>
                <w:p w14:paraId="345C780D">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p>
              </w:tc>
              <w:tc>
                <w:tcPr>
                  <w:tcW w:w="1153" w:type="dxa"/>
                  <w:noWrap w:val="0"/>
                  <w:vAlign w:val="center"/>
                </w:tcPr>
                <w:p w14:paraId="6269AE06">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废含油抹布</w:t>
                  </w:r>
                </w:p>
              </w:tc>
              <w:tc>
                <w:tcPr>
                  <w:tcW w:w="767" w:type="dxa"/>
                  <w:noWrap w:val="0"/>
                  <w:vAlign w:val="center"/>
                </w:tcPr>
                <w:p w14:paraId="132A773E">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noWrap w:val="0"/>
                  <w:vAlign w:val="center"/>
                </w:tcPr>
                <w:p w14:paraId="76932D2D">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HW49</w:t>
                  </w:r>
                </w:p>
              </w:tc>
              <w:tc>
                <w:tcPr>
                  <w:tcW w:w="1005" w:type="dxa"/>
                  <w:noWrap w:val="0"/>
                  <w:vAlign w:val="center"/>
                </w:tcPr>
                <w:p w14:paraId="0D0178AF">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900-041-49</w:t>
                  </w:r>
                </w:p>
              </w:tc>
              <w:tc>
                <w:tcPr>
                  <w:tcW w:w="817" w:type="dxa"/>
                  <w:noWrap w:val="0"/>
                  <w:vAlign w:val="center"/>
                </w:tcPr>
                <w:p w14:paraId="472677F7">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固体</w:t>
                  </w:r>
                </w:p>
              </w:tc>
              <w:tc>
                <w:tcPr>
                  <w:tcW w:w="1058" w:type="dxa"/>
                  <w:noWrap w:val="0"/>
                  <w:vAlign w:val="center"/>
                </w:tcPr>
                <w:p w14:paraId="0A44DF3E">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0.8</w:t>
                  </w:r>
                </w:p>
              </w:tc>
              <w:tc>
                <w:tcPr>
                  <w:tcW w:w="1955" w:type="dxa"/>
                  <w:vMerge w:val="continue"/>
                  <w:noWrap w:val="0"/>
                  <w:vAlign w:val="center"/>
                </w:tcPr>
                <w:p w14:paraId="4D80F96D">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p>
              </w:tc>
            </w:tr>
            <w:tr w14:paraId="7B83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01" w:type="dxa"/>
                  <w:vMerge w:val="continue"/>
                  <w:noWrap w:val="0"/>
                  <w:vAlign w:val="center"/>
                </w:tcPr>
                <w:p w14:paraId="116D519D">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p>
              </w:tc>
              <w:tc>
                <w:tcPr>
                  <w:tcW w:w="1153" w:type="dxa"/>
                  <w:noWrap w:val="0"/>
                  <w:vAlign w:val="center"/>
                </w:tcPr>
                <w:p w14:paraId="31F98AAE">
                  <w:pPr>
                    <w:pStyle w:val="4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废润滑油桶</w:t>
                  </w:r>
                </w:p>
              </w:tc>
              <w:tc>
                <w:tcPr>
                  <w:tcW w:w="767" w:type="dxa"/>
                  <w:noWrap w:val="0"/>
                  <w:vAlign w:val="center"/>
                </w:tcPr>
                <w:p w14:paraId="2249B2B5">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危险固废</w:t>
                  </w:r>
                </w:p>
              </w:tc>
              <w:tc>
                <w:tcPr>
                  <w:tcW w:w="796" w:type="dxa"/>
                  <w:noWrap w:val="0"/>
                  <w:vAlign w:val="center"/>
                </w:tcPr>
                <w:p w14:paraId="1CBB8979">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kern w:val="2"/>
                      <w:sz w:val="21"/>
                      <w:szCs w:val="24"/>
                      <w:u w:val="none"/>
                      <w:lang w:val="en-US" w:eastAsia="zh-CN" w:bidi="ar-SA"/>
                    </w:rPr>
                    <w:t>HW49</w:t>
                  </w:r>
                </w:p>
              </w:tc>
              <w:tc>
                <w:tcPr>
                  <w:tcW w:w="1005" w:type="dxa"/>
                  <w:noWrap w:val="0"/>
                  <w:vAlign w:val="center"/>
                </w:tcPr>
                <w:p w14:paraId="2550D641">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900-041-49</w:t>
                  </w:r>
                </w:p>
              </w:tc>
              <w:tc>
                <w:tcPr>
                  <w:tcW w:w="817" w:type="dxa"/>
                  <w:noWrap w:val="0"/>
                  <w:vAlign w:val="center"/>
                </w:tcPr>
                <w:p w14:paraId="314981D7">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none"/>
                      <w:lang w:val="en-US" w:eastAsia="zh-CN" w:bidi="ar-SA"/>
                    </w:rPr>
                    <w:t>固体</w:t>
                  </w:r>
                </w:p>
              </w:tc>
              <w:tc>
                <w:tcPr>
                  <w:tcW w:w="1058" w:type="dxa"/>
                  <w:noWrap w:val="0"/>
                  <w:vAlign w:val="center"/>
                </w:tcPr>
                <w:p w14:paraId="665AA311">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 w:val="0"/>
                      <w:bCs w:val="0"/>
                      <w:color w:val="auto"/>
                      <w:kern w:val="2"/>
                      <w:sz w:val="21"/>
                      <w:szCs w:val="24"/>
                      <w:u w:val="none"/>
                      <w:lang w:val="en-US" w:eastAsia="zh-CN" w:bidi="ar-SA"/>
                    </w:rPr>
                    <w:t>1.4</w:t>
                  </w:r>
                </w:p>
              </w:tc>
              <w:tc>
                <w:tcPr>
                  <w:tcW w:w="1955" w:type="dxa"/>
                  <w:vMerge w:val="continue"/>
                  <w:noWrap w:val="0"/>
                  <w:vAlign w:val="center"/>
                </w:tcPr>
                <w:p w14:paraId="71461685">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none"/>
                      <w:lang w:val="en-US" w:eastAsia="zh-CN" w:bidi="ar-SA"/>
                    </w:rPr>
                  </w:pPr>
                </w:p>
              </w:tc>
            </w:tr>
          </w:tbl>
          <w:p w14:paraId="27846506">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4.3环境管理要求</w:t>
            </w:r>
          </w:p>
          <w:p w14:paraId="7BE6444F">
            <w:pPr>
              <w:pStyle w:val="12"/>
              <w:keepNext w:val="0"/>
              <w:keepLines w:val="0"/>
              <w:suppressLineNumbers w:val="0"/>
              <w:snapToGrid/>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w:t>
            </w:r>
            <w:r>
              <w:rPr>
                <w:rFonts w:hint="eastAsia" w:ascii="Times New Roman" w:hAnsi="Times New Roman"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rPr>
              <w:t>一般工业固废环境管理要求</w:t>
            </w:r>
          </w:p>
          <w:p w14:paraId="3F98BA78">
            <w:pPr>
              <w:pStyle w:val="12"/>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①一般工业固废贮存设施可行性分析</w:t>
            </w:r>
          </w:p>
          <w:p w14:paraId="213E5E70">
            <w:pPr>
              <w:pStyle w:val="12"/>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公司</w:t>
            </w:r>
            <w:r>
              <w:rPr>
                <w:rFonts w:hint="eastAsia" w:ascii="Times New Roman" w:hAnsi="Times New Roman" w:eastAsia="宋体" w:cs="Times New Roman"/>
                <w:color w:val="auto"/>
                <w:sz w:val="24"/>
                <w:szCs w:val="24"/>
                <w:highlight w:val="none"/>
                <w:lang w:val="en-US" w:eastAsia="zh-CN"/>
              </w:rPr>
              <w:t>在</w:t>
            </w:r>
            <w:r>
              <w:rPr>
                <w:rFonts w:hint="eastAsia" w:cs="Times New Roman"/>
                <w:color w:val="auto"/>
                <w:sz w:val="24"/>
                <w:szCs w:val="24"/>
                <w:highlight w:val="none"/>
                <w:lang w:val="en-US" w:eastAsia="zh-CN"/>
              </w:rPr>
              <w:t>厂房东侧</w:t>
            </w:r>
            <w:r>
              <w:rPr>
                <w:rFonts w:hint="eastAsia" w:ascii="Times New Roman" w:hAnsi="Times New Roman" w:eastAsia="宋体"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rPr>
              <w:t>一般工业固废暂存间1个，总占地面积约为</w:t>
            </w:r>
            <w:r>
              <w:rPr>
                <w:rFonts w:hint="eastAsia" w:cs="Times New Roman"/>
                <w:color w:val="auto"/>
                <w:sz w:val="24"/>
                <w:szCs w:val="24"/>
                <w:highlight w:val="none"/>
                <w:lang w:val="en-US" w:eastAsia="zh-CN"/>
              </w:rPr>
              <w:t>57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。一般工业固废暂存间位于室内，可做到“防扬散、防流失、防渗漏”。一般工业固废收集后分类贮存于一般工业固废暂存间内，而后定期外售处置。</w:t>
            </w:r>
          </w:p>
          <w:p w14:paraId="2888AEF6">
            <w:pPr>
              <w:pStyle w:val="12"/>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综上所述，厂区</w:t>
            </w:r>
            <w:r>
              <w:rPr>
                <w:rFonts w:hint="eastAsia" w:ascii="Times New Roman" w:hAnsi="Times New Roman" w:eastAsia="宋体" w:cs="Times New Roman"/>
                <w:color w:val="auto"/>
                <w:sz w:val="24"/>
                <w:szCs w:val="24"/>
                <w:highlight w:val="none"/>
                <w:lang w:val="en-US" w:eastAsia="zh-CN"/>
              </w:rPr>
              <w:t>拟建的</w:t>
            </w:r>
            <w:r>
              <w:rPr>
                <w:rFonts w:hint="default" w:ascii="Times New Roman" w:hAnsi="Times New Roman" w:eastAsia="宋体" w:cs="Times New Roman"/>
                <w:color w:val="auto"/>
                <w:sz w:val="24"/>
                <w:szCs w:val="24"/>
                <w:highlight w:val="none"/>
              </w:rPr>
              <w:t>一般工业固废暂存间可满足项目完成后全厂产生的一般工业固废贮存需求。</w:t>
            </w:r>
          </w:p>
          <w:p w14:paraId="1C39FA4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②一般</w:t>
            </w:r>
            <w:r>
              <w:rPr>
                <w:rFonts w:hint="default" w:ascii="Times New Roman" w:hAnsi="Times New Roman" w:eastAsia="宋体" w:cs="Times New Roman"/>
                <w:color w:val="auto"/>
                <w:sz w:val="24"/>
                <w:highlight w:val="none"/>
              </w:rPr>
              <w:t>工业</w:t>
            </w:r>
            <w:r>
              <w:rPr>
                <w:rFonts w:hint="default" w:ascii="Times New Roman" w:hAnsi="Times New Roman" w:eastAsia="宋体" w:cs="Times New Roman"/>
                <w:bCs/>
                <w:color w:val="auto"/>
                <w:sz w:val="24"/>
                <w:highlight w:val="none"/>
              </w:rPr>
              <w:t>固废暂存间</w:t>
            </w:r>
            <w:r>
              <w:rPr>
                <w:rFonts w:hint="default" w:ascii="Times New Roman" w:hAnsi="Times New Roman" w:eastAsia="宋体" w:cs="Times New Roman"/>
                <w:color w:val="auto"/>
                <w:sz w:val="24"/>
                <w:highlight w:val="none"/>
              </w:rPr>
              <w:t>环境管理要求</w:t>
            </w:r>
          </w:p>
          <w:p w14:paraId="436FBD21">
            <w:pPr>
              <w:pStyle w:val="12"/>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本项目一般工业固废应按照相关要求分类收集贮存，暂存场所应满足《一般工业固体废物贮存和填埋污染控制标准》（GB18599-2020）、《环境保护图形标志—固体废物贮存（处置场）》（GB15562.2-1995）等规定要求。</w:t>
            </w:r>
          </w:p>
          <w:p w14:paraId="7FA4E4D7">
            <w:pPr>
              <w:pStyle w:val="12"/>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1贮存、处置场的建设类型，必须与将要堆放的一般工业固体废物的类别相一致。</w:t>
            </w:r>
          </w:p>
          <w:p w14:paraId="177D37A9">
            <w:pPr>
              <w:pStyle w:val="12"/>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2为保障设施、设备正常运营，必要时应采取措施防止地基下沉，尤其是防止不均匀或局部下沉。</w:t>
            </w:r>
          </w:p>
          <w:p w14:paraId="0029195E">
            <w:pPr>
              <w:pStyle w:val="12"/>
              <w:keepNext w:val="0"/>
              <w:keepLines w:val="0"/>
              <w:suppressLineNumbers w:val="0"/>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3贮存、处置场的使用单位，应建立档案制度。应将入场的一般工业固体废物的种类和数量以及下列资料，详细记录在案，长期保存，供随时查阅。</w:t>
            </w:r>
          </w:p>
          <w:p w14:paraId="0001D8DD">
            <w:pPr>
              <w:pStyle w:val="12"/>
              <w:keepNext w:val="0"/>
              <w:keepLines w:val="0"/>
              <w:suppressLineNumbers w:val="0"/>
              <w:snapToGrid/>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4"/>
                <w:highlight w:val="none"/>
                <w:u w:val="none"/>
                <w:lang w:eastAsia="zh-CN"/>
              </w:rPr>
            </w:pPr>
            <w:r>
              <w:rPr>
                <w:rFonts w:hint="default" w:ascii="Times New Roman" w:hAnsi="Times New Roman" w:eastAsia="宋体" w:cs="Times New Roman"/>
                <w:b/>
                <w:bCs w:val="0"/>
                <w:color w:val="auto"/>
                <w:sz w:val="24"/>
                <w:szCs w:val="24"/>
                <w:highlight w:val="none"/>
                <w:u w:val="none"/>
                <w:lang w:eastAsia="zh-CN"/>
              </w:rPr>
              <w:t>（</w:t>
            </w:r>
            <w:r>
              <w:rPr>
                <w:rFonts w:hint="eastAsia" w:cs="Times New Roman"/>
                <w:b/>
                <w:bCs w:val="0"/>
                <w:color w:val="auto"/>
                <w:sz w:val="24"/>
                <w:szCs w:val="24"/>
                <w:highlight w:val="none"/>
                <w:u w:val="none"/>
                <w:lang w:val="en-US" w:eastAsia="zh-CN"/>
              </w:rPr>
              <w:t>3</w:t>
            </w:r>
            <w:r>
              <w:rPr>
                <w:rFonts w:hint="default" w:ascii="Times New Roman" w:hAnsi="Times New Roman" w:eastAsia="宋体" w:cs="Times New Roman"/>
                <w:b/>
                <w:bCs w:val="0"/>
                <w:color w:val="auto"/>
                <w:sz w:val="24"/>
                <w:szCs w:val="24"/>
                <w:highlight w:val="none"/>
                <w:u w:val="none"/>
                <w:lang w:eastAsia="zh-CN"/>
              </w:rPr>
              <w:t>）</w:t>
            </w:r>
            <w:r>
              <w:rPr>
                <w:rFonts w:hint="eastAsia" w:ascii="Times New Roman" w:hAnsi="Times New Roman" w:eastAsia="宋体" w:cs="Times New Roman"/>
                <w:b/>
                <w:bCs w:val="0"/>
                <w:color w:val="auto"/>
                <w:sz w:val="24"/>
                <w:szCs w:val="24"/>
                <w:highlight w:val="none"/>
                <w:u w:val="none"/>
                <w:lang w:val="en-US" w:eastAsia="zh-CN"/>
              </w:rPr>
              <w:t>危险废物</w:t>
            </w:r>
            <w:r>
              <w:rPr>
                <w:rFonts w:hint="default" w:ascii="Times New Roman" w:hAnsi="Times New Roman" w:eastAsia="宋体" w:cs="Times New Roman"/>
                <w:b/>
                <w:bCs w:val="0"/>
                <w:color w:val="auto"/>
                <w:sz w:val="24"/>
                <w:szCs w:val="24"/>
                <w:highlight w:val="none"/>
                <w:u w:val="none"/>
              </w:rPr>
              <w:t>环境管理要求</w:t>
            </w:r>
          </w:p>
          <w:p w14:paraId="68980BE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 xml:space="preserve"> ①贮存设施应根据危险废物的形态、物理化学性质、包装形式和污染物迁移途径，采取必要的防 风、防晒、防雨、防漏、防渗、防腐以及其他环境污染防治措施，不应露天堆放危险废物。</w:t>
            </w:r>
          </w:p>
          <w:p w14:paraId="7100564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②贮存设施应根据危险废物的类别、数量、形态、物理化学性质和污染防治等要求设置必要的贮存分区，避免不相容的危险废物接触、混合。</w:t>
            </w:r>
          </w:p>
          <w:p w14:paraId="2C96E72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③贮存设施或贮存分区内地面、墙面</w:t>
            </w:r>
            <w:r>
              <w:rPr>
                <w:rFonts w:hint="eastAsia" w:cs="Times New Roman"/>
                <w:color w:val="auto"/>
                <w:sz w:val="24"/>
                <w:szCs w:val="24"/>
                <w:highlight w:val="none"/>
                <w:u w:val="none"/>
                <w:lang w:val="en-US" w:eastAsia="zh-CN"/>
              </w:rPr>
              <w:t>裙角</w:t>
            </w:r>
            <w:r>
              <w:rPr>
                <w:rFonts w:hint="eastAsia" w:ascii="Times New Roman" w:hAnsi="Times New Roman" w:eastAsia="宋体" w:cs="Times New Roman"/>
                <w:color w:val="auto"/>
                <w:sz w:val="24"/>
                <w:szCs w:val="24"/>
                <w:highlight w:val="none"/>
                <w:u w:val="none"/>
                <w:lang w:val="en-US" w:eastAsia="zh-CN"/>
              </w:rPr>
              <w:t>、堵截泄漏的围堰、接触危险废物的隔板和墙体等应采用坚固的材料建造，表面无裂缝。</w:t>
            </w:r>
          </w:p>
          <w:p w14:paraId="27D4D40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eastAsia" w:ascii="Times New Roman" w:hAnsi="Times New Roman" w:eastAsia="宋体" w:cs="Times New Roman"/>
                <w:color w:val="auto"/>
                <w:sz w:val="24"/>
                <w:szCs w:val="24"/>
                <w:highlight w:val="none"/>
                <w:u w:val="none"/>
                <w:vertAlign w:val="superscript"/>
                <w:lang w:val="en-US" w:eastAsia="zh-CN"/>
              </w:rPr>
              <w:t>-7</w:t>
            </w:r>
            <w:r>
              <w:rPr>
                <w:rFonts w:hint="eastAsia" w:ascii="Times New Roman" w:hAnsi="Times New Roman" w:eastAsia="宋体" w:cs="Times New Roman"/>
                <w:color w:val="auto"/>
                <w:sz w:val="24"/>
                <w:szCs w:val="24"/>
                <w:highlight w:val="none"/>
                <w:u w:val="none"/>
                <w:lang w:val="en-US" w:eastAsia="zh-CN"/>
              </w:rPr>
              <w:t xml:space="preserve"> cm/s），或至少2 mm 厚高密度聚乙烯膜等人工防渗材料（渗透系数不大于10</w:t>
            </w:r>
            <w:r>
              <w:rPr>
                <w:rFonts w:hint="eastAsia" w:ascii="Times New Roman" w:hAnsi="Times New Roman" w:eastAsia="宋体" w:cs="Times New Roman"/>
                <w:color w:val="auto"/>
                <w:sz w:val="24"/>
                <w:szCs w:val="24"/>
                <w:highlight w:val="none"/>
                <w:u w:val="none"/>
                <w:vertAlign w:val="superscript"/>
                <w:lang w:val="en-US" w:eastAsia="zh-CN"/>
              </w:rPr>
              <w:t>-10</w:t>
            </w:r>
            <w:r>
              <w:rPr>
                <w:rFonts w:hint="eastAsia" w:ascii="Times New Roman" w:hAnsi="Times New Roman" w:eastAsia="宋体" w:cs="Times New Roman"/>
                <w:color w:val="auto"/>
                <w:sz w:val="24"/>
                <w:szCs w:val="24"/>
                <w:highlight w:val="none"/>
                <w:u w:val="none"/>
                <w:lang w:val="en-US" w:eastAsia="zh-CN"/>
              </w:rPr>
              <w:t xml:space="preserve"> cm/s），或其他防渗性能等效的材料。</w:t>
            </w:r>
          </w:p>
          <w:p w14:paraId="1401022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14:paraId="5E4E806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⑥贮存设施应采取技术和管理措施防止无关人员进入。</w:t>
            </w:r>
          </w:p>
          <w:p w14:paraId="514FB91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1）危险废物的收集包装</w:t>
            </w:r>
          </w:p>
          <w:p w14:paraId="2ECF92F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① 容器和包装物材质、内衬应与盛装的危险废物相容。</w:t>
            </w:r>
          </w:p>
          <w:p w14:paraId="5D5748B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②针对不同类别、形态、物理化学性质的危险废物，其容器和包装物应满足相应的防渗、防漏、防腐和强度等要求。</w:t>
            </w:r>
          </w:p>
          <w:p w14:paraId="72275BA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③硬质容器和包装物及其支护结构堆叠码放时不应有明显变形，无破损泄漏。</w:t>
            </w:r>
          </w:p>
          <w:p w14:paraId="000797C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④柔性容器和包装物堆叠码放时应封口严密，无破损泄漏。</w:t>
            </w:r>
          </w:p>
          <w:p w14:paraId="208412B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⑤使用容器盛装液态、半固态危险废物时，容器内部应留有适当的空间，以适应因温度变化等可能 引发的收缩和膨胀，防止其导致容器渗漏或永久变形。</w:t>
            </w:r>
          </w:p>
          <w:p w14:paraId="1A3F407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⑥容器和包装物外表面应保持清洁。</w:t>
            </w:r>
          </w:p>
          <w:p w14:paraId="26B903F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2）危险废物的贮存要求</w:t>
            </w:r>
          </w:p>
          <w:p w14:paraId="5E3271E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a.本项目设置有2个危废间，一个是存放废铁屑和废切削液（废铁屑暂存间57m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）、一个是存放其他危废的（综合危废间57m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用于暂存项目生产过程产生的危险废物，各类危废之间应分区存放。</w:t>
            </w:r>
          </w:p>
          <w:p w14:paraId="095A7C8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i w:val="0"/>
                <w:iCs w:val="0"/>
                <w:color w:val="auto"/>
                <w:sz w:val="24"/>
                <w:szCs w:val="24"/>
                <w:highlight w:val="none"/>
                <w:u w:val="single"/>
                <w:lang w:val="en-US" w:eastAsia="zh-CN"/>
              </w:rPr>
            </w:pPr>
            <w:r>
              <w:rPr>
                <w:rFonts w:hint="eastAsia" w:cs="Times New Roman"/>
                <w:i w:val="0"/>
                <w:iCs w:val="0"/>
                <w:color w:val="auto"/>
                <w:sz w:val="24"/>
                <w:szCs w:val="24"/>
                <w:highlight w:val="none"/>
                <w:u w:val="single"/>
                <w:lang w:val="en-US" w:eastAsia="zh-CN"/>
              </w:rPr>
              <w:t>废铁屑暂存间主要贮存废铁屑和废切削液，废铁屑置于托盘架上，进行滴滤，直至无滴滤方可由回收单位进行回收，收集的切削液继续回用于生产。每季度处理1次废铁屑，切削液每年跟换一次，更换的废切削液暂存在废铁屑暂存间，第二天即通知有资质的危废运输单位前来运输至金属冶炼厂进行回收利用，每次转移必须填报转移联单、且进入固废管理系统进行申报，暂存时间不会超过1个月。</w:t>
            </w:r>
          </w:p>
          <w:p w14:paraId="230130F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综合危废间各</w:t>
            </w:r>
            <w:r>
              <w:rPr>
                <w:rFonts w:hint="eastAsia" w:ascii="Times New Roman" w:hAnsi="Times New Roman" w:eastAsia="宋体" w:cs="Times New Roman"/>
                <w:color w:val="auto"/>
                <w:sz w:val="24"/>
                <w:szCs w:val="24"/>
                <w:highlight w:val="none"/>
                <w:u w:val="none"/>
                <w:lang w:val="en-US" w:eastAsia="zh-CN"/>
              </w:rPr>
              <w:t>区域内均放置防渗托盘，每个区域间留有过道进行间隔。空桶盖好盖子，放置在托盘上。项目危废置于各暂存区的防渗托盘上。应清楚地标明内盛物的类别与危害说明，以及数量和装进日期，设置危险废物识别标志。</w:t>
            </w:r>
          </w:p>
          <w:p w14:paraId="7B1004D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b</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按《环境保护图形标识一固体废物贮存(处置)场》(GB15562.2)设置警示标志。</w:t>
            </w:r>
          </w:p>
          <w:p w14:paraId="5665217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c</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必须有耐腐蚀的硬化地面和基础防渗层，地面无裂隙；设施底部必须高于地下水最高水位。</w:t>
            </w:r>
          </w:p>
          <w:p w14:paraId="5858867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d</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要求必要的防风、防雨、防晒措施。</w:t>
            </w:r>
          </w:p>
          <w:p w14:paraId="2161197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e</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要有隔离设施或</w:t>
            </w:r>
            <w:r>
              <w:rPr>
                <w:rFonts w:hint="eastAsia" w:cs="Times New Roman"/>
                <w:color w:val="auto"/>
                <w:sz w:val="24"/>
                <w:szCs w:val="24"/>
                <w:highlight w:val="none"/>
                <w:u w:val="none"/>
                <w:lang w:val="en-US" w:eastAsia="zh-CN"/>
              </w:rPr>
              <w:t>其他</w:t>
            </w:r>
            <w:r>
              <w:rPr>
                <w:rFonts w:hint="eastAsia" w:ascii="Times New Roman" w:hAnsi="Times New Roman" w:eastAsia="宋体" w:cs="Times New Roman"/>
                <w:color w:val="auto"/>
                <w:sz w:val="24"/>
                <w:szCs w:val="24"/>
                <w:highlight w:val="none"/>
                <w:u w:val="none"/>
                <w:lang w:val="en-US" w:eastAsia="zh-CN"/>
              </w:rPr>
              <w:t>防护栅栏。</w:t>
            </w:r>
          </w:p>
          <w:p w14:paraId="010D8F1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f</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应配备通讯设备、照明设施、安全防护服装及工具，并设有报警装置和应急防护设施。</w:t>
            </w:r>
          </w:p>
          <w:p w14:paraId="619FE00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③危险废物的运输要求</w:t>
            </w:r>
          </w:p>
          <w:p w14:paraId="11EE8B0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项目各类危险废物从项目车间区域收集并使用专用容器贮放由人工运送到厂区危废仓库，不会产生散落、泄漏等情况，因此不会对环境产生不良影响。委托的相关危废处置单位在进行危废运输时应具备危废运输资质证书，并由专用容器收集，</w:t>
            </w:r>
            <w:r>
              <w:rPr>
                <w:rFonts w:hint="eastAsia" w:cs="Times New Roman"/>
                <w:color w:val="auto"/>
                <w:sz w:val="24"/>
                <w:szCs w:val="24"/>
                <w:highlight w:val="none"/>
                <w:u w:val="single"/>
                <w:lang w:val="en-US" w:eastAsia="zh-CN"/>
              </w:rPr>
              <w:t>危废转移时需要填写转移联单、并在固废管理系统进行填报，</w:t>
            </w:r>
            <w:r>
              <w:rPr>
                <w:rFonts w:hint="eastAsia" w:ascii="Times New Roman" w:hAnsi="Times New Roman" w:eastAsia="宋体" w:cs="Times New Roman"/>
                <w:color w:val="auto"/>
                <w:sz w:val="24"/>
                <w:szCs w:val="24"/>
                <w:highlight w:val="none"/>
                <w:u w:val="none"/>
                <w:lang w:val="en-US" w:eastAsia="zh-CN"/>
              </w:rPr>
              <w:t>因此，项目危险废物运输过程不会对环境造成影响。</w:t>
            </w:r>
          </w:p>
          <w:p w14:paraId="3CACCBE4">
            <w:pPr>
              <w:keepNext w:val="0"/>
              <w:keepLines w:val="0"/>
              <w:suppressLineNumbers w:val="0"/>
              <w:spacing w:before="0" w:beforeAutospacing="0" w:after="0" w:afterAutospacing="0" w:line="360" w:lineRule="auto"/>
              <w:ind w:left="0" w:right="0" w:firstLine="480" w:firstLineChars="200"/>
              <w:rPr>
                <w:rFonts w:hint="default"/>
                <w:color w:val="auto"/>
              </w:rPr>
            </w:pPr>
            <w:r>
              <w:rPr>
                <w:rFonts w:hint="eastAsia" w:ascii="Times New Roman" w:hAnsi="Times New Roman" w:eastAsia="宋体" w:cs="Times New Roman"/>
                <w:color w:val="auto"/>
                <w:sz w:val="24"/>
                <w:szCs w:val="24"/>
                <w:highlight w:val="none"/>
                <w:u w:val="none"/>
                <w:lang w:val="en-US" w:eastAsia="zh-CN"/>
              </w:rPr>
              <w:t>建设单位应分类收集、贮存、处理各类工业固体废物；厂内应记录各类固体废物相关台账信息，包括固废名称、产生量、贮存量、利用量、处理量、处置方式、处置委托单位等信息。</w:t>
            </w:r>
          </w:p>
          <w:p w14:paraId="60AE5CED">
            <w:pPr>
              <w:pStyle w:val="12"/>
              <w:keepNext w:val="0"/>
              <w:keepLines w:val="0"/>
              <w:suppressLineNumbers w:val="0"/>
              <w:snapToGrid/>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4.4、固体废物环境影响分析结论</w:t>
            </w:r>
          </w:p>
          <w:p w14:paraId="1269B4E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综上所述，项目产生的各类固体废物均得到合理、妥善处置，对周边环境影响较小</w:t>
            </w:r>
            <w:r>
              <w:rPr>
                <w:rFonts w:hint="eastAsia" w:ascii="Times New Roman" w:hAnsi="Times New Roman" w:eastAsia="宋体" w:cs="Times New Roman"/>
                <w:color w:val="auto"/>
                <w:sz w:val="24"/>
                <w:highlight w:val="none"/>
                <w:lang w:eastAsia="zh-CN"/>
              </w:rPr>
              <w:t>。</w:t>
            </w:r>
          </w:p>
          <w:p w14:paraId="0D3FABE0">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、地下水、土壤环境影响分析</w:t>
            </w:r>
            <w:r>
              <w:rPr>
                <w:rFonts w:hint="eastAsia" w:ascii="Times New Roman" w:hAnsi="Times New Roman" w:eastAsia="宋体" w:cs="Times New Roman"/>
                <w:b/>
                <w:bCs/>
                <w:color w:val="auto"/>
                <w:sz w:val="24"/>
                <w:lang w:val="en-US" w:eastAsia="zh-CN"/>
              </w:rPr>
              <w:t xml:space="preserve"> </w:t>
            </w:r>
          </w:p>
          <w:p w14:paraId="21FE9C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参考《建设项目环境影响报告表编制技术指南（污染影响类）（试行）》，厂内地面已全部硬化，危废间设置防渗防漏措施，本项目不存在地下水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土壤</w:t>
            </w:r>
            <w:r>
              <w:rPr>
                <w:rFonts w:hint="default" w:ascii="Times New Roman" w:hAnsi="Times New Roman" w:eastAsia="宋体" w:cs="Times New Roman"/>
                <w:color w:val="auto"/>
                <w:sz w:val="24"/>
              </w:rPr>
              <w:t>污染途径，不开展地下水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土壤</w:t>
            </w:r>
            <w:r>
              <w:rPr>
                <w:rFonts w:hint="default" w:ascii="Times New Roman" w:hAnsi="Times New Roman" w:eastAsia="宋体" w:cs="Times New Roman"/>
                <w:color w:val="auto"/>
                <w:sz w:val="24"/>
              </w:rPr>
              <w:t>环境影响评价。</w:t>
            </w:r>
          </w:p>
          <w:p w14:paraId="51A8D1B2">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pacing w:val="-10"/>
                <w:sz w:val="24"/>
              </w:rPr>
            </w:pPr>
            <w:r>
              <w:rPr>
                <w:rFonts w:hint="eastAsia" w:ascii="Times New Roman" w:hAnsi="Times New Roman" w:cs="Times New Roman"/>
                <w:b/>
                <w:bCs/>
                <w:color w:val="auto"/>
                <w:spacing w:val="-10"/>
                <w:sz w:val="24"/>
                <w:lang w:val="en-US" w:eastAsia="zh-CN"/>
              </w:rPr>
              <w:t>6</w:t>
            </w:r>
            <w:r>
              <w:rPr>
                <w:rFonts w:hint="default" w:ascii="Times New Roman" w:hAnsi="Times New Roman" w:cs="Times New Roman"/>
                <w:b/>
                <w:bCs/>
                <w:color w:val="auto"/>
                <w:spacing w:val="-10"/>
                <w:sz w:val="24"/>
              </w:rPr>
              <w:t>、环境风险分析和防范措施</w:t>
            </w:r>
          </w:p>
          <w:p w14:paraId="0BE36A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建设项目环境风险评价技术导则》（HJ169-2018），环境风险评价工作等级划分为一级、二级、三级。根据建设项目涉及的物质及工艺系统危险性和所在地的环境敏感性确定环境风险潜势，按照下表确定评价工作等级。</w:t>
            </w:r>
          </w:p>
          <w:p w14:paraId="19EE6C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18" w:firstLineChars="200"/>
              <w:jc w:val="center"/>
              <w:textAlignment w:val="auto"/>
              <w:rPr>
                <w:rFonts w:hint="default" w:ascii="Times New Roman" w:hAnsi="Times New Roman" w:eastAsia="宋体" w:cs="Times New Roman"/>
                <w:b/>
                <w:color w:val="auto"/>
                <w:spacing w:val="-1"/>
                <w:sz w:val="21"/>
                <w:szCs w:val="21"/>
                <w:u w:val="none" w:color="auto"/>
              </w:rPr>
            </w:pPr>
            <w:r>
              <w:rPr>
                <w:rFonts w:hint="default" w:ascii="Times New Roman" w:hAnsi="Times New Roman" w:eastAsia="宋体" w:cs="Times New Roman"/>
                <w:b/>
                <w:color w:val="auto"/>
                <w:spacing w:val="-1"/>
                <w:sz w:val="21"/>
                <w:szCs w:val="21"/>
                <w:u w:val="none" w:color="auto"/>
              </w:rPr>
              <w:t>表</w:t>
            </w:r>
            <w:r>
              <w:rPr>
                <w:rFonts w:hint="eastAsia" w:ascii="Times New Roman" w:hAnsi="Times New Roman" w:eastAsia="宋体" w:cs="Times New Roman"/>
                <w:b/>
                <w:color w:val="auto"/>
                <w:spacing w:val="-1"/>
                <w:sz w:val="21"/>
                <w:szCs w:val="21"/>
                <w:u w:val="none" w:color="auto"/>
                <w:lang w:val="en-US" w:eastAsia="zh-CN"/>
              </w:rPr>
              <w:t>4-</w:t>
            </w:r>
            <w:r>
              <w:rPr>
                <w:rFonts w:hint="eastAsia" w:cs="Times New Roman"/>
                <w:b/>
                <w:color w:val="auto"/>
                <w:spacing w:val="-1"/>
                <w:sz w:val="21"/>
                <w:szCs w:val="21"/>
                <w:u w:val="none" w:color="auto"/>
                <w:lang w:val="en-US" w:eastAsia="zh-CN"/>
              </w:rPr>
              <w:t>17</w:t>
            </w:r>
            <w:r>
              <w:rPr>
                <w:rFonts w:hint="eastAsia" w:ascii="Times New Roman" w:hAnsi="Times New Roman" w:eastAsia="宋体" w:cs="Times New Roman"/>
                <w:b/>
                <w:color w:val="auto"/>
                <w:spacing w:val="-1"/>
                <w:sz w:val="21"/>
                <w:szCs w:val="21"/>
                <w:u w:val="none" w:color="auto"/>
                <w:lang w:val="en-US" w:eastAsia="zh-CN"/>
              </w:rPr>
              <w:t xml:space="preserve">  </w:t>
            </w:r>
            <w:r>
              <w:rPr>
                <w:rFonts w:hint="default" w:ascii="Times New Roman" w:hAnsi="Times New Roman" w:eastAsia="宋体" w:cs="Times New Roman"/>
                <w:b/>
                <w:color w:val="auto"/>
                <w:spacing w:val="-1"/>
                <w:sz w:val="21"/>
                <w:szCs w:val="21"/>
                <w:u w:val="none" w:color="auto"/>
              </w:rPr>
              <w:t>环境风险评价工作等级划分</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649"/>
              <w:gridCol w:w="1651"/>
              <w:gridCol w:w="1649"/>
              <w:gridCol w:w="1655"/>
            </w:tblGrid>
            <w:tr w14:paraId="4585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99" w:type="pct"/>
                  <w:tcBorders>
                    <w:tl2br w:val="nil"/>
                    <w:tr2bl w:val="nil"/>
                  </w:tcBorders>
                  <w:noWrap w:val="0"/>
                  <w:vAlign w:val="center"/>
                </w:tcPr>
                <w:p w14:paraId="6186A7B8">
                  <w:pPr>
                    <w:pStyle w:val="113"/>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环境风险潜势</w:t>
                  </w:r>
                </w:p>
              </w:tc>
              <w:tc>
                <w:tcPr>
                  <w:tcW w:w="999" w:type="pct"/>
                  <w:tcBorders>
                    <w:tl2br w:val="nil"/>
                    <w:tr2bl w:val="nil"/>
                  </w:tcBorders>
                  <w:noWrap w:val="0"/>
                  <w:vAlign w:val="center"/>
                </w:tcPr>
                <w:p w14:paraId="08EA9D5C">
                  <w:pPr>
                    <w:pStyle w:val="113"/>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IV、IV</w:t>
                  </w:r>
                  <w:r>
                    <w:rPr>
                      <w:rFonts w:hint="default" w:ascii="Times New Roman" w:hAnsi="Times New Roman" w:eastAsia="宋体" w:cs="Times New Roman"/>
                      <w:b/>
                      <w:bCs/>
                      <w:color w:val="auto"/>
                      <w:sz w:val="22"/>
                      <w:szCs w:val="22"/>
                      <w:u w:val="none" w:color="auto"/>
                      <w:vertAlign w:val="superscript"/>
                    </w:rPr>
                    <w:t>+</w:t>
                  </w:r>
                </w:p>
              </w:tc>
              <w:tc>
                <w:tcPr>
                  <w:tcW w:w="1000" w:type="pct"/>
                  <w:tcBorders>
                    <w:tl2br w:val="nil"/>
                    <w:tr2bl w:val="nil"/>
                  </w:tcBorders>
                  <w:noWrap w:val="0"/>
                  <w:vAlign w:val="center"/>
                </w:tcPr>
                <w:p w14:paraId="2FAA715D">
                  <w:pPr>
                    <w:pStyle w:val="113"/>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III</w:t>
                  </w:r>
                </w:p>
              </w:tc>
              <w:tc>
                <w:tcPr>
                  <w:tcW w:w="999" w:type="pct"/>
                  <w:tcBorders>
                    <w:tl2br w:val="nil"/>
                    <w:tr2bl w:val="nil"/>
                  </w:tcBorders>
                  <w:noWrap w:val="0"/>
                  <w:vAlign w:val="center"/>
                </w:tcPr>
                <w:p w14:paraId="3FD966F8">
                  <w:pPr>
                    <w:pStyle w:val="113"/>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II</w:t>
                  </w:r>
                </w:p>
              </w:tc>
              <w:tc>
                <w:tcPr>
                  <w:tcW w:w="1001" w:type="pct"/>
                  <w:tcBorders>
                    <w:tl2br w:val="nil"/>
                    <w:tr2bl w:val="nil"/>
                  </w:tcBorders>
                  <w:noWrap w:val="0"/>
                  <w:vAlign w:val="center"/>
                </w:tcPr>
                <w:p w14:paraId="37431083">
                  <w:pPr>
                    <w:pStyle w:val="113"/>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I</w:t>
                  </w:r>
                </w:p>
              </w:tc>
            </w:tr>
            <w:tr w14:paraId="3CF5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99" w:type="pct"/>
                  <w:tcBorders>
                    <w:tl2br w:val="nil"/>
                    <w:tr2bl w:val="nil"/>
                  </w:tcBorders>
                  <w:noWrap w:val="0"/>
                  <w:vAlign w:val="center"/>
                </w:tcPr>
                <w:p w14:paraId="5B26CA46">
                  <w:pPr>
                    <w:pStyle w:val="113"/>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评价工作等级</w:t>
                  </w:r>
                </w:p>
              </w:tc>
              <w:tc>
                <w:tcPr>
                  <w:tcW w:w="999" w:type="pct"/>
                  <w:tcBorders>
                    <w:tl2br w:val="nil"/>
                    <w:tr2bl w:val="nil"/>
                  </w:tcBorders>
                  <w:noWrap w:val="0"/>
                  <w:vAlign w:val="center"/>
                </w:tcPr>
                <w:p w14:paraId="7C499EFC">
                  <w:pPr>
                    <w:pStyle w:val="113"/>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一</w:t>
                  </w:r>
                </w:p>
              </w:tc>
              <w:tc>
                <w:tcPr>
                  <w:tcW w:w="1000" w:type="pct"/>
                  <w:tcBorders>
                    <w:tl2br w:val="nil"/>
                    <w:tr2bl w:val="nil"/>
                  </w:tcBorders>
                  <w:noWrap w:val="0"/>
                  <w:vAlign w:val="center"/>
                </w:tcPr>
                <w:p w14:paraId="5D33E208">
                  <w:pPr>
                    <w:pStyle w:val="113"/>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二</w:t>
                  </w:r>
                </w:p>
              </w:tc>
              <w:tc>
                <w:tcPr>
                  <w:tcW w:w="999" w:type="pct"/>
                  <w:tcBorders>
                    <w:tl2br w:val="nil"/>
                    <w:tr2bl w:val="nil"/>
                  </w:tcBorders>
                  <w:noWrap w:val="0"/>
                  <w:vAlign w:val="center"/>
                </w:tcPr>
                <w:p w14:paraId="57EB74D0">
                  <w:pPr>
                    <w:pStyle w:val="113"/>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三</w:t>
                  </w:r>
                </w:p>
              </w:tc>
              <w:tc>
                <w:tcPr>
                  <w:tcW w:w="1001" w:type="pct"/>
                  <w:tcBorders>
                    <w:tl2br w:val="nil"/>
                    <w:tr2bl w:val="nil"/>
                  </w:tcBorders>
                  <w:noWrap w:val="0"/>
                  <w:vAlign w:val="center"/>
                </w:tcPr>
                <w:p w14:paraId="5A3395E6">
                  <w:pPr>
                    <w:pStyle w:val="113"/>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简单分析</w:t>
                  </w:r>
                  <w:r>
                    <w:rPr>
                      <w:rFonts w:hint="default" w:ascii="Times New Roman" w:hAnsi="Times New Roman" w:eastAsia="宋体" w:cs="Times New Roman"/>
                      <w:color w:val="auto"/>
                      <w:sz w:val="21"/>
                      <w:szCs w:val="21"/>
                      <w:u w:val="none" w:color="auto"/>
                      <w:vertAlign w:val="superscript"/>
                    </w:rPr>
                    <w:t>a</w:t>
                  </w:r>
                </w:p>
              </w:tc>
            </w:tr>
            <w:tr w14:paraId="53C4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000" w:type="pct"/>
                  <w:gridSpan w:val="5"/>
                  <w:tcBorders>
                    <w:tl2br w:val="nil"/>
                    <w:tr2bl w:val="nil"/>
                  </w:tcBorders>
                  <w:noWrap w:val="0"/>
                  <w:vAlign w:val="top"/>
                </w:tcPr>
                <w:p w14:paraId="7F649DC1">
                  <w:pPr>
                    <w:pStyle w:val="113"/>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a是相对于详细评价工作内容而言，在描述危险物质、环境影响途径、环境危害后果、风险防范措施等方面给出定性的说明。见附录A。</w:t>
                  </w:r>
                </w:p>
              </w:tc>
            </w:tr>
          </w:tbl>
          <w:p w14:paraId="4E933C3A">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根据《建设项目环境风险评价技术导则》（HJ169-2018）中风险调查、风险潜势初判确定：计算所涉及的每种危险物质在厂界内的最大存在总量与其在附录B中对应临界量的比值Q。在不同</w:t>
            </w:r>
            <w:r>
              <w:rPr>
                <w:rFonts w:hint="eastAsia" w:ascii="Times New Roman" w:hAnsi="Times New Roman" w:eastAsia="宋体" w:cs="Times New Roman"/>
                <w:color w:val="auto"/>
                <w:sz w:val="24"/>
                <w:szCs w:val="24"/>
                <w:u w:val="none" w:color="auto"/>
                <w:lang w:eastAsia="zh-CN"/>
              </w:rPr>
              <w:t>厂区</w:t>
            </w:r>
            <w:r>
              <w:rPr>
                <w:rFonts w:hint="default" w:ascii="Times New Roman" w:hAnsi="Times New Roman" w:eastAsia="宋体" w:cs="Times New Roman"/>
                <w:color w:val="auto"/>
                <w:sz w:val="24"/>
                <w:szCs w:val="24"/>
                <w:u w:val="none" w:color="auto"/>
              </w:rPr>
              <w:t>的同一种物质，按其在厂界内的最大存在总量计算。当存在多种危险物质时，按下列公式进行计算。</w:t>
            </w:r>
          </w:p>
          <w:p w14:paraId="6562BCE3">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i/>
                <w:color w:val="auto"/>
                <w:sz w:val="24"/>
                <w:szCs w:val="24"/>
                <w:u w:val="none" w:color="auto"/>
              </w:rPr>
              <w:drawing>
                <wp:inline distT="0" distB="0" distL="114300" distR="114300">
                  <wp:extent cx="1963420" cy="539750"/>
                  <wp:effectExtent l="0" t="0" r="17780" b="12700"/>
                  <wp:docPr id="1" name="图片 10" descr="QQ截图2019030510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QQ截图20190305103333"/>
                          <pic:cNvPicPr>
                            <a:picLocks noChangeAspect="1"/>
                          </pic:cNvPicPr>
                        </pic:nvPicPr>
                        <pic:blipFill>
                          <a:blip r:embed="rId24"/>
                          <a:stretch>
                            <a:fillRect/>
                          </a:stretch>
                        </pic:blipFill>
                        <pic:spPr>
                          <a:xfrm>
                            <a:off x="0" y="0"/>
                            <a:ext cx="1963420" cy="539750"/>
                          </a:xfrm>
                          <a:prstGeom prst="rect">
                            <a:avLst/>
                          </a:prstGeom>
                          <a:noFill/>
                          <a:ln>
                            <a:noFill/>
                          </a:ln>
                        </pic:spPr>
                      </pic:pic>
                    </a:graphicData>
                  </a:graphic>
                </wp:inline>
              </w:drawing>
            </w:r>
          </w:p>
          <w:p w14:paraId="3712B1A2">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式中：q</w:t>
            </w:r>
            <w:r>
              <w:rPr>
                <w:rFonts w:hint="default" w:ascii="Times New Roman" w:hAnsi="Times New Roman" w:eastAsia="宋体" w:cs="Times New Roman"/>
                <w:color w:val="auto"/>
                <w:sz w:val="24"/>
                <w:szCs w:val="24"/>
                <w:u w:val="none" w:color="auto"/>
                <w:vertAlign w:val="subscript"/>
              </w:rPr>
              <w:t>1</w:t>
            </w:r>
            <w:r>
              <w:rPr>
                <w:rFonts w:hint="default" w:ascii="Times New Roman" w:hAnsi="Times New Roman" w:eastAsia="宋体" w:cs="Times New Roman"/>
                <w:color w:val="auto"/>
                <w:sz w:val="24"/>
                <w:szCs w:val="24"/>
                <w:u w:val="none" w:color="auto"/>
              </w:rPr>
              <w:t>、q</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、q</w:t>
            </w:r>
            <w:r>
              <w:rPr>
                <w:rFonts w:hint="default" w:ascii="Times New Roman" w:hAnsi="Times New Roman" w:eastAsia="宋体" w:cs="Times New Roman"/>
                <w:color w:val="auto"/>
                <w:sz w:val="24"/>
                <w:szCs w:val="24"/>
                <w:u w:val="none" w:color="auto"/>
                <w:vertAlign w:val="subscript"/>
              </w:rPr>
              <w:t>n</w:t>
            </w:r>
            <w:r>
              <w:rPr>
                <w:rFonts w:hint="default" w:ascii="Times New Roman" w:hAnsi="Times New Roman" w:eastAsia="宋体" w:cs="Times New Roman"/>
                <w:color w:val="auto"/>
                <w:sz w:val="24"/>
                <w:szCs w:val="24"/>
                <w:u w:val="none" w:color="auto"/>
              </w:rPr>
              <w:t>—每种危险物质的最大存在总量，t；</w:t>
            </w:r>
          </w:p>
          <w:p w14:paraId="33E683EA">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Q</w:t>
            </w:r>
            <w:r>
              <w:rPr>
                <w:rFonts w:hint="default" w:ascii="Times New Roman" w:hAnsi="Times New Roman" w:eastAsia="宋体" w:cs="Times New Roman"/>
                <w:color w:val="auto"/>
                <w:sz w:val="24"/>
                <w:szCs w:val="24"/>
                <w:u w:val="none" w:color="auto"/>
                <w:vertAlign w:val="subscript"/>
              </w:rPr>
              <w:t>1</w:t>
            </w:r>
            <w:r>
              <w:rPr>
                <w:rFonts w:hint="default" w:ascii="Times New Roman" w:hAnsi="Times New Roman" w:eastAsia="宋体" w:cs="Times New Roman"/>
                <w:color w:val="auto"/>
                <w:sz w:val="24"/>
                <w:szCs w:val="24"/>
                <w:u w:val="none" w:color="auto"/>
              </w:rPr>
              <w:t>、Q</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、Q</w:t>
            </w:r>
            <w:r>
              <w:rPr>
                <w:rFonts w:hint="default" w:ascii="Times New Roman" w:hAnsi="Times New Roman" w:eastAsia="宋体" w:cs="Times New Roman"/>
                <w:color w:val="auto"/>
                <w:sz w:val="24"/>
                <w:szCs w:val="24"/>
                <w:u w:val="none" w:color="auto"/>
                <w:vertAlign w:val="subscript"/>
              </w:rPr>
              <w:t>n</w:t>
            </w:r>
            <w:r>
              <w:rPr>
                <w:rFonts w:hint="default" w:ascii="Times New Roman" w:hAnsi="Times New Roman" w:eastAsia="宋体" w:cs="Times New Roman"/>
                <w:color w:val="auto"/>
                <w:sz w:val="24"/>
                <w:szCs w:val="24"/>
                <w:u w:val="none" w:color="auto"/>
              </w:rPr>
              <w:t>—每种危险物质的临界量，t。</w:t>
            </w:r>
          </w:p>
          <w:p w14:paraId="5EC1615B">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当Q＜1时，该项目环境风险潜势为Ⅰ。</w:t>
            </w:r>
          </w:p>
          <w:p w14:paraId="2205CB35">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当Q≥1时，将Q值划分为：（1）1≤Q＜10；（2）10≤Q＜100；（3）Q≥100。</w:t>
            </w:r>
          </w:p>
          <w:p w14:paraId="75AAB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18" w:firstLineChars="200"/>
              <w:jc w:val="center"/>
              <w:textAlignment w:val="auto"/>
              <w:rPr>
                <w:rFonts w:hint="default" w:ascii="Times New Roman" w:hAnsi="Times New Roman" w:eastAsia="宋体" w:cs="Times New Roman"/>
                <w:b/>
                <w:color w:val="auto"/>
                <w:spacing w:val="-1"/>
                <w:sz w:val="21"/>
                <w:szCs w:val="21"/>
                <w:u w:val="none" w:color="auto"/>
              </w:rPr>
            </w:pPr>
            <w:r>
              <w:rPr>
                <w:rFonts w:hint="default" w:ascii="Times New Roman" w:hAnsi="Times New Roman" w:eastAsia="宋体" w:cs="Times New Roman"/>
                <w:b/>
                <w:color w:val="auto"/>
                <w:spacing w:val="-1"/>
                <w:sz w:val="21"/>
                <w:szCs w:val="21"/>
                <w:u w:val="none" w:color="auto"/>
              </w:rPr>
              <w:t>表</w:t>
            </w:r>
            <w:r>
              <w:rPr>
                <w:rFonts w:hint="eastAsia" w:ascii="Times New Roman" w:hAnsi="Times New Roman" w:eastAsia="宋体" w:cs="Times New Roman"/>
                <w:b/>
                <w:color w:val="auto"/>
                <w:spacing w:val="-1"/>
                <w:sz w:val="21"/>
                <w:szCs w:val="21"/>
                <w:u w:val="none" w:color="auto"/>
                <w:lang w:val="en-US" w:eastAsia="zh-CN"/>
              </w:rPr>
              <w:t>4-</w:t>
            </w:r>
            <w:r>
              <w:rPr>
                <w:rFonts w:hint="eastAsia" w:cs="Times New Roman"/>
                <w:b/>
                <w:color w:val="auto"/>
                <w:spacing w:val="-1"/>
                <w:sz w:val="21"/>
                <w:szCs w:val="21"/>
                <w:u w:val="none" w:color="auto"/>
                <w:lang w:val="en-US" w:eastAsia="zh-CN"/>
              </w:rPr>
              <w:t>18</w:t>
            </w:r>
            <w:r>
              <w:rPr>
                <w:rFonts w:hint="eastAsia" w:ascii="Times New Roman" w:hAnsi="Times New Roman" w:eastAsia="宋体" w:cs="Times New Roman"/>
                <w:b/>
                <w:color w:val="auto"/>
                <w:spacing w:val="-1"/>
                <w:sz w:val="21"/>
                <w:szCs w:val="21"/>
                <w:u w:val="none" w:color="auto"/>
                <w:lang w:val="en-US" w:eastAsia="zh-CN"/>
              </w:rPr>
              <w:t xml:space="preserve"> </w:t>
            </w:r>
            <w:r>
              <w:rPr>
                <w:rFonts w:hint="default" w:ascii="Times New Roman" w:hAnsi="Times New Roman" w:eastAsia="宋体" w:cs="Times New Roman"/>
                <w:b/>
                <w:color w:val="auto"/>
                <w:spacing w:val="-1"/>
                <w:sz w:val="21"/>
                <w:szCs w:val="21"/>
                <w:u w:val="none" w:color="auto"/>
                <w:lang w:val="en-US" w:eastAsia="zh-CN"/>
              </w:rPr>
              <w:t xml:space="preserve"> </w:t>
            </w:r>
            <w:r>
              <w:rPr>
                <w:rFonts w:hint="default" w:ascii="Times New Roman" w:hAnsi="Times New Roman" w:eastAsia="宋体" w:cs="Times New Roman"/>
                <w:b/>
                <w:color w:val="auto"/>
                <w:spacing w:val="-1"/>
                <w:sz w:val="21"/>
                <w:szCs w:val="21"/>
                <w:u w:val="none" w:color="auto"/>
              </w:rPr>
              <w:t>突发环境事件风险物质及临界量</w:t>
            </w:r>
          </w:p>
          <w:tbl>
            <w:tblPr>
              <w:tblStyle w:val="3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930"/>
              <w:gridCol w:w="1339"/>
              <w:gridCol w:w="1037"/>
              <w:gridCol w:w="1232"/>
              <w:gridCol w:w="887"/>
              <w:gridCol w:w="977"/>
              <w:gridCol w:w="1043"/>
            </w:tblGrid>
            <w:tr w14:paraId="0092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noWrap w:val="0"/>
                  <w:vAlign w:val="center"/>
                </w:tcPr>
                <w:p w14:paraId="0ECB3AD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序号</w:t>
                  </w:r>
                </w:p>
              </w:tc>
              <w:tc>
                <w:tcPr>
                  <w:tcW w:w="563" w:type="pct"/>
                  <w:noWrap w:val="0"/>
                  <w:vAlign w:val="center"/>
                </w:tcPr>
                <w:p w14:paraId="72FB4E2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18"/>
                      <w:szCs w:val="21"/>
                      <w:u w:val="single" w:color="auto"/>
                    </w:rPr>
                  </w:pPr>
                  <w:r>
                    <w:rPr>
                      <w:rFonts w:hint="default" w:ascii="Times New Roman" w:hAnsi="Times New Roman" w:eastAsia="宋体" w:cs="Times New Roman"/>
                      <w:b/>
                      <w:bCs/>
                      <w:color w:val="auto"/>
                      <w:spacing w:val="-18"/>
                      <w:szCs w:val="21"/>
                      <w:u w:val="single" w:color="auto"/>
                    </w:rPr>
                    <w:t>环境风险源</w:t>
                  </w:r>
                </w:p>
              </w:tc>
              <w:tc>
                <w:tcPr>
                  <w:tcW w:w="812" w:type="pct"/>
                  <w:noWrap w:val="0"/>
                  <w:vAlign w:val="center"/>
                </w:tcPr>
                <w:p w14:paraId="7D385B6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18"/>
                      <w:szCs w:val="21"/>
                      <w:u w:val="single" w:color="auto"/>
                    </w:rPr>
                  </w:pPr>
                  <w:r>
                    <w:rPr>
                      <w:rFonts w:hint="default" w:ascii="Times New Roman" w:hAnsi="Times New Roman" w:eastAsia="宋体" w:cs="Times New Roman"/>
                      <w:b/>
                      <w:bCs/>
                      <w:color w:val="auto"/>
                      <w:spacing w:val="-18"/>
                      <w:szCs w:val="21"/>
                      <w:u w:val="single" w:color="auto"/>
                    </w:rPr>
                    <w:t>名称</w:t>
                  </w:r>
                </w:p>
              </w:tc>
              <w:tc>
                <w:tcPr>
                  <w:tcW w:w="628" w:type="pct"/>
                  <w:noWrap w:val="0"/>
                  <w:vAlign w:val="center"/>
                </w:tcPr>
                <w:p w14:paraId="35FEF9B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18"/>
                      <w:szCs w:val="21"/>
                      <w:u w:val="single" w:color="auto"/>
                    </w:rPr>
                  </w:pPr>
                  <w:r>
                    <w:rPr>
                      <w:rFonts w:hint="default" w:ascii="Times New Roman" w:hAnsi="Times New Roman" w:eastAsia="宋体" w:cs="Times New Roman"/>
                      <w:color w:val="auto"/>
                      <w:spacing w:val="-18"/>
                      <w:szCs w:val="21"/>
                      <w:u w:val="single" w:color="auto"/>
                    </w:rPr>
                    <w:t>风险物质类别</w:t>
                  </w:r>
                </w:p>
              </w:tc>
              <w:tc>
                <w:tcPr>
                  <w:tcW w:w="747" w:type="pct"/>
                  <w:noWrap w:val="0"/>
                  <w:vAlign w:val="center"/>
                </w:tcPr>
                <w:p w14:paraId="4215895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最大储存量（t/a）</w:t>
                  </w:r>
                </w:p>
              </w:tc>
              <w:tc>
                <w:tcPr>
                  <w:tcW w:w="537" w:type="pct"/>
                  <w:noWrap w:val="0"/>
                  <w:vAlign w:val="center"/>
                </w:tcPr>
                <w:p w14:paraId="3328C4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包装</w:t>
                  </w:r>
                </w:p>
                <w:p w14:paraId="1A78EC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形式</w:t>
                  </w:r>
                </w:p>
              </w:tc>
              <w:tc>
                <w:tcPr>
                  <w:tcW w:w="592" w:type="pct"/>
                  <w:noWrap w:val="0"/>
                  <w:vAlign w:val="center"/>
                </w:tcPr>
                <w:p w14:paraId="0BF53D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临界量</w:t>
                  </w:r>
                </w:p>
                <w:p w14:paraId="142A84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Q n (t)</w:t>
                  </w:r>
                </w:p>
              </w:tc>
              <w:tc>
                <w:tcPr>
                  <w:tcW w:w="632" w:type="pct"/>
                  <w:noWrap w:val="0"/>
                  <w:vAlign w:val="center"/>
                </w:tcPr>
                <w:p w14:paraId="2F93AF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q n /Q n</w:t>
                  </w:r>
                </w:p>
              </w:tc>
            </w:tr>
            <w:tr w14:paraId="1EAE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noWrap w:val="0"/>
                  <w:vAlign w:val="center"/>
                </w:tcPr>
                <w:p w14:paraId="46AAD80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rPr>
                  </w:pPr>
                  <w:r>
                    <w:rPr>
                      <w:rFonts w:hint="default" w:ascii="Times New Roman" w:hAnsi="Times New Roman" w:eastAsia="宋体" w:cs="Times New Roman"/>
                      <w:bCs/>
                      <w:color w:val="auto"/>
                      <w:szCs w:val="21"/>
                      <w:u w:val="single" w:color="auto"/>
                    </w:rPr>
                    <w:t>1</w:t>
                  </w:r>
                </w:p>
              </w:tc>
              <w:tc>
                <w:tcPr>
                  <w:tcW w:w="563" w:type="pct"/>
                  <w:vMerge w:val="restart"/>
                  <w:noWrap w:val="0"/>
                  <w:vAlign w:val="center"/>
                </w:tcPr>
                <w:p w14:paraId="06897E2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rPr>
                  </w:pPr>
                  <w:r>
                    <w:rPr>
                      <w:rFonts w:hint="eastAsia" w:cs="Times New Roman"/>
                      <w:bCs/>
                      <w:color w:val="auto"/>
                      <w:szCs w:val="21"/>
                      <w:u w:val="single" w:color="auto"/>
                      <w:lang w:val="en-US" w:eastAsia="zh-CN"/>
                    </w:rPr>
                    <w:t>油品</w:t>
                  </w:r>
                  <w:r>
                    <w:rPr>
                      <w:rFonts w:hint="default" w:ascii="Times New Roman" w:hAnsi="Times New Roman" w:eastAsia="宋体" w:cs="Times New Roman"/>
                      <w:bCs/>
                      <w:color w:val="auto"/>
                      <w:szCs w:val="21"/>
                      <w:u w:val="single" w:color="auto"/>
                    </w:rPr>
                    <w:t>仓库</w:t>
                  </w:r>
                </w:p>
              </w:tc>
              <w:tc>
                <w:tcPr>
                  <w:tcW w:w="812" w:type="pct"/>
                  <w:noWrap w:val="0"/>
                  <w:vAlign w:val="center"/>
                </w:tcPr>
                <w:p w14:paraId="3FF9F9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lang w:eastAsia="zh-CN"/>
                    </w:rPr>
                  </w:pPr>
                  <w:r>
                    <w:rPr>
                      <w:rFonts w:hint="default"/>
                      <w:color w:val="auto"/>
                      <w:u w:val="single" w:color="auto"/>
                    </w:rPr>
                    <w:t>润滑油</w:t>
                  </w:r>
                </w:p>
              </w:tc>
              <w:tc>
                <w:tcPr>
                  <w:tcW w:w="628" w:type="pct"/>
                  <w:noWrap w:val="0"/>
                  <w:vAlign w:val="center"/>
                </w:tcPr>
                <w:p w14:paraId="136E9BC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u w:val="single" w:color="auto"/>
                    </w:rPr>
                  </w:pPr>
                  <w:r>
                    <w:rPr>
                      <w:rFonts w:hint="default" w:ascii="Times New Roman" w:hAnsi="Times New Roman" w:eastAsia="宋体" w:cs="Times New Roman"/>
                      <w:bCs/>
                      <w:color w:val="auto"/>
                      <w:szCs w:val="21"/>
                      <w:u w:val="single" w:color="auto"/>
                    </w:rPr>
                    <w:t>涉水</w:t>
                  </w:r>
                </w:p>
              </w:tc>
              <w:tc>
                <w:tcPr>
                  <w:tcW w:w="747" w:type="pct"/>
                  <w:noWrap w:val="0"/>
                  <w:vAlign w:val="center"/>
                </w:tcPr>
                <w:p w14:paraId="7992DB8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u w:val="single" w:color="auto"/>
                      <w:lang w:val="en-US" w:eastAsia="zh-CN"/>
                    </w:rPr>
                  </w:pPr>
                  <w:r>
                    <w:rPr>
                      <w:rFonts w:hint="eastAsia" w:ascii="Times New Roman" w:hAnsi="Times New Roman" w:eastAsia="宋体" w:cs="Times New Roman"/>
                      <w:bCs/>
                      <w:color w:val="auto"/>
                      <w:szCs w:val="21"/>
                      <w:u w:val="single" w:color="auto"/>
                      <w:lang w:val="en-US" w:eastAsia="zh-CN"/>
                    </w:rPr>
                    <w:t>0.</w:t>
                  </w:r>
                  <w:r>
                    <w:rPr>
                      <w:rFonts w:hint="eastAsia" w:cs="Times New Roman"/>
                      <w:bCs/>
                      <w:color w:val="auto"/>
                      <w:szCs w:val="21"/>
                      <w:u w:val="single" w:color="auto"/>
                      <w:lang w:val="en-US" w:eastAsia="zh-CN"/>
                    </w:rPr>
                    <w:t>4</w:t>
                  </w:r>
                </w:p>
              </w:tc>
              <w:tc>
                <w:tcPr>
                  <w:tcW w:w="537" w:type="pct"/>
                  <w:noWrap w:val="0"/>
                  <w:vAlign w:val="center"/>
                </w:tcPr>
                <w:p w14:paraId="1DEC21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snapToGrid w:val="0"/>
                      <w:color w:val="auto"/>
                      <w:spacing w:val="-18"/>
                      <w:kern w:val="0"/>
                      <w:szCs w:val="21"/>
                      <w:u w:val="single" w:color="auto"/>
                      <w:lang w:val="en-US" w:eastAsia="zh-CN"/>
                    </w:rPr>
                    <w:t>桶装</w:t>
                  </w:r>
                </w:p>
              </w:tc>
              <w:tc>
                <w:tcPr>
                  <w:tcW w:w="592" w:type="pct"/>
                  <w:noWrap w:val="0"/>
                  <w:vAlign w:val="center"/>
                </w:tcPr>
                <w:p w14:paraId="6885090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Cs w:val="21"/>
                      <w:u w:val="single" w:color="auto"/>
                      <w:lang w:val="en-US" w:eastAsia="zh-CN"/>
                    </w:rPr>
                  </w:pPr>
                  <w:r>
                    <w:rPr>
                      <w:rFonts w:hint="eastAsia" w:ascii="Times New Roman" w:hAnsi="Times New Roman" w:eastAsia="宋体" w:cs="Times New Roman"/>
                      <w:color w:val="auto"/>
                      <w:szCs w:val="21"/>
                      <w:u w:val="single" w:color="auto"/>
                      <w:lang w:val="en-US" w:eastAsia="zh-CN"/>
                    </w:rPr>
                    <w:t>2500</w:t>
                  </w:r>
                </w:p>
              </w:tc>
              <w:tc>
                <w:tcPr>
                  <w:tcW w:w="632" w:type="pct"/>
                  <w:noWrap w:val="0"/>
                  <w:vAlign w:val="center"/>
                </w:tcPr>
                <w:p w14:paraId="772EAD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u w:val="single" w:color="auto"/>
                      <w:lang w:val="en-US" w:eastAsia="zh-CN"/>
                    </w:rPr>
                  </w:pPr>
                  <w:r>
                    <w:rPr>
                      <w:rFonts w:hint="eastAsia" w:cs="Times New Roman"/>
                      <w:color w:val="auto"/>
                      <w:szCs w:val="21"/>
                      <w:u w:val="single" w:color="auto"/>
                      <w:lang w:val="en-US" w:eastAsia="zh-CN"/>
                    </w:rPr>
                    <w:t>0.00016</w:t>
                  </w:r>
                </w:p>
              </w:tc>
            </w:tr>
            <w:tr w14:paraId="3816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noWrap w:val="0"/>
                  <w:vAlign w:val="center"/>
                </w:tcPr>
                <w:p w14:paraId="3B7C6B78">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2</w:t>
                  </w:r>
                </w:p>
              </w:tc>
              <w:tc>
                <w:tcPr>
                  <w:tcW w:w="563" w:type="pct"/>
                  <w:vMerge w:val="continue"/>
                  <w:noWrap w:val="0"/>
                  <w:vAlign w:val="center"/>
                </w:tcPr>
                <w:p w14:paraId="4BAAF4CB">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color w:val="auto"/>
                      <w:szCs w:val="21"/>
                      <w:u w:val="single" w:color="auto"/>
                      <w:lang w:val="en-US" w:eastAsia="zh-CN"/>
                    </w:rPr>
                  </w:pPr>
                </w:p>
              </w:tc>
              <w:tc>
                <w:tcPr>
                  <w:tcW w:w="812" w:type="pct"/>
                  <w:noWrap w:val="0"/>
                  <w:vAlign w:val="center"/>
                </w:tcPr>
                <w:p w14:paraId="26F758E1">
                  <w:pPr>
                    <w:keepNext w:val="0"/>
                    <w:keepLines w:val="0"/>
                    <w:suppressLineNumbers w:val="0"/>
                    <w:adjustRightInd w:val="0"/>
                    <w:snapToGrid w:val="0"/>
                    <w:spacing w:before="0" w:beforeAutospacing="0" w:after="0" w:afterAutospacing="0"/>
                    <w:ind w:left="0" w:right="0"/>
                    <w:jc w:val="center"/>
                    <w:rPr>
                      <w:rFonts w:hint="eastAsia" w:eastAsia="宋体"/>
                      <w:color w:val="auto"/>
                      <w:u w:val="single" w:color="auto"/>
                      <w:lang w:val="en-US" w:eastAsia="zh-CN"/>
                    </w:rPr>
                  </w:pPr>
                  <w:r>
                    <w:rPr>
                      <w:rFonts w:hint="eastAsia"/>
                      <w:color w:val="auto"/>
                      <w:u w:val="single" w:color="auto"/>
                      <w:lang w:val="en-US" w:eastAsia="zh-CN"/>
                    </w:rPr>
                    <w:t>切削液</w:t>
                  </w:r>
                </w:p>
              </w:tc>
              <w:tc>
                <w:tcPr>
                  <w:tcW w:w="628" w:type="pct"/>
                  <w:noWrap w:val="0"/>
                  <w:vAlign w:val="center"/>
                </w:tcPr>
                <w:p w14:paraId="3AC3B8AA">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涉水</w:t>
                  </w:r>
                </w:p>
              </w:tc>
              <w:tc>
                <w:tcPr>
                  <w:tcW w:w="747" w:type="pct"/>
                  <w:noWrap w:val="0"/>
                  <w:vAlign w:val="center"/>
                </w:tcPr>
                <w:p w14:paraId="139E006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2</w:t>
                  </w:r>
                </w:p>
              </w:tc>
              <w:tc>
                <w:tcPr>
                  <w:tcW w:w="537" w:type="pct"/>
                  <w:noWrap w:val="0"/>
                  <w:vAlign w:val="center"/>
                </w:tcPr>
                <w:p w14:paraId="04192FF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pacing w:val="-18"/>
                      <w:kern w:val="0"/>
                      <w:szCs w:val="21"/>
                      <w:u w:val="single" w:color="auto"/>
                      <w:lang w:val="en-US" w:eastAsia="zh-CN"/>
                    </w:rPr>
                  </w:pPr>
                  <w:r>
                    <w:rPr>
                      <w:rFonts w:hint="eastAsia" w:cs="Times New Roman"/>
                      <w:snapToGrid w:val="0"/>
                      <w:color w:val="auto"/>
                      <w:spacing w:val="-18"/>
                      <w:kern w:val="0"/>
                      <w:szCs w:val="21"/>
                      <w:u w:val="single" w:color="auto"/>
                      <w:lang w:val="en-US" w:eastAsia="zh-CN"/>
                    </w:rPr>
                    <w:t>桶装</w:t>
                  </w:r>
                </w:p>
              </w:tc>
              <w:tc>
                <w:tcPr>
                  <w:tcW w:w="592" w:type="pct"/>
                  <w:noWrap w:val="0"/>
                  <w:vAlign w:val="center"/>
                </w:tcPr>
                <w:p w14:paraId="4C444048">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Cs w:val="21"/>
                      <w:u w:val="single" w:color="auto"/>
                      <w:lang w:val="en-US" w:eastAsia="zh-CN"/>
                    </w:rPr>
                  </w:pPr>
                  <w:r>
                    <w:rPr>
                      <w:rFonts w:hint="eastAsia" w:cs="Times New Roman"/>
                      <w:color w:val="auto"/>
                      <w:szCs w:val="21"/>
                      <w:u w:val="single" w:color="auto"/>
                      <w:lang w:val="en-US" w:eastAsia="zh-CN"/>
                    </w:rPr>
                    <w:t>2500</w:t>
                  </w:r>
                </w:p>
              </w:tc>
              <w:tc>
                <w:tcPr>
                  <w:tcW w:w="632" w:type="pct"/>
                  <w:noWrap w:val="0"/>
                  <w:vAlign w:val="center"/>
                </w:tcPr>
                <w:p w14:paraId="0BDAB1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u w:val="single" w:color="auto"/>
                      <w:lang w:val="en-US" w:eastAsia="zh-CN"/>
                    </w:rPr>
                  </w:pPr>
                  <w:r>
                    <w:rPr>
                      <w:rFonts w:hint="eastAsia" w:cs="Times New Roman"/>
                      <w:color w:val="auto"/>
                      <w:szCs w:val="21"/>
                      <w:u w:val="single" w:color="auto"/>
                      <w:lang w:val="en-US" w:eastAsia="zh-CN"/>
                    </w:rPr>
                    <w:t>0.0008</w:t>
                  </w:r>
                </w:p>
              </w:tc>
            </w:tr>
            <w:tr w14:paraId="4156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noWrap w:val="0"/>
                  <w:vAlign w:val="center"/>
                </w:tcPr>
                <w:p w14:paraId="6A5A0766">
                  <w:pPr>
                    <w:keepNext w:val="0"/>
                    <w:keepLines w:val="0"/>
                    <w:suppressLineNumbers w:val="0"/>
                    <w:snapToGrid w:val="0"/>
                    <w:spacing w:before="0" w:beforeAutospacing="0" w:after="0" w:afterAutospacing="0"/>
                    <w:ind w:left="0" w:right="0"/>
                    <w:jc w:val="center"/>
                    <w:rPr>
                      <w:rFonts w:hint="default" w:cs="Times New Roman"/>
                      <w:bCs/>
                      <w:color w:val="auto"/>
                      <w:szCs w:val="21"/>
                      <w:u w:val="single" w:color="auto"/>
                      <w:lang w:val="en-US" w:eastAsia="zh-CN"/>
                    </w:rPr>
                  </w:pPr>
                  <w:r>
                    <w:rPr>
                      <w:rFonts w:hint="eastAsia" w:cs="Times New Roman"/>
                      <w:bCs/>
                      <w:color w:val="auto"/>
                      <w:szCs w:val="21"/>
                      <w:u w:val="single" w:color="auto"/>
                      <w:lang w:val="en-US" w:eastAsia="zh-CN"/>
                    </w:rPr>
                    <w:t>3</w:t>
                  </w:r>
                </w:p>
              </w:tc>
              <w:tc>
                <w:tcPr>
                  <w:tcW w:w="563" w:type="pct"/>
                  <w:vMerge w:val="continue"/>
                  <w:noWrap w:val="0"/>
                  <w:vAlign w:val="center"/>
                </w:tcPr>
                <w:p w14:paraId="0F3141C4">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color w:val="auto"/>
                      <w:szCs w:val="21"/>
                      <w:u w:val="single" w:color="auto"/>
                      <w:lang w:val="en-US" w:eastAsia="zh-CN"/>
                    </w:rPr>
                  </w:pPr>
                </w:p>
              </w:tc>
              <w:tc>
                <w:tcPr>
                  <w:tcW w:w="812" w:type="pct"/>
                  <w:shd w:val="clear" w:color="auto" w:fill="auto"/>
                  <w:noWrap w:val="0"/>
                  <w:vAlign w:val="center"/>
                </w:tcPr>
                <w:p w14:paraId="0EE7D54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auto"/>
                      <w:kern w:val="2"/>
                      <w:sz w:val="21"/>
                      <w:szCs w:val="21"/>
                      <w:u w:val="single" w:color="auto"/>
                      <w:lang w:val="en-US" w:eastAsia="zh-CN" w:bidi="ar-SA"/>
                    </w:rPr>
                  </w:pPr>
                  <w:r>
                    <w:rPr>
                      <w:rFonts w:hint="eastAsia" w:cs="Times New Roman"/>
                      <w:b w:val="0"/>
                      <w:bCs/>
                      <w:color w:val="auto"/>
                      <w:sz w:val="21"/>
                      <w:szCs w:val="21"/>
                      <w:u w:val="single" w:color="auto"/>
                      <w:lang w:val="en-US" w:eastAsia="zh-CN"/>
                    </w:rPr>
                    <w:t>防锈油</w:t>
                  </w:r>
                </w:p>
              </w:tc>
              <w:tc>
                <w:tcPr>
                  <w:tcW w:w="628" w:type="pct"/>
                  <w:shd w:val="clear" w:color="auto" w:fill="auto"/>
                  <w:noWrap w:val="0"/>
                  <w:vAlign w:val="center"/>
                </w:tcPr>
                <w:p w14:paraId="4159169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eastAsia="宋体" w:cs="Times New Roman"/>
                      <w:bCs/>
                      <w:color w:val="auto"/>
                      <w:szCs w:val="21"/>
                      <w:u w:val="single" w:color="auto"/>
                    </w:rPr>
                    <w:t>涉水、气</w:t>
                  </w:r>
                </w:p>
              </w:tc>
              <w:tc>
                <w:tcPr>
                  <w:tcW w:w="747" w:type="pct"/>
                  <w:shd w:val="clear" w:color="auto" w:fill="auto"/>
                  <w:noWrap w:val="0"/>
                  <w:vAlign w:val="center"/>
                </w:tcPr>
                <w:p w14:paraId="23353AC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lang w:val="en-US" w:eastAsia="zh-CN"/>
                    </w:rPr>
                    <w:t>1</w:t>
                  </w:r>
                </w:p>
              </w:tc>
              <w:tc>
                <w:tcPr>
                  <w:tcW w:w="537" w:type="pct"/>
                  <w:shd w:val="clear" w:color="auto" w:fill="auto"/>
                  <w:noWrap w:val="0"/>
                  <w:vAlign w:val="center"/>
                </w:tcPr>
                <w:p w14:paraId="1DA6A8C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pacing w:val="-18"/>
                      <w:kern w:val="0"/>
                      <w:sz w:val="21"/>
                      <w:szCs w:val="21"/>
                      <w:u w:val="single" w:color="auto"/>
                      <w:lang w:val="en-US" w:eastAsia="zh-CN" w:bidi="ar-SA"/>
                    </w:rPr>
                  </w:pPr>
                  <w:r>
                    <w:rPr>
                      <w:rFonts w:hint="eastAsia" w:cs="Times New Roman"/>
                      <w:snapToGrid w:val="0"/>
                      <w:color w:val="auto"/>
                      <w:spacing w:val="-18"/>
                      <w:kern w:val="0"/>
                      <w:szCs w:val="21"/>
                      <w:u w:val="single" w:color="auto"/>
                      <w:lang w:val="en-US" w:eastAsia="zh-CN"/>
                    </w:rPr>
                    <w:t>桶装</w:t>
                  </w:r>
                </w:p>
              </w:tc>
              <w:tc>
                <w:tcPr>
                  <w:tcW w:w="592" w:type="pct"/>
                  <w:shd w:val="clear" w:color="auto" w:fill="auto"/>
                  <w:noWrap w:val="0"/>
                  <w:vAlign w:val="center"/>
                </w:tcPr>
                <w:p w14:paraId="4BFB04A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Cs w:val="21"/>
                      <w:u w:val="single" w:color="auto"/>
                      <w:lang w:val="en-US" w:eastAsia="zh-CN"/>
                    </w:rPr>
                    <w:t>2500</w:t>
                  </w:r>
                </w:p>
              </w:tc>
              <w:tc>
                <w:tcPr>
                  <w:tcW w:w="632" w:type="pct"/>
                  <w:shd w:val="clear" w:color="auto" w:fill="auto"/>
                  <w:noWrap w:val="0"/>
                  <w:vAlign w:val="center"/>
                </w:tcPr>
                <w:p w14:paraId="7B0D5F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u w:val="single" w:color="auto"/>
                      <w:lang w:val="en-US" w:eastAsia="zh-CN" w:bidi="ar-SA"/>
                    </w:rPr>
                  </w:pPr>
                  <w:r>
                    <w:rPr>
                      <w:rFonts w:hint="eastAsia" w:cs="Times New Roman"/>
                      <w:bCs/>
                      <w:color w:val="auto"/>
                      <w:kern w:val="2"/>
                      <w:sz w:val="21"/>
                      <w:szCs w:val="21"/>
                      <w:u w:val="single" w:color="auto"/>
                      <w:lang w:val="en-US" w:eastAsia="zh-CN" w:bidi="ar-SA"/>
                    </w:rPr>
                    <w:t>0.0004</w:t>
                  </w:r>
                </w:p>
              </w:tc>
            </w:tr>
            <w:tr w14:paraId="53AF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noWrap w:val="0"/>
                  <w:vAlign w:val="center"/>
                </w:tcPr>
                <w:p w14:paraId="1A399DB9">
                  <w:pPr>
                    <w:keepNext w:val="0"/>
                    <w:keepLines w:val="0"/>
                    <w:suppressLineNumbers w:val="0"/>
                    <w:snapToGrid w:val="0"/>
                    <w:spacing w:before="0" w:beforeAutospacing="0" w:after="0" w:afterAutospacing="0"/>
                    <w:ind w:left="0" w:right="0"/>
                    <w:jc w:val="center"/>
                    <w:rPr>
                      <w:rFonts w:hint="default" w:cs="Times New Roman"/>
                      <w:bCs/>
                      <w:color w:val="auto"/>
                      <w:szCs w:val="21"/>
                      <w:u w:val="single" w:color="auto"/>
                      <w:lang w:val="en-US" w:eastAsia="zh-CN"/>
                    </w:rPr>
                  </w:pPr>
                  <w:r>
                    <w:rPr>
                      <w:rFonts w:hint="eastAsia" w:cs="Times New Roman"/>
                      <w:bCs/>
                      <w:color w:val="auto"/>
                      <w:szCs w:val="21"/>
                      <w:u w:val="single" w:color="auto"/>
                      <w:lang w:val="en-US" w:eastAsia="zh-CN"/>
                    </w:rPr>
                    <w:t>5</w:t>
                  </w:r>
                </w:p>
              </w:tc>
              <w:tc>
                <w:tcPr>
                  <w:tcW w:w="563" w:type="pct"/>
                  <w:vMerge w:val="restart"/>
                  <w:noWrap w:val="0"/>
                  <w:vAlign w:val="center"/>
                </w:tcPr>
                <w:p w14:paraId="7D97A87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废铁屑暂存间</w:t>
                  </w:r>
                </w:p>
              </w:tc>
              <w:tc>
                <w:tcPr>
                  <w:tcW w:w="812" w:type="pct"/>
                  <w:shd w:val="clear" w:color="auto" w:fill="auto"/>
                  <w:noWrap w:val="0"/>
                  <w:vAlign w:val="center"/>
                </w:tcPr>
                <w:p w14:paraId="48C9C943">
                  <w:pPr>
                    <w:keepNext w:val="0"/>
                    <w:keepLines w:val="0"/>
                    <w:suppressLineNumbers w:val="0"/>
                    <w:spacing w:before="0" w:beforeAutospacing="0" w:after="0" w:afterAutospacing="0"/>
                    <w:ind w:left="0" w:leftChars="0" w:right="0" w:rightChars="0"/>
                    <w:jc w:val="center"/>
                    <w:rPr>
                      <w:rFonts w:hint="default" w:cs="Times New Roman"/>
                      <w:b w:val="0"/>
                      <w:bCs/>
                      <w:color w:val="auto"/>
                      <w:sz w:val="21"/>
                      <w:szCs w:val="21"/>
                      <w:u w:val="single" w:color="auto"/>
                      <w:lang w:val="en-US" w:eastAsia="zh-CN"/>
                    </w:rPr>
                  </w:pPr>
                  <w:r>
                    <w:rPr>
                      <w:rFonts w:hint="eastAsia" w:cs="Times New Roman"/>
                      <w:b w:val="0"/>
                      <w:bCs/>
                      <w:color w:val="auto"/>
                      <w:sz w:val="21"/>
                      <w:szCs w:val="21"/>
                      <w:u w:val="single" w:color="auto"/>
                      <w:lang w:val="en-US" w:eastAsia="zh-CN"/>
                    </w:rPr>
                    <w:t>含油废铁屑</w:t>
                  </w:r>
                </w:p>
              </w:tc>
              <w:tc>
                <w:tcPr>
                  <w:tcW w:w="628" w:type="pct"/>
                  <w:shd w:val="clear" w:color="auto" w:fill="auto"/>
                  <w:noWrap w:val="0"/>
                  <w:vAlign w:val="center"/>
                </w:tcPr>
                <w:p w14:paraId="568C684E">
                  <w:pPr>
                    <w:keepNext w:val="0"/>
                    <w:keepLines w:val="0"/>
                    <w:suppressLineNumbers w:val="0"/>
                    <w:spacing w:before="0" w:beforeAutospacing="0" w:after="0" w:afterAutospacing="0"/>
                    <w:ind w:left="0" w:leftChars="0" w:right="0" w:rightChars="0"/>
                    <w:jc w:val="center"/>
                    <w:rPr>
                      <w:rFonts w:hint="eastAsia" w:cs="Times New Roman"/>
                      <w:bCs/>
                      <w:color w:val="auto"/>
                      <w:szCs w:val="21"/>
                      <w:u w:val="single" w:color="auto"/>
                      <w:lang w:val="en-US" w:eastAsia="zh-CN"/>
                    </w:rPr>
                  </w:pPr>
                  <w:r>
                    <w:rPr>
                      <w:rFonts w:hint="eastAsia" w:cs="Times New Roman"/>
                      <w:bCs/>
                      <w:color w:val="auto"/>
                      <w:szCs w:val="21"/>
                      <w:u w:val="single" w:color="auto"/>
                      <w:lang w:val="en-US" w:eastAsia="zh-CN"/>
                    </w:rPr>
                    <w:t>涉水</w:t>
                  </w:r>
                </w:p>
              </w:tc>
              <w:tc>
                <w:tcPr>
                  <w:tcW w:w="747" w:type="pct"/>
                  <w:shd w:val="clear" w:color="auto" w:fill="auto"/>
                  <w:noWrap w:val="0"/>
                  <w:vAlign w:val="center"/>
                </w:tcPr>
                <w:p w14:paraId="774B1683">
                  <w:pPr>
                    <w:keepNext w:val="0"/>
                    <w:keepLines w:val="0"/>
                    <w:suppressLineNumbers w:val="0"/>
                    <w:spacing w:before="0" w:beforeAutospacing="0" w:after="0" w:afterAutospacing="0"/>
                    <w:ind w:left="0" w:leftChars="0" w:right="0" w:rightChars="0"/>
                    <w:jc w:val="center"/>
                    <w:rPr>
                      <w:rFonts w:hint="default"/>
                      <w:color w:val="auto"/>
                      <w:sz w:val="21"/>
                      <w:szCs w:val="21"/>
                      <w:u w:val="single" w:color="auto"/>
                      <w:lang w:val="en-US" w:eastAsia="zh-CN"/>
                    </w:rPr>
                  </w:pPr>
                  <w:r>
                    <w:rPr>
                      <w:rFonts w:hint="eastAsia"/>
                      <w:color w:val="auto"/>
                      <w:sz w:val="21"/>
                      <w:szCs w:val="21"/>
                      <w:u w:val="single" w:color="auto"/>
                      <w:lang w:val="en-US" w:eastAsia="zh-CN"/>
                    </w:rPr>
                    <w:t>8.33</w:t>
                  </w:r>
                </w:p>
              </w:tc>
              <w:tc>
                <w:tcPr>
                  <w:tcW w:w="537" w:type="pct"/>
                  <w:shd w:val="clear" w:color="auto" w:fill="auto"/>
                  <w:noWrap w:val="0"/>
                  <w:vAlign w:val="center"/>
                </w:tcPr>
                <w:p w14:paraId="20ED37C4">
                  <w:pPr>
                    <w:keepNext w:val="0"/>
                    <w:keepLines w:val="0"/>
                    <w:suppressLineNumbers w:val="0"/>
                    <w:spacing w:before="0" w:beforeAutospacing="0" w:after="0" w:afterAutospacing="0"/>
                    <w:ind w:left="0" w:leftChars="0" w:right="0" w:rightChars="0"/>
                    <w:jc w:val="center"/>
                    <w:rPr>
                      <w:rFonts w:hint="default" w:cs="Times New Roman"/>
                      <w:snapToGrid w:val="0"/>
                      <w:color w:val="auto"/>
                      <w:spacing w:val="-18"/>
                      <w:kern w:val="0"/>
                      <w:szCs w:val="21"/>
                      <w:u w:val="single" w:color="auto"/>
                      <w:lang w:val="en-US" w:eastAsia="zh-CN"/>
                    </w:rPr>
                  </w:pPr>
                  <w:r>
                    <w:rPr>
                      <w:rFonts w:hint="eastAsia" w:cs="Times New Roman"/>
                      <w:snapToGrid w:val="0"/>
                      <w:color w:val="auto"/>
                      <w:spacing w:val="-18"/>
                      <w:kern w:val="0"/>
                      <w:szCs w:val="21"/>
                      <w:u w:val="single" w:color="auto"/>
                      <w:lang w:val="en-US" w:eastAsia="zh-CN"/>
                    </w:rPr>
                    <w:t>袋装</w:t>
                  </w:r>
                </w:p>
              </w:tc>
              <w:tc>
                <w:tcPr>
                  <w:tcW w:w="592" w:type="pct"/>
                  <w:shd w:val="clear" w:color="auto" w:fill="auto"/>
                  <w:noWrap w:val="0"/>
                  <w:vAlign w:val="center"/>
                </w:tcPr>
                <w:p w14:paraId="153398D5">
                  <w:pPr>
                    <w:keepNext w:val="0"/>
                    <w:keepLines w:val="0"/>
                    <w:suppressLineNumbers w:val="0"/>
                    <w:spacing w:before="0" w:beforeAutospacing="0" w:after="0" w:afterAutospacing="0" w:line="240" w:lineRule="exact"/>
                    <w:ind w:left="0" w:leftChars="0" w:right="0" w:rightChars="0"/>
                    <w:jc w:val="center"/>
                    <w:rPr>
                      <w:rFonts w:hint="default" w:cs="Times New Roman"/>
                      <w:color w:val="auto"/>
                      <w:szCs w:val="21"/>
                      <w:u w:val="single" w:color="auto"/>
                      <w:lang w:val="en-US" w:eastAsia="zh-CN"/>
                    </w:rPr>
                  </w:pPr>
                  <w:r>
                    <w:rPr>
                      <w:rFonts w:hint="eastAsia" w:cs="Times New Roman"/>
                      <w:color w:val="auto"/>
                      <w:szCs w:val="21"/>
                      <w:u w:val="single" w:color="auto"/>
                      <w:lang w:val="en-US" w:eastAsia="zh-CN"/>
                    </w:rPr>
                    <w:t>50</w:t>
                  </w:r>
                </w:p>
              </w:tc>
              <w:tc>
                <w:tcPr>
                  <w:tcW w:w="632" w:type="pct"/>
                  <w:shd w:val="clear" w:color="auto" w:fill="auto"/>
                  <w:noWrap w:val="0"/>
                  <w:vAlign w:val="center"/>
                </w:tcPr>
                <w:p w14:paraId="4054D4A3">
                  <w:pPr>
                    <w:keepNext w:val="0"/>
                    <w:keepLines w:val="0"/>
                    <w:suppressLineNumbers w:val="0"/>
                    <w:spacing w:before="0" w:beforeAutospacing="0" w:after="0" w:afterAutospacing="0"/>
                    <w:ind w:left="0" w:leftChars="0" w:right="0" w:rightChars="0"/>
                    <w:jc w:val="center"/>
                    <w:rPr>
                      <w:rFonts w:hint="default" w:cs="Times New Roman"/>
                      <w:bCs/>
                      <w:color w:val="auto"/>
                      <w:szCs w:val="21"/>
                      <w:u w:val="single" w:color="auto"/>
                      <w:lang w:val="en-US" w:eastAsia="zh-CN"/>
                    </w:rPr>
                  </w:pPr>
                  <w:r>
                    <w:rPr>
                      <w:rFonts w:hint="eastAsia" w:cs="Times New Roman"/>
                      <w:bCs/>
                      <w:color w:val="auto"/>
                      <w:szCs w:val="21"/>
                      <w:u w:val="single" w:color="auto"/>
                      <w:lang w:val="en-US" w:eastAsia="zh-CN"/>
                    </w:rPr>
                    <w:t>0.1666</w:t>
                  </w:r>
                </w:p>
              </w:tc>
            </w:tr>
            <w:tr w14:paraId="18CC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noWrap w:val="0"/>
                  <w:vAlign w:val="center"/>
                </w:tcPr>
                <w:p w14:paraId="04FB3232">
                  <w:pPr>
                    <w:keepNext w:val="0"/>
                    <w:keepLines w:val="0"/>
                    <w:suppressLineNumbers w:val="0"/>
                    <w:snapToGrid w:val="0"/>
                    <w:spacing w:before="0" w:beforeAutospacing="0" w:after="0" w:afterAutospacing="0"/>
                    <w:ind w:left="0" w:right="0"/>
                    <w:jc w:val="center"/>
                    <w:rPr>
                      <w:rFonts w:hint="default" w:cs="Times New Roman"/>
                      <w:bCs/>
                      <w:color w:val="auto"/>
                      <w:szCs w:val="21"/>
                      <w:u w:val="single" w:color="auto"/>
                      <w:lang w:val="en-US" w:eastAsia="zh-CN"/>
                    </w:rPr>
                  </w:pPr>
                  <w:r>
                    <w:rPr>
                      <w:rFonts w:hint="eastAsia" w:cs="Times New Roman"/>
                      <w:bCs/>
                      <w:color w:val="auto"/>
                      <w:szCs w:val="21"/>
                      <w:u w:val="single" w:color="auto"/>
                      <w:lang w:val="en-US" w:eastAsia="zh-CN"/>
                    </w:rPr>
                    <w:t>6</w:t>
                  </w:r>
                </w:p>
              </w:tc>
              <w:tc>
                <w:tcPr>
                  <w:tcW w:w="563" w:type="pct"/>
                  <w:vMerge w:val="continue"/>
                  <w:noWrap w:val="0"/>
                  <w:vAlign w:val="center"/>
                </w:tcPr>
                <w:p w14:paraId="4619FD99">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color w:val="auto"/>
                      <w:szCs w:val="21"/>
                      <w:u w:val="single" w:color="auto"/>
                      <w:lang w:val="en-US" w:eastAsia="zh-CN"/>
                    </w:rPr>
                  </w:pPr>
                </w:p>
              </w:tc>
              <w:tc>
                <w:tcPr>
                  <w:tcW w:w="812" w:type="pct"/>
                  <w:shd w:val="clear" w:color="auto" w:fill="auto"/>
                  <w:noWrap w:val="0"/>
                  <w:vAlign w:val="center"/>
                </w:tcPr>
                <w:p w14:paraId="4E7EECF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auto"/>
                      <w:kern w:val="2"/>
                      <w:sz w:val="21"/>
                      <w:szCs w:val="21"/>
                      <w:u w:val="single" w:color="auto"/>
                      <w:lang w:val="en-US" w:eastAsia="zh-CN" w:bidi="ar-SA"/>
                    </w:rPr>
                  </w:pPr>
                  <w:r>
                    <w:rPr>
                      <w:rFonts w:hint="eastAsia" w:cs="Times New Roman"/>
                      <w:b w:val="0"/>
                      <w:bCs/>
                      <w:color w:val="auto"/>
                      <w:sz w:val="21"/>
                      <w:szCs w:val="21"/>
                      <w:u w:val="single" w:color="auto"/>
                      <w:lang w:val="en-US" w:eastAsia="zh-CN"/>
                    </w:rPr>
                    <w:t>废切削液</w:t>
                  </w:r>
                </w:p>
              </w:tc>
              <w:tc>
                <w:tcPr>
                  <w:tcW w:w="628" w:type="pct"/>
                  <w:shd w:val="clear" w:color="auto" w:fill="auto"/>
                  <w:noWrap w:val="0"/>
                  <w:vAlign w:val="center"/>
                </w:tcPr>
                <w:p w14:paraId="1E3F49A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u w:val="single" w:color="auto"/>
                      <w:lang w:val="en-US" w:eastAsia="zh-CN" w:bidi="ar-SA"/>
                    </w:rPr>
                  </w:pPr>
                  <w:r>
                    <w:rPr>
                      <w:rFonts w:hint="eastAsia" w:cs="Times New Roman"/>
                      <w:bCs/>
                      <w:color w:val="auto"/>
                      <w:szCs w:val="21"/>
                      <w:u w:val="single" w:color="auto"/>
                      <w:lang w:val="en-US" w:eastAsia="zh-CN"/>
                    </w:rPr>
                    <w:t>涉水</w:t>
                  </w:r>
                </w:p>
              </w:tc>
              <w:tc>
                <w:tcPr>
                  <w:tcW w:w="747" w:type="pct"/>
                  <w:shd w:val="clear" w:color="auto" w:fill="auto"/>
                  <w:noWrap w:val="0"/>
                  <w:vAlign w:val="center"/>
                </w:tcPr>
                <w:p w14:paraId="1EE690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lang w:val="en-US" w:eastAsia="zh-CN"/>
                    </w:rPr>
                    <w:t>32</w:t>
                  </w:r>
                </w:p>
              </w:tc>
              <w:tc>
                <w:tcPr>
                  <w:tcW w:w="537" w:type="pct"/>
                  <w:shd w:val="clear" w:color="auto" w:fill="auto"/>
                  <w:noWrap w:val="0"/>
                  <w:vAlign w:val="center"/>
                </w:tcPr>
                <w:p w14:paraId="4DCC552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pacing w:val="-18"/>
                      <w:kern w:val="0"/>
                      <w:sz w:val="21"/>
                      <w:szCs w:val="21"/>
                      <w:u w:val="single" w:color="auto"/>
                      <w:lang w:val="en-US" w:eastAsia="zh-CN" w:bidi="ar-SA"/>
                    </w:rPr>
                  </w:pPr>
                  <w:r>
                    <w:rPr>
                      <w:rFonts w:hint="eastAsia" w:cs="Times New Roman"/>
                      <w:snapToGrid w:val="0"/>
                      <w:color w:val="auto"/>
                      <w:spacing w:val="-18"/>
                      <w:kern w:val="0"/>
                      <w:szCs w:val="21"/>
                      <w:u w:val="single" w:color="auto"/>
                      <w:lang w:val="en-US" w:eastAsia="zh-CN"/>
                    </w:rPr>
                    <w:t>桶装</w:t>
                  </w:r>
                </w:p>
              </w:tc>
              <w:tc>
                <w:tcPr>
                  <w:tcW w:w="592" w:type="pct"/>
                  <w:shd w:val="clear" w:color="auto" w:fill="auto"/>
                  <w:noWrap w:val="0"/>
                  <w:vAlign w:val="center"/>
                </w:tcPr>
                <w:p w14:paraId="1746583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Cs w:val="21"/>
                      <w:u w:val="single" w:color="auto"/>
                      <w:lang w:val="en-US" w:eastAsia="zh-CN"/>
                    </w:rPr>
                    <w:t>2500</w:t>
                  </w:r>
                </w:p>
              </w:tc>
              <w:tc>
                <w:tcPr>
                  <w:tcW w:w="632" w:type="pct"/>
                  <w:shd w:val="clear" w:color="auto" w:fill="auto"/>
                  <w:noWrap w:val="0"/>
                  <w:vAlign w:val="center"/>
                </w:tcPr>
                <w:p w14:paraId="2A40C36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u w:val="single" w:color="auto"/>
                      <w:lang w:val="en-US" w:eastAsia="zh-CN" w:bidi="ar-SA"/>
                    </w:rPr>
                  </w:pPr>
                  <w:r>
                    <w:rPr>
                      <w:rFonts w:hint="eastAsia" w:cs="Times New Roman"/>
                      <w:bCs/>
                      <w:color w:val="auto"/>
                      <w:szCs w:val="21"/>
                      <w:u w:val="single" w:color="auto"/>
                      <w:lang w:val="en-US" w:eastAsia="zh-CN"/>
                    </w:rPr>
                    <w:t>0.0128</w:t>
                  </w:r>
                </w:p>
              </w:tc>
            </w:tr>
            <w:tr w14:paraId="5CBA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pct"/>
                  <w:noWrap w:val="0"/>
                  <w:vAlign w:val="center"/>
                </w:tcPr>
                <w:p w14:paraId="4857814E">
                  <w:pPr>
                    <w:keepNext w:val="0"/>
                    <w:keepLines w:val="0"/>
                    <w:suppressLineNumbers w:val="0"/>
                    <w:snapToGrid w:val="0"/>
                    <w:spacing w:before="0" w:beforeAutospacing="0" w:after="0" w:afterAutospacing="0"/>
                    <w:ind w:left="0" w:right="0"/>
                    <w:jc w:val="center"/>
                    <w:rPr>
                      <w:rFonts w:hint="default" w:cs="Times New Roman"/>
                      <w:bCs/>
                      <w:color w:val="auto"/>
                      <w:szCs w:val="21"/>
                      <w:u w:val="single" w:color="auto"/>
                      <w:lang w:val="en-US" w:eastAsia="zh-CN"/>
                    </w:rPr>
                  </w:pPr>
                  <w:r>
                    <w:rPr>
                      <w:rFonts w:hint="eastAsia" w:cs="Times New Roman"/>
                      <w:bCs/>
                      <w:color w:val="auto"/>
                      <w:szCs w:val="21"/>
                      <w:u w:val="single" w:color="auto"/>
                      <w:lang w:val="en-US" w:eastAsia="zh-CN"/>
                    </w:rPr>
                    <w:t>7</w:t>
                  </w:r>
                </w:p>
              </w:tc>
              <w:tc>
                <w:tcPr>
                  <w:tcW w:w="563" w:type="pct"/>
                  <w:vMerge w:val="restart"/>
                  <w:noWrap w:val="0"/>
                  <w:vAlign w:val="center"/>
                </w:tcPr>
                <w:p w14:paraId="025C946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lang w:val="en-US" w:eastAsia="zh-CN"/>
                    </w:rPr>
                  </w:pPr>
                  <w:r>
                    <w:rPr>
                      <w:rFonts w:hint="default" w:ascii="Times New Roman" w:hAnsi="Times New Roman" w:eastAsia="宋体" w:cs="Times New Roman"/>
                      <w:bCs/>
                      <w:color w:val="auto"/>
                      <w:szCs w:val="21"/>
                      <w:u w:val="single" w:color="auto"/>
                    </w:rPr>
                    <w:t>危废</w:t>
                  </w:r>
                  <w:r>
                    <w:rPr>
                      <w:rFonts w:hint="eastAsia" w:ascii="Times New Roman" w:hAnsi="Times New Roman" w:eastAsia="宋体" w:cs="Times New Roman"/>
                      <w:bCs/>
                      <w:color w:val="auto"/>
                      <w:szCs w:val="21"/>
                      <w:u w:val="single" w:color="auto"/>
                      <w:lang w:val="en-US" w:eastAsia="zh-CN"/>
                    </w:rPr>
                    <w:t>暂存间</w:t>
                  </w:r>
                </w:p>
              </w:tc>
              <w:tc>
                <w:tcPr>
                  <w:tcW w:w="812" w:type="pct"/>
                  <w:shd w:val="clear" w:color="auto" w:fill="auto"/>
                  <w:noWrap w:val="0"/>
                  <w:vAlign w:val="center"/>
                </w:tcPr>
                <w:p w14:paraId="367316B2">
                  <w:pPr>
                    <w:keepNext w:val="0"/>
                    <w:keepLines w:val="0"/>
                    <w:suppressLineNumbers w:val="0"/>
                    <w:spacing w:before="0" w:beforeAutospacing="0" w:after="0" w:afterAutospacing="0"/>
                    <w:ind w:left="0" w:leftChars="0" w:right="0" w:rightChars="0"/>
                    <w:jc w:val="center"/>
                    <w:rPr>
                      <w:rFonts w:hint="default" w:cs="Times New Roman"/>
                      <w:b w:val="0"/>
                      <w:bCs/>
                      <w:color w:val="auto"/>
                      <w:sz w:val="21"/>
                      <w:szCs w:val="21"/>
                      <w:u w:val="single" w:color="auto"/>
                      <w:lang w:val="en-US" w:eastAsia="zh-CN"/>
                    </w:rPr>
                  </w:pPr>
                  <w:r>
                    <w:rPr>
                      <w:rFonts w:hint="eastAsia" w:cs="Times New Roman"/>
                      <w:b w:val="0"/>
                      <w:bCs/>
                      <w:color w:val="auto"/>
                      <w:sz w:val="21"/>
                      <w:szCs w:val="21"/>
                      <w:u w:val="single" w:color="auto"/>
                      <w:lang w:val="en-US" w:eastAsia="zh-CN"/>
                    </w:rPr>
                    <w:t>清洗废液</w:t>
                  </w:r>
                </w:p>
              </w:tc>
              <w:tc>
                <w:tcPr>
                  <w:tcW w:w="628" w:type="pct"/>
                  <w:shd w:val="clear" w:color="auto" w:fill="auto"/>
                  <w:noWrap w:val="0"/>
                  <w:vAlign w:val="center"/>
                </w:tcPr>
                <w:p w14:paraId="7B8A6697">
                  <w:pPr>
                    <w:keepNext w:val="0"/>
                    <w:keepLines w:val="0"/>
                    <w:suppressLineNumbers w:val="0"/>
                    <w:spacing w:before="0" w:beforeAutospacing="0" w:after="0" w:afterAutospacing="0"/>
                    <w:ind w:left="0" w:leftChars="0" w:right="0" w:rightChars="0"/>
                    <w:jc w:val="center"/>
                    <w:rPr>
                      <w:rFonts w:hint="default" w:cs="Times New Roman"/>
                      <w:bCs/>
                      <w:color w:val="auto"/>
                      <w:szCs w:val="21"/>
                      <w:u w:val="single" w:color="auto"/>
                      <w:lang w:val="en-US" w:eastAsia="zh-CN"/>
                    </w:rPr>
                  </w:pPr>
                  <w:r>
                    <w:rPr>
                      <w:rFonts w:hint="eastAsia" w:cs="Times New Roman"/>
                      <w:bCs/>
                      <w:color w:val="auto"/>
                      <w:szCs w:val="21"/>
                      <w:u w:val="single" w:color="auto"/>
                      <w:lang w:val="en-US" w:eastAsia="zh-CN"/>
                    </w:rPr>
                    <w:t>涉水</w:t>
                  </w:r>
                </w:p>
              </w:tc>
              <w:tc>
                <w:tcPr>
                  <w:tcW w:w="747" w:type="pct"/>
                  <w:shd w:val="clear" w:color="auto" w:fill="auto"/>
                  <w:noWrap w:val="0"/>
                  <w:vAlign w:val="center"/>
                </w:tcPr>
                <w:p w14:paraId="70DFD91D">
                  <w:pPr>
                    <w:keepNext w:val="0"/>
                    <w:keepLines w:val="0"/>
                    <w:suppressLineNumbers w:val="0"/>
                    <w:spacing w:before="0" w:beforeAutospacing="0" w:after="0" w:afterAutospacing="0"/>
                    <w:ind w:left="0" w:leftChars="0" w:right="0" w:rightChars="0"/>
                    <w:jc w:val="center"/>
                    <w:rPr>
                      <w:rFonts w:hint="default"/>
                      <w:color w:val="auto"/>
                      <w:sz w:val="21"/>
                      <w:szCs w:val="21"/>
                      <w:u w:val="single" w:color="auto"/>
                      <w:lang w:val="en-US" w:eastAsia="zh-CN"/>
                    </w:rPr>
                  </w:pPr>
                  <w:r>
                    <w:rPr>
                      <w:rFonts w:hint="eastAsia"/>
                      <w:color w:val="auto"/>
                      <w:sz w:val="21"/>
                      <w:szCs w:val="21"/>
                      <w:u w:val="single" w:color="auto"/>
                      <w:lang w:val="en-US" w:eastAsia="zh-CN"/>
                    </w:rPr>
                    <w:t>2</w:t>
                  </w:r>
                </w:p>
              </w:tc>
              <w:tc>
                <w:tcPr>
                  <w:tcW w:w="537" w:type="pct"/>
                  <w:shd w:val="clear" w:color="auto" w:fill="auto"/>
                  <w:noWrap w:val="0"/>
                  <w:vAlign w:val="center"/>
                </w:tcPr>
                <w:p w14:paraId="4A28705A">
                  <w:pPr>
                    <w:keepNext w:val="0"/>
                    <w:keepLines w:val="0"/>
                    <w:suppressLineNumbers w:val="0"/>
                    <w:spacing w:before="0" w:beforeAutospacing="0" w:after="0" w:afterAutospacing="0"/>
                    <w:ind w:left="0" w:leftChars="0" w:right="0" w:rightChars="0"/>
                    <w:jc w:val="center"/>
                    <w:rPr>
                      <w:rFonts w:hint="default" w:cs="Times New Roman"/>
                      <w:snapToGrid w:val="0"/>
                      <w:color w:val="auto"/>
                      <w:spacing w:val="-18"/>
                      <w:kern w:val="0"/>
                      <w:szCs w:val="21"/>
                      <w:u w:val="single" w:color="auto"/>
                      <w:lang w:val="en-US" w:eastAsia="zh-CN"/>
                    </w:rPr>
                  </w:pPr>
                  <w:r>
                    <w:rPr>
                      <w:rFonts w:hint="eastAsia" w:cs="Times New Roman"/>
                      <w:snapToGrid w:val="0"/>
                      <w:color w:val="auto"/>
                      <w:spacing w:val="-18"/>
                      <w:kern w:val="0"/>
                      <w:szCs w:val="21"/>
                      <w:u w:val="single" w:color="auto"/>
                      <w:lang w:val="en-US" w:eastAsia="zh-CN"/>
                    </w:rPr>
                    <w:t>桶装</w:t>
                  </w:r>
                </w:p>
              </w:tc>
              <w:tc>
                <w:tcPr>
                  <w:tcW w:w="592" w:type="pct"/>
                  <w:shd w:val="clear" w:color="auto" w:fill="auto"/>
                  <w:noWrap w:val="0"/>
                  <w:vAlign w:val="center"/>
                </w:tcPr>
                <w:p w14:paraId="054010CC">
                  <w:pPr>
                    <w:keepNext w:val="0"/>
                    <w:keepLines w:val="0"/>
                    <w:suppressLineNumbers w:val="0"/>
                    <w:spacing w:before="0" w:beforeAutospacing="0" w:after="0" w:afterAutospacing="0" w:line="240" w:lineRule="exact"/>
                    <w:ind w:left="0" w:leftChars="0" w:right="0" w:rightChars="0"/>
                    <w:jc w:val="center"/>
                    <w:rPr>
                      <w:rFonts w:hint="default" w:cs="Times New Roman"/>
                      <w:color w:val="auto"/>
                      <w:szCs w:val="21"/>
                      <w:u w:val="single" w:color="auto"/>
                      <w:lang w:val="en-US" w:eastAsia="zh-CN"/>
                    </w:rPr>
                  </w:pPr>
                  <w:r>
                    <w:rPr>
                      <w:rFonts w:hint="eastAsia" w:cs="Times New Roman"/>
                      <w:color w:val="auto"/>
                      <w:szCs w:val="21"/>
                      <w:u w:val="single" w:color="auto"/>
                      <w:lang w:val="en-US" w:eastAsia="zh-CN"/>
                    </w:rPr>
                    <w:t>50</w:t>
                  </w:r>
                </w:p>
              </w:tc>
              <w:tc>
                <w:tcPr>
                  <w:tcW w:w="632" w:type="pct"/>
                  <w:shd w:val="clear" w:color="auto" w:fill="auto"/>
                  <w:noWrap w:val="0"/>
                  <w:vAlign w:val="center"/>
                </w:tcPr>
                <w:p w14:paraId="55407612">
                  <w:pPr>
                    <w:keepNext w:val="0"/>
                    <w:keepLines w:val="0"/>
                    <w:suppressLineNumbers w:val="0"/>
                    <w:spacing w:before="0" w:beforeAutospacing="0" w:after="0" w:afterAutospacing="0"/>
                    <w:ind w:left="0" w:leftChars="0" w:right="0" w:rightChars="0"/>
                    <w:jc w:val="center"/>
                    <w:rPr>
                      <w:rFonts w:hint="default" w:cs="Times New Roman"/>
                      <w:bCs/>
                      <w:color w:val="auto"/>
                      <w:szCs w:val="21"/>
                      <w:u w:val="single" w:color="auto"/>
                      <w:lang w:val="en-US" w:eastAsia="zh-CN"/>
                    </w:rPr>
                  </w:pPr>
                  <w:r>
                    <w:rPr>
                      <w:rFonts w:hint="eastAsia" w:cs="Times New Roman"/>
                      <w:bCs/>
                      <w:color w:val="auto"/>
                      <w:szCs w:val="21"/>
                      <w:u w:val="single" w:color="auto"/>
                      <w:lang w:val="en-US" w:eastAsia="zh-CN"/>
                    </w:rPr>
                    <w:t>0.04</w:t>
                  </w:r>
                </w:p>
              </w:tc>
            </w:tr>
            <w:tr w14:paraId="5DB9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noWrap w:val="0"/>
                  <w:vAlign w:val="center"/>
                </w:tcPr>
                <w:p w14:paraId="09022DD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8</w:t>
                  </w:r>
                </w:p>
              </w:tc>
              <w:tc>
                <w:tcPr>
                  <w:tcW w:w="563" w:type="pct"/>
                  <w:vMerge w:val="continue"/>
                  <w:noWrap w:val="0"/>
                  <w:vAlign w:val="center"/>
                </w:tcPr>
                <w:p w14:paraId="1A7FBB8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rPr>
                  </w:pPr>
                </w:p>
              </w:tc>
              <w:tc>
                <w:tcPr>
                  <w:tcW w:w="812" w:type="pct"/>
                  <w:noWrap w:val="0"/>
                  <w:vAlign w:val="center"/>
                </w:tcPr>
                <w:p w14:paraId="28F5B21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u w:val="single" w:color="auto"/>
                      <w:lang w:eastAsia="zh-CN"/>
                    </w:rPr>
                  </w:pPr>
                  <w:r>
                    <w:rPr>
                      <w:rFonts w:hint="default"/>
                      <w:color w:val="auto"/>
                      <w:sz w:val="21"/>
                      <w:szCs w:val="21"/>
                      <w:u w:val="single" w:color="auto"/>
                    </w:rPr>
                    <w:t>废润滑油</w:t>
                  </w:r>
                </w:p>
              </w:tc>
              <w:tc>
                <w:tcPr>
                  <w:tcW w:w="628" w:type="pct"/>
                  <w:noWrap w:val="0"/>
                  <w:vAlign w:val="center"/>
                </w:tcPr>
                <w:p w14:paraId="6B8DC34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u w:val="single" w:color="auto"/>
                    </w:rPr>
                  </w:pPr>
                  <w:r>
                    <w:rPr>
                      <w:rFonts w:hint="default" w:ascii="Times New Roman" w:hAnsi="Times New Roman" w:eastAsia="宋体" w:cs="Times New Roman"/>
                      <w:bCs/>
                      <w:color w:val="auto"/>
                      <w:szCs w:val="21"/>
                      <w:u w:val="single" w:color="auto"/>
                    </w:rPr>
                    <w:t>涉水</w:t>
                  </w:r>
                </w:p>
              </w:tc>
              <w:tc>
                <w:tcPr>
                  <w:tcW w:w="747" w:type="pct"/>
                  <w:noWrap w:val="0"/>
                  <w:vAlign w:val="center"/>
                </w:tcPr>
                <w:p w14:paraId="65BB1A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color="auto"/>
                      <w:lang w:val="en-US" w:eastAsia="zh-CN"/>
                    </w:rPr>
                  </w:pPr>
                  <w:r>
                    <w:rPr>
                      <w:rFonts w:hint="eastAsia"/>
                      <w:color w:val="auto"/>
                      <w:kern w:val="0"/>
                      <w:sz w:val="21"/>
                      <w:szCs w:val="21"/>
                      <w:u w:val="single" w:color="auto"/>
                      <w:lang w:val="en-US" w:eastAsia="zh-CN"/>
                    </w:rPr>
                    <w:t>3.0</w:t>
                  </w:r>
                </w:p>
              </w:tc>
              <w:tc>
                <w:tcPr>
                  <w:tcW w:w="537" w:type="pct"/>
                  <w:noWrap w:val="0"/>
                  <w:vAlign w:val="center"/>
                </w:tcPr>
                <w:p w14:paraId="4024C63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pacing w:val="-18"/>
                      <w:kern w:val="0"/>
                      <w:szCs w:val="21"/>
                      <w:u w:val="single" w:color="auto"/>
                      <w:lang w:val="en-US" w:eastAsia="zh-CN"/>
                    </w:rPr>
                  </w:pPr>
                  <w:r>
                    <w:rPr>
                      <w:rFonts w:hint="default" w:ascii="Times New Roman" w:hAnsi="Times New Roman" w:eastAsia="宋体" w:cs="Times New Roman"/>
                      <w:snapToGrid w:val="0"/>
                      <w:color w:val="auto"/>
                      <w:spacing w:val="-18"/>
                      <w:kern w:val="0"/>
                      <w:szCs w:val="21"/>
                      <w:u w:val="single" w:color="auto"/>
                      <w:lang w:val="en-US" w:eastAsia="zh-CN"/>
                    </w:rPr>
                    <w:t>桶装</w:t>
                  </w:r>
                </w:p>
              </w:tc>
              <w:tc>
                <w:tcPr>
                  <w:tcW w:w="592" w:type="pct"/>
                  <w:noWrap w:val="0"/>
                  <w:vAlign w:val="center"/>
                </w:tcPr>
                <w:p w14:paraId="72954116">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szCs w:val="21"/>
                      <w:u w:val="single" w:color="auto"/>
                      <w:lang w:val="en-US" w:eastAsia="zh-CN"/>
                    </w:rPr>
                  </w:pPr>
                  <w:r>
                    <w:rPr>
                      <w:rFonts w:hint="eastAsia" w:ascii="Times New Roman" w:hAnsi="Times New Roman" w:eastAsia="宋体" w:cs="Times New Roman"/>
                      <w:color w:val="auto"/>
                      <w:szCs w:val="21"/>
                      <w:u w:val="single" w:color="auto"/>
                      <w:lang w:val="en-US" w:eastAsia="zh-CN"/>
                    </w:rPr>
                    <w:t>2500</w:t>
                  </w:r>
                </w:p>
              </w:tc>
              <w:tc>
                <w:tcPr>
                  <w:tcW w:w="632" w:type="pct"/>
                  <w:noWrap w:val="0"/>
                  <w:vAlign w:val="center"/>
                </w:tcPr>
                <w:p w14:paraId="572BD35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0.0012</w:t>
                  </w:r>
                </w:p>
              </w:tc>
            </w:tr>
            <w:tr w14:paraId="4D2E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noWrap w:val="0"/>
                  <w:vAlign w:val="center"/>
                </w:tcPr>
                <w:p w14:paraId="0CDF57C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9</w:t>
                  </w:r>
                </w:p>
              </w:tc>
              <w:tc>
                <w:tcPr>
                  <w:tcW w:w="563" w:type="pct"/>
                  <w:vMerge w:val="continue"/>
                  <w:noWrap w:val="0"/>
                  <w:vAlign w:val="center"/>
                </w:tcPr>
                <w:p w14:paraId="218F1B3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rPr>
                  </w:pPr>
                </w:p>
              </w:tc>
              <w:tc>
                <w:tcPr>
                  <w:tcW w:w="812" w:type="pct"/>
                  <w:noWrap w:val="0"/>
                  <w:vAlign w:val="center"/>
                </w:tcPr>
                <w:p w14:paraId="0ABD8CA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u w:val="single" w:color="auto"/>
                    </w:rPr>
                  </w:pPr>
                  <w:r>
                    <w:rPr>
                      <w:rFonts w:hint="default"/>
                      <w:color w:val="auto"/>
                      <w:sz w:val="21"/>
                      <w:szCs w:val="21"/>
                      <w:u w:val="single" w:color="auto"/>
                    </w:rPr>
                    <w:t>含油抹布、手套</w:t>
                  </w:r>
                </w:p>
              </w:tc>
              <w:tc>
                <w:tcPr>
                  <w:tcW w:w="628" w:type="pct"/>
                  <w:noWrap w:val="0"/>
                  <w:vAlign w:val="center"/>
                </w:tcPr>
                <w:p w14:paraId="5CFD386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u w:val="single" w:color="auto"/>
                    </w:rPr>
                  </w:pPr>
                  <w:r>
                    <w:rPr>
                      <w:rFonts w:hint="default" w:ascii="Times New Roman" w:hAnsi="Times New Roman" w:eastAsia="宋体" w:cs="Times New Roman"/>
                      <w:bCs/>
                      <w:color w:val="auto"/>
                      <w:szCs w:val="21"/>
                      <w:u w:val="single" w:color="auto"/>
                    </w:rPr>
                    <w:t>涉水、气</w:t>
                  </w:r>
                </w:p>
              </w:tc>
              <w:tc>
                <w:tcPr>
                  <w:tcW w:w="747" w:type="pct"/>
                  <w:noWrap w:val="0"/>
                  <w:vAlign w:val="center"/>
                </w:tcPr>
                <w:p w14:paraId="463ECFE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single" w:color="auto"/>
                      <w:lang w:val="en-US" w:eastAsia="zh-CN"/>
                    </w:rPr>
                  </w:pPr>
                  <w:r>
                    <w:rPr>
                      <w:rFonts w:hint="default"/>
                      <w:color w:val="auto"/>
                      <w:sz w:val="21"/>
                      <w:szCs w:val="21"/>
                      <w:u w:val="single" w:color="auto"/>
                    </w:rPr>
                    <w:t>0.</w:t>
                  </w:r>
                  <w:r>
                    <w:rPr>
                      <w:rFonts w:hint="eastAsia"/>
                      <w:color w:val="auto"/>
                      <w:sz w:val="21"/>
                      <w:szCs w:val="21"/>
                      <w:u w:val="single" w:color="auto"/>
                      <w:lang w:val="en-US" w:eastAsia="zh-CN"/>
                    </w:rPr>
                    <w:t>8</w:t>
                  </w:r>
                </w:p>
              </w:tc>
              <w:tc>
                <w:tcPr>
                  <w:tcW w:w="537" w:type="pct"/>
                  <w:noWrap w:val="0"/>
                  <w:vAlign w:val="center"/>
                </w:tcPr>
                <w:p w14:paraId="41CE4DD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pacing w:val="-18"/>
                      <w:kern w:val="0"/>
                      <w:szCs w:val="21"/>
                      <w:u w:val="single" w:color="auto"/>
                      <w:lang w:val="en-US" w:eastAsia="zh-CN"/>
                    </w:rPr>
                  </w:pPr>
                  <w:r>
                    <w:rPr>
                      <w:rFonts w:hint="eastAsia" w:ascii="Times New Roman" w:hAnsi="Times New Roman" w:eastAsia="宋体" w:cs="Times New Roman"/>
                      <w:snapToGrid w:val="0"/>
                      <w:color w:val="auto"/>
                      <w:spacing w:val="-18"/>
                      <w:kern w:val="0"/>
                      <w:szCs w:val="21"/>
                      <w:u w:val="single" w:color="auto"/>
                      <w:lang w:val="en-US" w:eastAsia="zh-CN"/>
                    </w:rPr>
                    <w:t>袋装</w:t>
                  </w:r>
                </w:p>
              </w:tc>
              <w:tc>
                <w:tcPr>
                  <w:tcW w:w="592" w:type="pct"/>
                  <w:noWrap w:val="0"/>
                  <w:vAlign w:val="center"/>
                </w:tcPr>
                <w:p w14:paraId="1B683E3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szCs w:val="21"/>
                      <w:u w:val="single" w:color="auto"/>
                      <w:lang w:val="en-US" w:eastAsia="zh-CN"/>
                    </w:rPr>
                  </w:pPr>
                  <w:r>
                    <w:rPr>
                      <w:rFonts w:hint="eastAsia" w:ascii="Times New Roman" w:hAnsi="Times New Roman" w:eastAsia="宋体" w:cs="Times New Roman"/>
                      <w:color w:val="auto"/>
                      <w:szCs w:val="21"/>
                      <w:u w:val="single" w:color="auto"/>
                      <w:lang w:val="en-US" w:eastAsia="zh-CN"/>
                    </w:rPr>
                    <w:t>50</w:t>
                  </w:r>
                </w:p>
              </w:tc>
              <w:tc>
                <w:tcPr>
                  <w:tcW w:w="632" w:type="pct"/>
                  <w:noWrap w:val="0"/>
                  <w:vAlign w:val="center"/>
                </w:tcPr>
                <w:p w14:paraId="77A324B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0.0016</w:t>
                  </w:r>
                </w:p>
              </w:tc>
            </w:tr>
            <w:tr w14:paraId="18E9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noWrap w:val="0"/>
                  <w:vAlign w:val="center"/>
                </w:tcPr>
                <w:p w14:paraId="70ECDB5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10</w:t>
                  </w:r>
                </w:p>
              </w:tc>
              <w:tc>
                <w:tcPr>
                  <w:tcW w:w="563" w:type="pct"/>
                  <w:vMerge w:val="continue"/>
                  <w:noWrap w:val="0"/>
                  <w:vAlign w:val="center"/>
                </w:tcPr>
                <w:p w14:paraId="09510C4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rPr>
                  </w:pPr>
                </w:p>
              </w:tc>
              <w:tc>
                <w:tcPr>
                  <w:tcW w:w="812" w:type="pct"/>
                  <w:noWrap w:val="0"/>
                  <w:vAlign w:val="center"/>
                </w:tcPr>
                <w:p w14:paraId="68F45C9C">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0"/>
                      <w:szCs w:val="21"/>
                      <w:u w:val="single" w:color="auto"/>
                      <w:lang w:eastAsia="zh-CN"/>
                    </w:rPr>
                  </w:pPr>
                  <w:r>
                    <w:rPr>
                      <w:rFonts w:hint="default" w:ascii="Times New Roman" w:hAnsi="Times New Roman" w:eastAsia="宋体" w:cs="Times New Roman"/>
                      <w:b w:val="0"/>
                      <w:bCs/>
                      <w:color w:val="auto"/>
                      <w:sz w:val="21"/>
                      <w:szCs w:val="21"/>
                      <w:u w:val="single" w:color="auto"/>
                    </w:rPr>
                    <w:t>废</w:t>
                  </w:r>
                  <w:r>
                    <w:rPr>
                      <w:rFonts w:hint="eastAsia" w:cs="Times New Roman"/>
                      <w:b w:val="0"/>
                      <w:bCs/>
                      <w:color w:val="auto"/>
                      <w:sz w:val="21"/>
                      <w:szCs w:val="21"/>
                      <w:u w:val="single" w:color="auto"/>
                      <w:lang w:val="en-US" w:eastAsia="zh-CN"/>
                    </w:rPr>
                    <w:t>油桶</w:t>
                  </w:r>
                </w:p>
              </w:tc>
              <w:tc>
                <w:tcPr>
                  <w:tcW w:w="628" w:type="pct"/>
                  <w:noWrap w:val="0"/>
                  <w:vAlign w:val="center"/>
                </w:tcPr>
                <w:p w14:paraId="6A430C0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u w:val="single" w:color="auto"/>
                    </w:rPr>
                  </w:pPr>
                  <w:r>
                    <w:rPr>
                      <w:rFonts w:hint="default" w:ascii="Times New Roman" w:hAnsi="Times New Roman" w:eastAsia="宋体" w:cs="Times New Roman"/>
                      <w:bCs/>
                      <w:color w:val="auto"/>
                      <w:szCs w:val="21"/>
                      <w:u w:val="single" w:color="auto"/>
                    </w:rPr>
                    <w:t>涉水、气</w:t>
                  </w:r>
                </w:p>
              </w:tc>
              <w:tc>
                <w:tcPr>
                  <w:tcW w:w="747" w:type="pct"/>
                  <w:noWrap w:val="0"/>
                  <w:vAlign w:val="center"/>
                </w:tcPr>
                <w:p w14:paraId="33082A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color="auto"/>
                      <w:lang w:val="en-US" w:eastAsia="zh-CN"/>
                    </w:rPr>
                  </w:pPr>
                  <w:r>
                    <w:rPr>
                      <w:rFonts w:hint="eastAsia"/>
                      <w:color w:val="auto"/>
                      <w:sz w:val="21"/>
                      <w:szCs w:val="21"/>
                      <w:u w:val="single" w:color="auto"/>
                      <w:lang w:val="en-US" w:eastAsia="zh-CN"/>
                    </w:rPr>
                    <w:t>1.4</w:t>
                  </w:r>
                </w:p>
              </w:tc>
              <w:tc>
                <w:tcPr>
                  <w:tcW w:w="537" w:type="pct"/>
                  <w:noWrap w:val="0"/>
                  <w:vAlign w:val="center"/>
                </w:tcPr>
                <w:p w14:paraId="41F7C21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spacing w:val="-18"/>
                      <w:kern w:val="0"/>
                      <w:szCs w:val="21"/>
                      <w:u w:val="single" w:color="auto"/>
                      <w:lang w:val="en-US" w:eastAsia="zh-CN"/>
                    </w:rPr>
                  </w:pPr>
                  <w:r>
                    <w:rPr>
                      <w:rFonts w:hint="eastAsia" w:cs="Times New Roman"/>
                      <w:snapToGrid w:val="0"/>
                      <w:color w:val="auto"/>
                      <w:spacing w:val="-18"/>
                      <w:kern w:val="0"/>
                      <w:szCs w:val="21"/>
                      <w:u w:val="single" w:color="auto"/>
                      <w:lang w:val="en-US" w:eastAsia="zh-CN"/>
                    </w:rPr>
                    <w:t>桶装</w:t>
                  </w:r>
                </w:p>
              </w:tc>
              <w:tc>
                <w:tcPr>
                  <w:tcW w:w="592" w:type="pct"/>
                  <w:noWrap w:val="0"/>
                  <w:vAlign w:val="center"/>
                </w:tcPr>
                <w:p w14:paraId="6187D152">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szCs w:val="21"/>
                      <w:u w:val="single" w:color="auto"/>
                      <w:lang w:val="en-US" w:eastAsia="zh-CN"/>
                    </w:rPr>
                  </w:pPr>
                  <w:r>
                    <w:rPr>
                      <w:rFonts w:hint="eastAsia" w:ascii="Times New Roman" w:hAnsi="Times New Roman" w:eastAsia="宋体" w:cs="Times New Roman"/>
                      <w:color w:val="auto"/>
                      <w:szCs w:val="21"/>
                      <w:u w:val="single" w:color="auto"/>
                      <w:lang w:val="en-US" w:eastAsia="zh-CN"/>
                    </w:rPr>
                    <w:t>50</w:t>
                  </w:r>
                </w:p>
              </w:tc>
              <w:tc>
                <w:tcPr>
                  <w:tcW w:w="632" w:type="pct"/>
                  <w:noWrap w:val="0"/>
                  <w:vAlign w:val="center"/>
                </w:tcPr>
                <w:p w14:paraId="6F958E1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0.028</w:t>
                  </w:r>
                </w:p>
              </w:tc>
            </w:tr>
            <w:tr w14:paraId="102A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noWrap w:val="0"/>
                  <w:vAlign w:val="center"/>
                </w:tcPr>
                <w:p w14:paraId="18B5CD61">
                  <w:pPr>
                    <w:keepNext w:val="0"/>
                    <w:keepLines w:val="0"/>
                    <w:suppressLineNumbers w:val="0"/>
                    <w:snapToGrid w:val="0"/>
                    <w:spacing w:before="0" w:beforeAutospacing="0" w:after="0" w:afterAutospacing="0"/>
                    <w:ind w:left="0" w:right="0"/>
                    <w:jc w:val="center"/>
                    <w:rPr>
                      <w:rFonts w:hint="default" w:cs="Times New Roman"/>
                      <w:bCs/>
                      <w:color w:val="auto"/>
                      <w:szCs w:val="21"/>
                      <w:u w:val="single" w:color="auto"/>
                      <w:lang w:val="en-US" w:eastAsia="zh-CN"/>
                    </w:rPr>
                  </w:pPr>
                  <w:r>
                    <w:rPr>
                      <w:rFonts w:hint="eastAsia" w:cs="Times New Roman"/>
                      <w:bCs/>
                      <w:color w:val="auto"/>
                      <w:szCs w:val="21"/>
                      <w:u w:val="single" w:color="auto"/>
                      <w:lang w:val="en-US" w:eastAsia="zh-CN"/>
                    </w:rPr>
                    <w:t>11</w:t>
                  </w:r>
                </w:p>
              </w:tc>
              <w:tc>
                <w:tcPr>
                  <w:tcW w:w="563" w:type="pct"/>
                  <w:vMerge w:val="continue"/>
                  <w:noWrap w:val="0"/>
                  <w:vAlign w:val="center"/>
                </w:tcPr>
                <w:p w14:paraId="0AE9217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u w:val="single" w:color="auto"/>
                    </w:rPr>
                  </w:pPr>
                </w:p>
              </w:tc>
              <w:tc>
                <w:tcPr>
                  <w:tcW w:w="812" w:type="pct"/>
                  <w:noWrap w:val="0"/>
                  <w:vAlign w:val="center"/>
                </w:tcPr>
                <w:p w14:paraId="59E55D2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u w:val="single" w:color="auto"/>
                      <w:lang w:val="en-US" w:eastAsia="zh-CN"/>
                    </w:rPr>
                  </w:pPr>
                  <w:r>
                    <w:rPr>
                      <w:rFonts w:hint="eastAsia" w:cs="Times New Roman"/>
                      <w:b w:val="0"/>
                      <w:bCs/>
                      <w:color w:val="auto"/>
                      <w:sz w:val="21"/>
                      <w:szCs w:val="21"/>
                      <w:u w:val="single" w:color="auto"/>
                      <w:lang w:val="en-US" w:eastAsia="zh-CN"/>
                    </w:rPr>
                    <w:t>隔油渣</w:t>
                  </w:r>
                </w:p>
              </w:tc>
              <w:tc>
                <w:tcPr>
                  <w:tcW w:w="628" w:type="pct"/>
                  <w:noWrap w:val="0"/>
                  <w:vAlign w:val="center"/>
                </w:tcPr>
                <w:p w14:paraId="1C4E2F80">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涉水</w:t>
                  </w:r>
                </w:p>
              </w:tc>
              <w:tc>
                <w:tcPr>
                  <w:tcW w:w="747" w:type="pct"/>
                  <w:noWrap w:val="0"/>
                  <w:vAlign w:val="center"/>
                </w:tcPr>
                <w:p w14:paraId="40929831">
                  <w:pPr>
                    <w:keepNext w:val="0"/>
                    <w:keepLines w:val="0"/>
                    <w:suppressLineNumbers w:val="0"/>
                    <w:spacing w:before="0" w:beforeAutospacing="0" w:after="0" w:afterAutospacing="0"/>
                    <w:ind w:left="0" w:right="0"/>
                    <w:jc w:val="center"/>
                    <w:rPr>
                      <w:rFonts w:hint="default"/>
                      <w:color w:val="auto"/>
                      <w:sz w:val="21"/>
                      <w:szCs w:val="21"/>
                      <w:u w:val="single" w:color="auto"/>
                      <w:lang w:val="en-US" w:eastAsia="zh-CN"/>
                    </w:rPr>
                  </w:pPr>
                  <w:r>
                    <w:rPr>
                      <w:rFonts w:hint="eastAsia"/>
                      <w:color w:val="auto"/>
                      <w:sz w:val="21"/>
                      <w:szCs w:val="21"/>
                      <w:u w:val="single" w:color="auto"/>
                      <w:lang w:val="en-US" w:eastAsia="zh-CN"/>
                    </w:rPr>
                    <w:t>0.2</w:t>
                  </w:r>
                </w:p>
              </w:tc>
              <w:tc>
                <w:tcPr>
                  <w:tcW w:w="537" w:type="pct"/>
                  <w:noWrap w:val="0"/>
                  <w:vAlign w:val="center"/>
                </w:tcPr>
                <w:p w14:paraId="025E857D">
                  <w:pPr>
                    <w:keepNext w:val="0"/>
                    <w:keepLines w:val="0"/>
                    <w:suppressLineNumbers w:val="0"/>
                    <w:spacing w:before="0" w:beforeAutospacing="0" w:after="0" w:afterAutospacing="0"/>
                    <w:ind w:left="0" w:right="0"/>
                    <w:jc w:val="center"/>
                    <w:rPr>
                      <w:rFonts w:hint="default" w:cs="Times New Roman"/>
                      <w:snapToGrid w:val="0"/>
                      <w:color w:val="auto"/>
                      <w:spacing w:val="-18"/>
                      <w:kern w:val="0"/>
                      <w:szCs w:val="21"/>
                      <w:u w:val="single" w:color="auto"/>
                      <w:lang w:val="en-US" w:eastAsia="zh-CN"/>
                    </w:rPr>
                  </w:pPr>
                  <w:r>
                    <w:rPr>
                      <w:rFonts w:hint="eastAsia" w:cs="Times New Roman"/>
                      <w:snapToGrid w:val="0"/>
                      <w:color w:val="auto"/>
                      <w:spacing w:val="-18"/>
                      <w:kern w:val="0"/>
                      <w:szCs w:val="21"/>
                      <w:u w:val="single" w:color="auto"/>
                      <w:lang w:val="en-US" w:eastAsia="zh-CN"/>
                    </w:rPr>
                    <w:t>桶装</w:t>
                  </w:r>
                </w:p>
              </w:tc>
              <w:tc>
                <w:tcPr>
                  <w:tcW w:w="592" w:type="pct"/>
                  <w:noWrap w:val="0"/>
                  <w:vAlign w:val="center"/>
                </w:tcPr>
                <w:p w14:paraId="3F0B3F9D">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Cs w:val="21"/>
                      <w:u w:val="single" w:color="auto"/>
                      <w:lang w:val="en-US" w:eastAsia="zh-CN"/>
                    </w:rPr>
                  </w:pPr>
                  <w:r>
                    <w:rPr>
                      <w:rFonts w:hint="eastAsia" w:cs="Times New Roman"/>
                      <w:color w:val="auto"/>
                      <w:szCs w:val="21"/>
                      <w:u w:val="single" w:color="auto"/>
                      <w:lang w:val="en-US" w:eastAsia="zh-CN"/>
                    </w:rPr>
                    <w:t>50</w:t>
                  </w:r>
                </w:p>
              </w:tc>
              <w:tc>
                <w:tcPr>
                  <w:tcW w:w="632" w:type="pct"/>
                  <w:noWrap w:val="0"/>
                  <w:vAlign w:val="center"/>
                </w:tcPr>
                <w:p w14:paraId="41FF82C3">
                  <w:pPr>
                    <w:keepNext w:val="0"/>
                    <w:keepLines w:val="0"/>
                    <w:suppressLineNumbers w:val="0"/>
                    <w:spacing w:before="0" w:beforeAutospacing="0" w:after="0" w:afterAutospacing="0"/>
                    <w:ind w:left="0" w:right="0"/>
                    <w:jc w:val="center"/>
                    <w:rPr>
                      <w:rFonts w:hint="default" w:cs="Times New Roman"/>
                      <w:bCs/>
                      <w:color w:val="auto"/>
                      <w:szCs w:val="21"/>
                      <w:u w:val="single" w:color="auto"/>
                      <w:lang w:val="en-US" w:eastAsia="zh-CN"/>
                    </w:rPr>
                  </w:pPr>
                  <w:r>
                    <w:rPr>
                      <w:rFonts w:hint="eastAsia" w:cs="Times New Roman"/>
                      <w:bCs/>
                      <w:color w:val="auto"/>
                      <w:szCs w:val="21"/>
                      <w:u w:val="single" w:color="auto"/>
                      <w:lang w:val="en-US" w:eastAsia="zh-CN"/>
                    </w:rPr>
                    <w:t>0.004</w:t>
                  </w:r>
                </w:p>
              </w:tc>
            </w:tr>
            <w:tr w14:paraId="01CF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367" w:type="pct"/>
                  <w:gridSpan w:val="7"/>
                  <w:noWrap w:val="0"/>
                  <w:vAlign w:val="center"/>
                </w:tcPr>
                <w:p w14:paraId="034527A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u w:val="single" w:color="auto"/>
                    </w:rPr>
                  </w:pPr>
                  <w:r>
                    <w:rPr>
                      <w:rFonts w:hint="default" w:ascii="Times New Roman" w:hAnsi="Times New Roman" w:eastAsia="宋体" w:cs="Times New Roman"/>
                      <w:bCs/>
                      <w:color w:val="auto"/>
                      <w:szCs w:val="21"/>
                      <w:u w:val="single" w:color="auto"/>
                    </w:rPr>
                    <w:t>Q值合计</w:t>
                  </w:r>
                </w:p>
              </w:tc>
              <w:tc>
                <w:tcPr>
                  <w:tcW w:w="632" w:type="pct"/>
                  <w:noWrap w:val="0"/>
                  <w:vAlign w:val="center"/>
                </w:tcPr>
                <w:p w14:paraId="6D1B44D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u w:val="single" w:color="auto"/>
                      <w:lang w:val="en-US" w:eastAsia="zh-CN"/>
                    </w:rPr>
                  </w:pPr>
                  <w:r>
                    <w:rPr>
                      <w:rFonts w:hint="eastAsia" w:cs="Times New Roman"/>
                      <w:bCs/>
                      <w:color w:val="auto"/>
                      <w:szCs w:val="21"/>
                      <w:u w:val="single" w:color="auto"/>
                      <w:lang w:val="en-US" w:eastAsia="zh-CN"/>
                    </w:rPr>
                    <w:t>0.25556</w:t>
                  </w:r>
                </w:p>
              </w:tc>
            </w:tr>
          </w:tbl>
          <w:p w14:paraId="04493453">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b w:val="0"/>
                <w:bCs w:val="0"/>
                <w:color w:val="auto"/>
                <w:sz w:val="24"/>
                <w:szCs w:val="24"/>
                <w:u w:val="none" w:color="auto"/>
                <w:lang w:eastAsia="zh-CN"/>
              </w:rPr>
            </w:pPr>
            <w:r>
              <w:rPr>
                <w:rFonts w:hint="default" w:ascii="Times New Roman" w:hAnsi="Times New Roman" w:eastAsia="宋体" w:cs="Times New Roman"/>
                <w:b w:val="0"/>
                <w:bCs w:val="0"/>
                <w:color w:val="auto"/>
                <w:sz w:val="24"/>
                <w:szCs w:val="24"/>
                <w:u w:val="single" w:color="auto"/>
                <w:lang w:eastAsia="zh-CN"/>
              </w:rPr>
              <w:t>本</w:t>
            </w:r>
            <w:r>
              <w:rPr>
                <w:rFonts w:hint="eastAsia" w:ascii="Times New Roman" w:hAnsi="Times New Roman" w:eastAsia="宋体" w:cs="Times New Roman"/>
                <w:b w:val="0"/>
                <w:bCs w:val="0"/>
                <w:color w:val="auto"/>
                <w:sz w:val="24"/>
                <w:szCs w:val="24"/>
                <w:u w:val="single" w:color="auto"/>
                <w:lang w:val="en-US" w:eastAsia="zh-CN"/>
              </w:rPr>
              <w:t>次技改项目</w:t>
            </w:r>
            <w:r>
              <w:rPr>
                <w:rFonts w:hint="default" w:ascii="Times New Roman" w:hAnsi="Times New Roman" w:eastAsia="宋体" w:cs="Times New Roman"/>
                <w:b w:val="0"/>
                <w:bCs w:val="0"/>
                <w:color w:val="auto"/>
                <w:sz w:val="24"/>
                <w:szCs w:val="24"/>
                <w:u w:val="single" w:color="auto"/>
                <w:lang w:eastAsia="zh-CN"/>
              </w:rPr>
              <w:t>，</w:t>
            </w:r>
            <w:r>
              <w:rPr>
                <w:rFonts w:hint="eastAsia" w:ascii="Times New Roman" w:hAnsi="Times New Roman" w:eastAsia="宋体" w:cs="Times New Roman"/>
                <w:b w:val="0"/>
                <w:bCs w:val="0"/>
                <w:color w:val="auto"/>
                <w:sz w:val="24"/>
                <w:szCs w:val="24"/>
                <w:u w:val="single" w:color="auto"/>
                <w:lang w:val="en-US" w:eastAsia="zh-CN"/>
              </w:rPr>
              <w:t>不涉及风险物质及危险废物</w:t>
            </w:r>
            <w:r>
              <w:rPr>
                <w:rFonts w:hint="default" w:ascii="Times New Roman" w:hAnsi="Times New Roman" w:eastAsia="宋体" w:cs="Times New Roman"/>
                <w:b w:val="0"/>
                <w:bCs w:val="0"/>
                <w:color w:val="auto"/>
                <w:sz w:val="24"/>
                <w:szCs w:val="24"/>
                <w:u w:val="single" w:color="auto"/>
                <w:lang w:eastAsia="zh-CN"/>
              </w:rPr>
              <w:t>，</w:t>
            </w:r>
            <w:r>
              <w:rPr>
                <w:rFonts w:hint="eastAsia" w:ascii="Times New Roman" w:hAnsi="Times New Roman" w:eastAsia="宋体" w:cs="Times New Roman"/>
                <w:b w:val="0"/>
                <w:bCs w:val="0"/>
                <w:color w:val="auto"/>
                <w:sz w:val="24"/>
                <w:szCs w:val="24"/>
                <w:u w:val="single" w:color="auto"/>
                <w:lang w:val="en-US" w:eastAsia="zh-CN"/>
              </w:rPr>
              <w:t>Q=0.25556，</w:t>
            </w:r>
            <w:r>
              <w:rPr>
                <w:rFonts w:hint="default" w:ascii="Times New Roman" w:hAnsi="Times New Roman" w:eastAsia="宋体" w:cs="Times New Roman"/>
                <w:b w:val="0"/>
                <w:bCs w:val="0"/>
                <w:color w:val="auto"/>
                <w:sz w:val="24"/>
                <w:szCs w:val="24"/>
                <w:u w:val="single" w:color="auto"/>
                <w:lang w:eastAsia="zh-CN"/>
              </w:rPr>
              <w:t>当Q＜1时，根据《建设项目环境风险评价技术导则》（HJ169-2018），本项目环境风险潜势为Ⅰ，可开展简单分析。</w:t>
            </w:r>
          </w:p>
          <w:p w14:paraId="26FFB5B9">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sz w:val="24"/>
                <w:szCs w:val="24"/>
                <w:u w:val="none" w:color="auto"/>
                <w:lang w:eastAsia="zh-CN"/>
              </w:rPr>
            </w:pPr>
            <w:r>
              <w:rPr>
                <w:rFonts w:hint="eastAsia" w:ascii="Times New Roman" w:hAnsi="Times New Roman" w:eastAsia="宋体" w:cs="Times New Roman"/>
                <w:b/>
                <w:bCs/>
                <w:color w:val="auto"/>
                <w:sz w:val="24"/>
                <w:szCs w:val="24"/>
                <w:u w:val="none" w:color="auto"/>
                <w:lang w:val="en-US" w:eastAsia="zh-CN"/>
              </w:rPr>
              <w:t>6.1、</w:t>
            </w:r>
            <w:r>
              <w:rPr>
                <w:rFonts w:hint="eastAsia" w:ascii="Times New Roman" w:hAnsi="Times New Roman" w:eastAsia="宋体" w:cs="Times New Roman"/>
                <w:b/>
                <w:bCs/>
                <w:color w:val="auto"/>
                <w:sz w:val="24"/>
                <w:szCs w:val="24"/>
                <w:u w:val="none" w:color="auto"/>
                <w:lang w:eastAsia="zh-CN"/>
              </w:rPr>
              <w:t>火灾风险影响分析</w:t>
            </w:r>
          </w:p>
          <w:p w14:paraId="0A1C1C2B">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1、</w:t>
            </w:r>
            <w:r>
              <w:rPr>
                <w:rFonts w:hint="eastAsia" w:ascii="Times New Roman" w:hAnsi="Times New Roman" w:eastAsia="宋体" w:cs="Times New Roman"/>
                <w:b w:val="0"/>
                <w:bCs w:val="0"/>
                <w:color w:val="auto"/>
                <w:sz w:val="24"/>
                <w:szCs w:val="24"/>
                <w:u w:val="none" w:color="auto"/>
                <w:lang w:val="en-US" w:eastAsia="zh-CN"/>
              </w:rPr>
              <w:t>油品</w:t>
            </w:r>
            <w:r>
              <w:rPr>
                <w:rFonts w:hint="eastAsia" w:ascii="Times New Roman" w:hAnsi="Times New Roman" w:eastAsia="宋体" w:cs="Times New Roman"/>
                <w:b w:val="0"/>
                <w:bCs w:val="0"/>
                <w:color w:val="auto"/>
                <w:sz w:val="24"/>
                <w:szCs w:val="24"/>
                <w:u w:val="none" w:color="auto"/>
                <w:lang w:eastAsia="zh-CN"/>
              </w:rPr>
              <w:t>存储环境因素分析</w:t>
            </w:r>
          </w:p>
          <w:p w14:paraId="6C0A8B4F">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项目</w:t>
            </w:r>
            <w:r>
              <w:rPr>
                <w:rFonts w:hint="eastAsia" w:ascii="Times New Roman" w:hAnsi="Times New Roman" w:eastAsia="宋体" w:cs="Times New Roman"/>
                <w:b w:val="0"/>
                <w:bCs w:val="0"/>
                <w:color w:val="auto"/>
                <w:sz w:val="24"/>
                <w:szCs w:val="24"/>
                <w:u w:val="none" w:color="auto"/>
                <w:lang w:val="en-US" w:eastAsia="zh-CN"/>
              </w:rPr>
              <w:t>油品如润滑油、切削液、防锈油</w:t>
            </w:r>
            <w:r>
              <w:rPr>
                <w:rFonts w:hint="eastAsia" w:ascii="Times New Roman" w:hAnsi="Times New Roman" w:eastAsia="宋体" w:cs="Times New Roman"/>
                <w:b w:val="0"/>
                <w:bCs w:val="0"/>
                <w:color w:val="auto"/>
                <w:sz w:val="24"/>
                <w:szCs w:val="24"/>
                <w:u w:val="none" w:color="auto"/>
                <w:lang w:eastAsia="zh-CN"/>
              </w:rPr>
              <w:t>储存过程中存在的环境风险为火灾风险。诱发火灾的因素主要有：违章吸烟、动火；使用气焊、电焊等进行设备维修时，未采取有效防护措施；电气线路和电气设备在开关断开、接触不良、短路、漏电时产生火花，以及静电放电火花；未采取有效避雷措施，或者避雷措施失效而导致雷击失火等。</w:t>
            </w:r>
          </w:p>
          <w:p w14:paraId="6438EB16">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2、事故次生/伴生污染影响分析</w:t>
            </w:r>
          </w:p>
          <w:p w14:paraId="4EB4F32D">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（1）大气环境影响</w:t>
            </w:r>
          </w:p>
          <w:p w14:paraId="6092FFDC">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发生火灾对环境的污染影响主要来自物料燃烧释放的大量有害气体。据以往报道，在火灾而造成的人员死亡中，3/4的人死于有害气体，而且有害气体中主要的有毒物质。火灾发生时虽不可避免的对厂区内人员安全与生产设施产生较大的不利影响，但火灾发生时有害气体对周围敏感点环境空气质量只产生暂时性影响，短时内会造成周围敏感点环境空气质量一定程度的恶化，但不会对人体健康造成损害。</w:t>
            </w:r>
          </w:p>
          <w:p w14:paraId="7D0A2C85">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（2）水环境影响</w:t>
            </w:r>
          </w:p>
          <w:p w14:paraId="4134693A">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发生火灾事故后，会产生大量消防污水，如果下渗或者外排则会影响区域地下水和地表水环境，造成地下水和地表水污染。</w:t>
            </w:r>
          </w:p>
          <w:p w14:paraId="6835B6E8">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sz w:val="24"/>
                <w:szCs w:val="24"/>
                <w:u w:val="none" w:color="auto"/>
                <w:lang w:eastAsia="zh-CN"/>
              </w:rPr>
            </w:pPr>
            <w:r>
              <w:rPr>
                <w:rFonts w:hint="eastAsia" w:ascii="Times New Roman" w:hAnsi="Times New Roman" w:eastAsia="宋体" w:cs="Times New Roman"/>
                <w:b/>
                <w:bCs/>
                <w:color w:val="auto"/>
                <w:sz w:val="24"/>
                <w:szCs w:val="24"/>
                <w:u w:val="none" w:color="auto"/>
                <w:lang w:val="en-US" w:eastAsia="zh-CN"/>
              </w:rPr>
              <w:t>6.2、</w:t>
            </w:r>
            <w:r>
              <w:rPr>
                <w:rFonts w:hint="eastAsia" w:ascii="Times New Roman" w:hAnsi="Times New Roman" w:eastAsia="宋体" w:cs="Times New Roman"/>
                <w:b/>
                <w:bCs/>
                <w:color w:val="auto"/>
                <w:sz w:val="24"/>
                <w:szCs w:val="24"/>
                <w:u w:val="none" w:color="auto"/>
                <w:lang w:eastAsia="zh-CN"/>
              </w:rPr>
              <w:t>危险废物环境风险事故分析</w:t>
            </w:r>
          </w:p>
          <w:p w14:paraId="75DB450A">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本项目危险废物存放于危废暂存间，正常存放情况下，不会对周边环境产生不良影响。若随意丢弃，不按规范摆放和贮存，可能造成危险废物中含有的有毒有害物质的泄漏、流失，若直接进入环境，可能造成残留物污染水体、土壤、地下水，影响地表水水质、土壤土质、地下水水质，对周边环境将造成较大影响。</w:t>
            </w:r>
          </w:p>
          <w:p w14:paraId="73BC8711">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sz w:val="24"/>
                <w:szCs w:val="24"/>
                <w:u w:val="none" w:color="auto"/>
                <w:lang w:eastAsia="zh-CN"/>
              </w:rPr>
            </w:pPr>
            <w:r>
              <w:rPr>
                <w:rFonts w:hint="eastAsia" w:ascii="Times New Roman" w:hAnsi="Times New Roman" w:eastAsia="宋体" w:cs="Times New Roman"/>
                <w:b/>
                <w:bCs/>
                <w:color w:val="auto"/>
                <w:sz w:val="24"/>
                <w:szCs w:val="24"/>
                <w:u w:val="none" w:color="auto"/>
                <w:lang w:val="en-US" w:eastAsia="zh-CN"/>
              </w:rPr>
              <w:t>6.3、</w:t>
            </w:r>
            <w:r>
              <w:rPr>
                <w:rFonts w:hint="eastAsia" w:ascii="Times New Roman" w:hAnsi="Times New Roman" w:eastAsia="宋体" w:cs="Times New Roman"/>
                <w:b/>
                <w:bCs/>
                <w:color w:val="auto"/>
                <w:sz w:val="24"/>
                <w:szCs w:val="24"/>
                <w:u w:val="none" w:color="auto"/>
                <w:lang w:eastAsia="zh-CN"/>
              </w:rPr>
              <w:t>环境设施发生故障导致的环境风险分析</w:t>
            </w:r>
          </w:p>
          <w:p w14:paraId="4AB6C3C3">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val="en-US" w:eastAsia="zh-CN"/>
              </w:rPr>
              <w:t>废气</w:t>
            </w:r>
            <w:r>
              <w:rPr>
                <w:rFonts w:hint="eastAsia" w:ascii="Times New Roman" w:hAnsi="Times New Roman" w:eastAsia="宋体" w:cs="Times New Roman"/>
                <w:b w:val="0"/>
                <w:bCs w:val="0"/>
                <w:color w:val="auto"/>
                <w:sz w:val="24"/>
                <w:szCs w:val="24"/>
                <w:u w:val="none" w:color="auto"/>
                <w:lang w:eastAsia="zh-CN"/>
              </w:rPr>
              <w:t>经配套处理措施处理后可达标排放，当</w:t>
            </w:r>
            <w:r>
              <w:rPr>
                <w:rFonts w:hint="eastAsia" w:ascii="Times New Roman" w:hAnsi="Times New Roman" w:eastAsia="宋体" w:cs="Times New Roman"/>
                <w:b w:val="0"/>
                <w:bCs w:val="0"/>
                <w:color w:val="auto"/>
                <w:sz w:val="24"/>
                <w:szCs w:val="24"/>
                <w:u w:val="none" w:color="auto"/>
                <w:lang w:val="en-US" w:eastAsia="zh-CN"/>
              </w:rPr>
              <w:t>废气</w:t>
            </w:r>
            <w:r>
              <w:rPr>
                <w:rFonts w:hint="eastAsia" w:ascii="Times New Roman" w:hAnsi="Times New Roman" w:eastAsia="宋体" w:cs="Times New Roman"/>
                <w:b w:val="0"/>
                <w:bCs w:val="0"/>
                <w:color w:val="auto"/>
                <w:sz w:val="24"/>
                <w:szCs w:val="24"/>
                <w:u w:val="none" w:color="auto"/>
                <w:lang w:eastAsia="zh-CN"/>
              </w:rPr>
              <w:t>污染治理措施发生故障时，将导致</w:t>
            </w:r>
            <w:r>
              <w:rPr>
                <w:rFonts w:hint="eastAsia" w:ascii="Times New Roman" w:hAnsi="Times New Roman" w:eastAsia="宋体" w:cs="Times New Roman"/>
                <w:b w:val="0"/>
                <w:bCs w:val="0"/>
                <w:color w:val="auto"/>
                <w:sz w:val="24"/>
                <w:szCs w:val="24"/>
                <w:u w:val="none" w:color="auto"/>
                <w:lang w:val="en-US" w:eastAsia="zh-CN"/>
              </w:rPr>
              <w:t>废气</w:t>
            </w:r>
            <w:r>
              <w:rPr>
                <w:rFonts w:hint="eastAsia" w:ascii="Times New Roman" w:hAnsi="Times New Roman" w:eastAsia="宋体" w:cs="Times New Roman"/>
                <w:b w:val="0"/>
                <w:bCs w:val="0"/>
                <w:color w:val="auto"/>
                <w:sz w:val="24"/>
                <w:szCs w:val="24"/>
                <w:u w:val="none" w:color="auto"/>
                <w:lang w:eastAsia="zh-CN"/>
              </w:rPr>
              <w:t>事故排放，将对周围空气质量将造成一定的不利影响，且不符合环保要求，项目应采取措施杜绝非正常排放。</w:t>
            </w:r>
          </w:p>
          <w:p w14:paraId="3D684BC6">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sz w:val="24"/>
                <w:szCs w:val="24"/>
                <w:u w:val="none" w:color="auto"/>
                <w:lang w:eastAsia="zh-CN"/>
              </w:rPr>
            </w:pPr>
            <w:r>
              <w:rPr>
                <w:rFonts w:hint="eastAsia" w:ascii="Times New Roman" w:hAnsi="Times New Roman" w:eastAsia="宋体" w:cs="Times New Roman"/>
                <w:b/>
                <w:bCs/>
                <w:color w:val="auto"/>
                <w:sz w:val="24"/>
                <w:szCs w:val="24"/>
                <w:u w:val="none" w:color="auto"/>
                <w:lang w:val="en-US" w:eastAsia="zh-CN"/>
              </w:rPr>
              <w:t>6.4、</w:t>
            </w:r>
            <w:r>
              <w:rPr>
                <w:rFonts w:hint="eastAsia" w:ascii="Times New Roman" w:hAnsi="Times New Roman" w:eastAsia="宋体" w:cs="Times New Roman"/>
                <w:b/>
                <w:bCs/>
                <w:color w:val="auto"/>
                <w:sz w:val="24"/>
                <w:szCs w:val="24"/>
                <w:u w:val="none" w:color="auto"/>
                <w:lang w:eastAsia="zh-CN"/>
              </w:rPr>
              <w:t>环境风险防范措施及应急要求</w:t>
            </w:r>
          </w:p>
          <w:p w14:paraId="5BBEADDC">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bCs/>
                <w:color w:val="auto"/>
                <w:sz w:val="24"/>
                <w:szCs w:val="24"/>
                <w:u w:val="none" w:color="auto"/>
                <w:lang w:eastAsia="zh-CN"/>
              </w:rPr>
            </w:pPr>
            <w:r>
              <w:rPr>
                <w:rFonts w:hint="eastAsia" w:ascii="Times New Roman" w:hAnsi="Times New Roman" w:eastAsia="宋体" w:cs="Times New Roman"/>
                <w:b/>
                <w:bCs/>
                <w:color w:val="auto"/>
                <w:sz w:val="24"/>
                <w:szCs w:val="24"/>
                <w:u w:val="none" w:color="auto"/>
                <w:lang w:eastAsia="zh-CN"/>
              </w:rPr>
              <w:t>火灾事故风险防范措施</w:t>
            </w:r>
          </w:p>
          <w:p w14:paraId="2B95E046">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（1）消除和控制明火源：在生产区及原料区及成品存放区内设置严禁烟火标志，严禁携带火柴、打火机等；在各厂房处配备灭火器、消防栓、消防沙等消防物资，以便及时扑灭初期火灾。</w:t>
            </w:r>
          </w:p>
          <w:p w14:paraId="642A4652">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（2）防止电气火花：采取有效措施防止电气线路和电气设备在开关断开、接触不良、短路、漏电时产生火花，防止静电放电火花；采取防雷接地措施，防止雷电放电火花。</w:t>
            </w:r>
          </w:p>
          <w:p w14:paraId="0542BEC5">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（3）原料、成品储存于阴凉、通风处。库温不超过30℃，相对湿度不超过85％，保持干燥通风。</w:t>
            </w:r>
          </w:p>
          <w:p w14:paraId="71C7EF07">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（4）定期对原料使用过程中的相关人员，如联络员、仓管员、直接使用人员进行过程检查，定期对上述人员进行相关知识教育和岗位职责培训。</w:t>
            </w:r>
          </w:p>
          <w:p w14:paraId="3C838FFB">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（5）严格控制原料品质，做到从源头防控风险事故，严禁收购医疗废物及危险废物类废塑料。</w:t>
            </w:r>
          </w:p>
          <w:p w14:paraId="20DE1C6D">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bCs/>
                <w:color w:val="auto"/>
                <w:sz w:val="24"/>
                <w:szCs w:val="24"/>
                <w:u w:val="none" w:color="auto"/>
                <w:lang w:eastAsia="zh-CN"/>
              </w:rPr>
            </w:pPr>
            <w:r>
              <w:rPr>
                <w:rFonts w:hint="eastAsia" w:ascii="Times New Roman" w:hAnsi="Times New Roman" w:eastAsia="宋体" w:cs="Times New Roman"/>
                <w:b/>
                <w:bCs/>
                <w:color w:val="auto"/>
                <w:sz w:val="24"/>
                <w:szCs w:val="24"/>
                <w:u w:val="none" w:color="auto"/>
                <w:lang w:eastAsia="zh-CN"/>
              </w:rPr>
              <w:t>原辅材料运输安全防范措施</w:t>
            </w:r>
          </w:p>
          <w:p w14:paraId="007D40D1">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本项目涉及的物料为易燃物质，该物料在起运时包装要完整，装载应稳妥。运输过程中严禁与易燃物或可燃物、食用化学品等混装混运。运输途中应防暴晒、雨淋，防高温。公路运输时要按规定路线行驶，尽量避开经过居民区和人口稠密区。</w:t>
            </w:r>
          </w:p>
          <w:p w14:paraId="5C10B6D4">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cs="Times New Roman"/>
                <w:b/>
                <w:bCs/>
                <w:color w:val="auto"/>
                <w:sz w:val="24"/>
                <w:szCs w:val="24"/>
                <w:u w:val="single" w:color="auto"/>
                <w:lang w:val="en-US" w:eastAsia="zh-CN"/>
              </w:rPr>
            </w:pPr>
            <w:r>
              <w:rPr>
                <w:rFonts w:hint="eastAsia" w:cs="Times New Roman"/>
                <w:b/>
                <w:bCs/>
                <w:color w:val="auto"/>
                <w:sz w:val="24"/>
                <w:szCs w:val="24"/>
                <w:u w:val="single" w:color="auto"/>
                <w:lang w:val="en-US" w:eastAsia="zh-CN"/>
              </w:rPr>
              <w:t>加强危废间的管理措施</w:t>
            </w:r>
          </w:p>
          <w:p w14:paraId="2EA71886">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single" w:color="auto"/>
                <w:lang w:val="en-US" w:eastAsia="zh-CN"/>
              </w:rPr>
              <w:t>为防止</w:t>
            </w:r>
            <w:r>
              <w:rPr>
                <w:rFonts w:hint="eastAsia" w:ascii="Times New Roman" w:hAnsi="Times New Roman" w:eastAsia="宋体" w:cs="Times New Roman"/>
                <w:b w:val="0"/>
                <w:bCs w:val="0"/>
                <w:color w:val="auto"/>
                <w:sz w:val="24"/>
                <w:szCs w:val="24"/>
                <w:u w:val="single" w:color="auto"/>
                <w:lang w:eastAsia="zh-CN"/>
              </w:rPr>
              <w:t>切削液、废润滑油的</w:t>
            </w:r>
            <w:r>
              <w:rPr>
                <w:rFonts w:hint="eastAsia" w:cs="Times New Roman"/>
                <w:b w:val="0"/>
                <w:bCs w:val="0"/>
                <w:color w:val="auto"/>
                <w:sz w:val="24"/>
                <w:szCs w:val="24"/>
                <w:u w:val="single" w:color="auto"/>
                <w:lang w:eastAsia="zh-CN"/>
              </w:rPr>
              <w:t>泄漏</w:t>
            </w:r>
            <w:r>
              <w:rPr>
                <w:rFonts w:hint="eastAsia" w:ascii="Times New Roman" w:hAnsi="Times New Roman" w:eastAsia="宋体" w:cs="Times New Roman"/>
                <w:b w:val="0"/>
                <w:bCs w:val="0"/>
                <w:color w:val="auto"/>
                <w:sz w:val="24"/>
                <w:szCs w:val="24"/>
                <w:u w:val="single" w:color="auto"/>
                <w:lang w:val="en-US" w:eastAsia="zh-CN"/>
              </w:rPr>
              <w:t>，对盛装容器进行加盖，底部设置托盘，危废间</w:t>
            </w:r>
            <w:r>
              <w:rPr>
                <w:rFonts w:hint="eastAsia" w:ascii="Times New Roman" w:hAnsi="Times New Roman" w:eastAsia="宋体" w:cs="Times New Roman"/>
                <w:b w:val="0"/>
                <w:bCs w:val="0"/>
                <w:color w:val="auto"/>
                <w:sz w:val="24"/>
                <w:szCs w:val="24"/>
                <w:u w:val="single" w:color="auto"/>
                <w:lang w:eastAsia="zh-CN"/>
              </w:rPr>
              <w:t>防渗层采用2mmHDPE膜+环氧地坪，渗透系数≤10</w:t>
            </w:r>
            <w:r>
              <w:rPr>
                <w:rFonts w:hint="eastAsia" w:ascii="Times New Roman" w:hAnsi="Times New Roman" w:eastAsia="宋体" w:cs="Times New Roman"/>
                <w:b w:val="0"/>
                <w:bCs w:val="0"/>
                <w:color w:val="auto"/>
                <w:sz w:val="24"/>
                <w:szCs w:val="24"/>
                <w:u w:val="single" w:color="auto"/>
                <w:vertAlign w:val="superscript"/>
                <w:lang w:eastAsia="zh-CN"/>
              </w:rPr>
              <w:t>-7</w:t>
            </w:r>
            <w:r>
              <w:rPr>
                <w:rFonts w:hint="eastAsia" w:ascii="Times New Roman" w:hAnsi="Times New Roman" w:eastAsia="宋体" w:cs="Times New Roman"/>
                <w:b w:val="0"/>
                <w:bCs w:val="0"/>
                <w:color w:val="auto"/>
                <w:sz w:val="24"/>
                <w:szCs w:val="24"/>
                <w:u w:val="single" w:color="auto"/>
                <w:lang w:eastAsia="zh-CN"/>
              </w:rPr>
              <w:t>cm/s，</w:t>
            </w:r>
            <w:r>
              <w:rPr>
                <w:rFonts w:hint="eastAsia" w:ascii="Times New Roman" w:hAnsi="Times New Roman" w:eastAsia="宋体" w:cs="Times New Roman"/>
                <w:b w:val="0"/>
                <w:bCs w:val="0"/>
                <w:color w:val="auto"/>
                <w:sz w:val="24"/>
                <w:szCs w:val="24"/>
                <w:u w:val="single" w:color="auto"/>
                <w:lang w:val="en-US" w:eastAsia="zh-CN"/>
              </w:rPr>
              <w:t>双重防渗</w:t>
            </w:r>
            <w:r>
              <w:rPr>
                <w:rFonts w:hint="eastAsia" w:cs="Times New Roman"/>
                <w:b w:val="0"/>
                <w:bCs w:val="0"/>
                <w:color w:val="auto"/>
                <w:sz w:val="24"/>
                <w:szCs w:val="24"/>
                <w:u w:val="single" w:color="auto"/>
                <w:lang w:val="en-US" w:eastAsia="zh-CN"/>
              </w:rPr>
              <w:t>，并及时转运储存的危废，最大暂存时间不能超过1年。</w:t>
            </w:r>
          </w:p>
          <w:p w14:paraId="602CA2C4">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bCs/>
                <w:color w:val="auto"/>
                <w:sz w:val="24"/>
                <w:szCs w:val="24"/>
                <w:u w:val="none" w:color="auto"/>
                <w:lang w:eastAsia="zh-CN"/>
              </w:rPr>
            </w:pPr>
            <w:r>
              <w:rPr>
                <w:rFonts w:hint="eastAsia" w:ascii="Times New Roman" w:hAnsi="Times New Roman" w:eastAsia="宋体" w:cs="Times New Roman"/>
                <w:b/>
                <w:bCs/>
                <w:color w:val="auto"/>
                <w:sz w:val="24"/>
                <w:szCs w:val="24"/>
                <w:u w:val="none" w:color="auto"/>
                <w:lang w:eastAsia="zh-CN"/>
              </w:rPr>
              <w:t>建立健全的安全环境管理制度</w:t>
            </w:r>
          </w:p>
          <w:p w14:paraId="3CD27A2F">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（1）制定和强化健康/安全/环境管理制度，并严格予以执行。</w:t>
            </w:r>
          </w:p>
          <w:p w14:paraId="4BB2B585">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2）严格执行我国有关劳动安全、环保与卫生的规范和标准，在设计、施工和运行过程中必须针对可能存在的不安全、不卫生因素采取相应的安全防护措施，消除事故隐患，一旦发生事故应采取有效措施，降低因事故引起的损失和对环境的污染。</w:t>
            </w:r>
          </w:p>
          <w:p w14:paraId="584B3762">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（3）加强原料区及成品存放区的安全环保管理，对公司职工进行安全环保的教育和培训，做到持证上岗，减少人为风险事故（如误操作）的发生。</w:t>
            </w:r>
          </w:p>
          <w:p w14:paraId="38F7A456">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w:t>
            </w:r>
            <w:r>
              <w:rPr>
                <w:rFonts w:hint="eastAsia" w:ascii="Times New Roman" w:hAnsi="Times New Roman" w:eastAsia="宋体" w:cs="Times New Roman"/>
                <w:b w:val="0"/>
                <w:bCs w:val="0"/>
                <w:color w:val="auto"/>
                <w:sz w:val="24"/>
                <w:szCs w:val="24"/>
                <w:u w:val="none" w:color="auto"/>
                <w:lang w:val="en-US" w:eastAsia="zh-CN"/>
              </w:rPr>
              <w:t>4</w:t>
            </w:r>
            <w:r>
              <w:rPr>
                <w:rFonts w:hint="eastAsia" w:ascii="Times New Roman" w:hAnsi="Times New Roman" w:eastAsia="宋体" w:cs="Times New Roman"/>
                <w:b w:val="0"/>
                <w:bCs w:val="0"/>
                <w:color w:val="auto"/>
                <w:sz w:val="24"/>
                <w:szCs w:val="24"/>
                <w:u w:val="none" w:color="auto"/>
                <w:lang w:eastAsia="zh-CN"/>
              </w:rPr>
              <w:t>）加强设备、仪表的维修、保养，定期检查各种设备，杜绝事故隐患，降低事故发生概率。定期检查和更换危险化学品的储存输送设备，杜绝由于设备劳损、折旧带来的事故隐患。</w:t>
            </w:r>
          </w:p>
          <w:p w14:paraId="15690966">
            <w:pPr>
              <w:pStyle w:val="1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8、“三本账”</w:t>
            </w:r>
          </w:p>
          <w:p w14:paraId="728C0F9F">
            <w:pPr>
              <w:keepNext w:val="0"/>
              <w:keepLines w:val="0"/>
              <w:suppressLineNumbers w:val="0"/>
              <w:spacing w:before="0" w:beforeAutospacing="0" w:after="0" w:afterAutospacing="0" w:line="360" w:lineRule="auto"/>
              <w:ind w:left="0" w:right="0" w:firstLine="480" w:firstLineChars="200"/>
              <w:rPr>
                <w:rFonts w:hint="eastAsia" w:cs="Times New Roman"/>
                <w:color w:val="auto"/>
                <w:kern w:val="2"/>
                <w:sz w:val="24"/>
                <w:szCs w:val="24"/>
                <w:u w:val="single" w:color="auto"/>
                <w:lang w:val="en-US" w:eastAsia="zh-CN" w:bidi="ar-SA"/>
              </w:rPr>
            </w:pPr>
            <w:r>
              <w:rPr>
                <w:rFonts w:hint="eastAsia" w:cs="Times New Roman"/>
                <w:color w:val="auto"/>
                <w:kern w:val="2"/>
                <w:sz w:val="24"/>
                <w:szCs w:val="24"/>
                <w:u w:val="single" w:color="auto"/>
                <w:lang w:val="en-US" w:eastAsia="zh-CN" w:bidi="ar-SA"/>
              </w:rPr>
              <w:t>根据工程分析，本项目“三本账”计算见下表：</w:t>
            </w:r>
          </w:p>
          <w:p w14:paraId="0531CEA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kern w:val="0"/>
                <w:szCs w:val="21"/>
                <w:highlight w:val="none"/>
                <w:u w:val="single" w:color="auto"/>
                <w:lang w:val="en-US" w:eastAsia="zh-CN"/>
              </w:rPr>
            </w:pPr>
            <w:r>
              <w:rPr>
                <w:rFonts w:hint="eastAsia" w:ascii="Times New Roman" w:hAnsi="Times New Roman" w:cs="Times New Roman"/>
                <w:b/>
                <w:bCs/>
                <w:color w:val="auto"/>
                <w:kern w:val="0"/>
                <w:szCs w:val="21"/>
                <w:highlight w:val="none"/>
                <w:u w:val="single" w:color="auto"/>
                <w:lang w:val="en-US" w:eastAsia="zh-CN"/>
              </w:rPr>
              <w:t>表3-8   “三本账”一览表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
              <w:gridCol w:w="358"/>
              <w:gridCol w:w="914"/>
              <w:gridCol w:w="914"/>
              <w:gridCol w:w="1129"/>
              <w:gridCol w:w="918"/>
              <w:gridCol w:w="831"/>
              <w:gridCol w:w="857"/>
              <w:gridCol w:w="958"/>
              <w:gridCol w:w="1026"/>
            </w:tblGrid>
            <w:tr w14:paraId="17D0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gridSpan w:val="3"/>
                  <w:vAlign w:val="center"/>
                </w:tcPr>
                <w:p w14:paraId="233A8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污染因子</w:t>
                  </w:r>
                </w:p>
              </w:tc>
              <w:tc>
                <w:tcPr>
                  <w:tcW w:w="914" w:type="dxa"/>
                  <w:vAlign w:val="center"/>
                </w:tcPr>
                <w:p w14:paraId="48B39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现有工程排放量①</w:t>
                  </w:r>
                </w:p>
              </w:tc>
              <w:tc>
                <w:tcPr>
                  <w:tcW w:w="1129" w:type="dxa"/>
                  <w:vAlign w:val="center"/>
                </w:tcPr>
                <w:p w14:paraId="4B80D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现有工程许可排放量t/a</w:t>
                  </w:r>
                  <w:r>
                    <w:rPr>
                      <w:rFonts w:hint="eastAsia" w:cs="Times New Roman"/>
                      <w:bCs/>
                      <w:color w:val="auto"/>
                      <w:sz w:val="21"/>
                      <w:szCs w:val="21"/>
                      <w:u w:val="single" w:color="auto"/>
                      <w:vertAlign w:val="baseline"/>
                      <w:lang w:val="en-US" w:eastAsia="zh-CN"/>
                    </w:rPr>
                    <w:t>②</w:t>
                  </w:r>
                </w:p>
              </w:tc>
              <w:tc>
                <w:tcPr>
                  <w:tcW w:w="918" w:type="dxa"/>
                  <w:vAlign w:val="center"/>
                </w:tcPr>
                <w:p w14:paraId="519ED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在建工程排放量③</w:t>
                  </w:r>
                </w:p>
              </w:tc>
              <w:tc>
                <w:tcPr>
                  <w:tcW w:w="831" w:type="dxa"/>
                  <w:vAlign w:val="center"/>
                </w:tcPr>
                <w:p w14:paraId="048D69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本项目排放量④</w:t>
                  </w:r>
                </w:p>
              </w:tc>
              <w:tc>
                <w:tcPr>
                  <w:tcW w:w="857" w:type="dxa"/>
                  <w:vAlign w:val="center"/>
                </w:tcPr>
                <w:p w14:paraId="33C40E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以新带老消减量t/a</w:t>
                  </w:r>
                  <w:r>
                    <w:rPr>
                      <w:rFonts w:hint="eastAsia" w:cs="Times New Roman"/>
                      <w:bCs/>
                      <w:color w:val="auto"/>
                      <w:sz w:val="21"/>
                      <w:szCs w:val="21"/>
                      <w:u w:val="single" w:color="auto"/>
                      <w:vertAlign w:val="baseline"/>
                      <w:lang w:val="en-US" w:eastAsia="zh-CN"/>
                    </w:rPr>
                    <w:t>⑤</w:t>
                  </w:r>
                </w:p>
              </w:tc>
              <w:tc>
                <w:tcPr>
                  <w:tcW w:w="958" w:type="dxa"/>
                  <w:vAlign w:val="center"/>
                </w:tcPr>
                <w:p w14:paraId="073D7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建成后全厂排放量t/a⑥</w:t>
                  </w:r>
                </w:p>
              </w:tc>
              <w:tc>
                <w:tcPr>
                  <w:tcW w:w="1026" w:type="dxa"/>
                  <w:vAlign w:val="center"/>
                </w:tcPr>
                <w:p w14:paraId="6F454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变化量</w:t>
                  </w:r>
                  <w:r>
                    <w:rPr>
                      <w:rFonts w:hint="eastAsia" w:ascii="Times New Roman" w:hAnsi="Times New Roman" w:eastAsia="宋体" w:cs="Times New Roman"/>
                      <w:bCs/>
                      <w:color w:val="auto"/>
                      <w:sz w:val="21"/>
                      <w:szCs w:val="21"/>
                      <w:u w:val="single" w:color="auto"/>
                      <w:vertAlign w:val="baseline"/>
                      <w:lang w:val="en-US" w:eastAsia="zh-CN"/>
                    </w:rPr>
                    <w:t>t/a</w:t>
                  </w:r>
                  <w:r>
                    <w:rPr>
                      <w:rFonts w:hint="eastAsia" w:cs="Times New Roman"/>
                      <w:bCs/>
                      <w:color w:val="auto"/>
                      <w:sz w:val="21"/>
                      <w:szCs w:val="21"/>
                      <w:u w:val="single" w:color="auto"/>
                      <w:vertAlign w:val="baseline"/>
                      <w:lang w:val="en-US" w:eastAsia="zh-CN"/>
                    </w:rPr>
                    <w:t>⑦</w:t>
                  </w:r>
                </w:p>
              </w:tc>
            </w:tr>
            <w:tr w14:paraId="3E40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restart"/>
                  <w:shd w:val="clear" w:color="auto" w:fill="auto"/>
                  <w:vAlign w:val="center"/>
                </w:tcPr>
                <w:p w14:paraId="377BD2C7">
                  <w:pPr>
                    <w:keepNext w:val="0"/>
                    <w:keepLines w:val="0"/>
                    <w:widowControl/>
                    <w:suppressLineNumbers w:val="0"/>
                    <w:spacing w:before="0" w:beforeAutospacing="0" w:after="0" w:afterAutospacing="0" w:line="260" w:lineRule="exact"/>
                    <w:ind w:left="0" w:leftChars="0" w:right="0" w:rightChars="0"/>
                    <w:jc w:val="center"/>
                    <w:rPr>
                      <w:rFonts w:hint="default" w:cs="Times New Roman"/>
                      <w:color w:val="auto"/>
                      <w:szCs w:val="21"/>
                      <w:u w:val="single" w:color="auto"/>
                      <w:lang w:val="en-US" w:eastAsia="zh-CN"/>
                    </w:rPr>
                  </w:pPr>
                  <w:r>
                    <w:rPr>
                      <w:rFonts w:hint="eastAsia" w:cs="Times New Roman"/>
                      <w:color w:val="auto"/>
                      <w:szCs w:val="21"/>
                      <w:u w:val="single" w:color="auto"/>
                      <w:lang w:val="en-US" w:eastAsia="zh-CN"/>
                    </w:rPr>
                    <w:t>废气</w:t>
                  </w:r>
                </w:p>
              </w:tc>
              <w:tc>
                <w:tcPr>
                  <w:tcW w:w="358" w:type="dxa"/>
                  <w:shd w:val="clear" w:color="auto" w:fill="auto"/>
                  <w:vAlign w:val="center"/>
                </w:tcPr>
                <w:p w14:paraId="22665FA9">
                  <w:pPr>
                    <w:keepNext w:val="0"/>
                    <w:keepLines w:val="0"/>
                    <w:widowControl/>
                    <w:suppressLineNumbers w:val="0"/>
                    <w:spacing w:before="0" w:beforeAutospacing="0" w:after="0" w:afterAutospacing="0" w:line="260" w:lineRule="exact"/>
                    <w:ind w:left="0" w:leftChars="0" w:right="0" w:rightChars="0"/>
                    <w:jc w:val="center"/>
                    <w:rPr>
                      <w:rFonts w:hint="default" w:cs="Times New Roman"/>
                      <w:color w:val="auto"/>
                      <w:szCs w:val="21"/>
                      <w:u w:val="single" w:color="auto"/>
                      <w:lang w:val="en-US" w:eastAsia="zh-CN"/>
                    </w:rPr>
                  </w:pPr>
                  <w:r>
                    <w:rPr>
                      <w:rFonts w:hint="eastAsia" w:cs="Times New Roman"/>
                      <w:color w:val="auto"/>
                      <w:szCs w:val="21"/>
                      <w:u w:val="single" w:color="auto"/>
                      <w:lang w:val="en-US" w:eastAsia="zh-CN"/>
                    </w:rPr>
                    <w:t>有组织</w:t>
                  </w:r>
                </w:p>
              </w:tc>
              <w:tc>
                <w:tcPr>
                  <w:tcW w:w="914" w:type="dxa"/>
                  <w:shd w:val="clear" w:color="auto" w:fill="auto"/>
                  <w:vAlign w:val="center"/>
                </w:tcPr>
                <w:p w14:paraId="031B8FD3">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Cs w:val="21"/>
                      <w:u w:val="single" w:color="auto"/>
                      <w:lang w:val="en-US" w:eastAsia="zh-CN"/>
                    </w:rPr>
                    <w:t>颗粒物</w:t>
                  </w:r>
                </w:p>
              </w:tc>
              <w:tc>
                <w:tcPr>
                  <w:tcW w:w="914" w:type="dxa"/>
                  <w:shd w:val="clear" w:color="auto" w:fill="auto"/>
                  <w:vAlign w:val="center"/>
                </w:tcPr>
                <w:p w14:paraId="162314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0.69</w:t>
                  </w:r>
                </w:p>
              </w:tc>
              <w:tc>
                <w:tcPr>
                  <w:tcW w:w="1129" w:type="dxa"/>
                  <w:vAlign w:val="center"/>
                </w:tcPr>
                <w:p w14:paraId="72A65C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p>
              </w:tc>
              <w:tc>
                <w:tcPr>
                  <w:tcW w:w="918" w:type="dxa"/>
                  <w:vAlign w:val="center"/>
                </w:tcPr>
                <w:p w14:paraId="295F5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p>
              </w:tc>
              <w:tc>
                <w:tcPr>
                  <w:tcW w:w="831" w:type="dxa"/>
                  <w:shd w:val="clear" w:color="auto" w:fill="auto"/>
                  <w:vAlign w:val="center"/>
                </w:tcPr>
                <w:p w14:paraId="4648F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cs="Times New Roman"/>
                      <w:bCs/>
                      <w:color w:val="auto"/>
                      <w:kern w:val="2"/>
                      <w:sz w:val="21"/>
                      <w:szCs w:val="21"/>
                      <w:u w:val="single" w:color="auto"/>
                      <w:vertAlign w:val="baseline"/>
                      <w:lang w:val="en-US" w:eastAsia="zh-CN" w:bidi="ar-SA"/>
                    </w:rPr>
                    <w:t>1.43</w:t>
                  </w:r>
                </w:p>
              </w:tc>
              <w:tc>
                <w:tcPr>
                  <w:tcW w:w="857" w:type="dxa"/>
                  <w:vAlign w:val="center"/>
                </w:tcPr>
                <w:p w14:paraId="1C207F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0575A1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cs="Times New Roman"/>
                      <w:bCs/>
                      <w:color w:val="auto"/>
                      <w:kern w:val="2"/>
                      <w:sz w:val="21"/>
                      <w:szCs w:val="21"/>
                      <w:u w:val="single" w:color="auto"/>
                      <w:vertAlign w:val="baseline"/>
                      <w:lang w:val="en-US" w:eastAsia="zh-CN" w:bidi="ar-SA"/>
                    </w:rPr>
                    <w:t>1.43</w:t>
                  </w:r>
                </w:p>
              </w:tc>
              <w:tc>
                <w:tcPr>
                  <w:tcW w:w="1026" w:type="dxa"/>
                  <w:vAlign w:val="center"/>
                </w:tcPr>
                <w:p w14:paraId="1F3C8A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+0.74</w:t>
                  </w:r>
                </w:p>
              </w:tc>
            </w:tr>
            <w:tr w14:paraId="36F3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48" w:type="dxa"/>
                  <w:vMerge w:val="continue"/>
                  <w:shd w:val="clear" w:color="auto" w:fill="auto"/>
                  <w:vAlign w:val="center"/>
                </w:tcPr>
                <w:p w14:paraId="3DE537F5">
                  <w:pPr>
                    <w:keepNext w:val="0"/>
                    <w:keepLines w:val="0"/>
                    <w:widowControl/>
                    <w:suppressLineNumbers w:val="0"/>
                    <w:spacing w:before="0" w:beforeAutospacing="0" w:after="0" w:afterAutospacing="0" w:line="260" w:lineRule="exact"/>
                    <w:ind w:left="0" w:leftChars="0" w:right="0" w:rightChars="0"/>
                    <w:jc w:val="center"/>
                    <w:rPr>
                      <w:rFonts w:hint="default" w:cs="Times New Roman"/>
                      <w:color w:val="auto"/>
                      <w:szCs w:val="21"/>
                      <w:u w:val="single" w:color="auto"/>
                      <w:lang w:val="en-US" w:eastAsia="zh-CN"/>
                    </w:rPr>
                  </w:pPr>
                </w:p>
              </w:tc>
              <w:tc>
                <w:tcPr>
                  <w:tcW w:w="358" w:type="dxa"/>
                  <w:vMerge w:val="restart"/>
                  <w:shd w:val="clear" w:color="auto" w:fill="auto"/>
                  <w:vAlign w:val="center"/>
                </w:tcPr>
                <w:p w14:paraId="7B9C6407">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kern w:val="2"/>
                      <w:sz w:val="21"/>
                      <w:szCs w:val="21"/>
                      <w:u w:val="single" w:color="auto"/>
                      <w:lang w:val="en-US" w:eastAsia="zh-CN" w:bidi="ar-SA"/>
                    </w:rPr>
                    <w:t>无组织</w:t>
                  </w:r>
                </w:p>
              </w:tc>
              <w:tc>
                <w:tcPr>
                  <w:tcW w:w="914" w:type="dxa"/>
                  <w:shd w:val="clear" w:color="auto" w:fill="auto"/>
                  <w:vAlign w:val="center"/>
                </w:tcPr>
                <w:p w14:paraId="0CCECFC5">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Cs w:val="21"/>
                      <w:u w:val="single" w:color="auto"/>
                      <w:lang w:val="en-US" w:eastAsia="zh-CN"/>
                    </w:rPr>
                    <w:t>颗粒物</w:t>
                  </w:r>
                </w:p>
              </w:tc>
              <w:tc>
                <w:tcPr>
                  <w:tcW w:w="914" w:type="dxa"/>
                  <w:shd w:val="clear" w:color="auto" w:fill="auto"/>
                  <w:vAlign w:val="center"/>
                </w:tcPr>
                <w:p w14:paraId="3021E641">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szCs w:val="21"/>
                      <w:u w:val="single" w:color="auto"/>
                      <w:lang w:val="en-US" w:eastAsia="zh-CN"/>
                    </w:rPr>
                    <w:t>0.</w:t>
                  </w:r>
                  <w:r>
                    <w:rPr>
                      <w:rFonts w:hint="eastAsia"/>
                      <w:szCs w:val="21"/>
                      <w:u w:val="single" w:color="auto"/>
                      <w:lang w:val="en-US" w:eastAsia="zh-CN"/>
                    </w:rPr>
                    <w:t>2032</w:t>
                  </w:r>
                </w:p>
              </w:tc>
              <w:tc>
                <w:tcPr>
                  <w:tcW w:w="1129" w:type="dxa"/>
                  <w:vAlign w:val="center"/>
                </w:tcPr>
                <w:p w14:paraId="438F8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p>
              </w:tc>
              <w:tc>
                <w:tcPr>
                  <w:tcW w:w="918" w:type="dxa"/>
                  <w:vAlign w:val="center"/>
                </w:tcPr>
                <w:p w14:paraId="51495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p>
              </w:tc>
              <w:tc>
                <w:tcPr>
                  <w:tcW w:w="831" w:type="dxa"/>
                  <w:shd w:val="clear" w:color="auto" w:fill="auto"/>
                  <w:vAlign w:val="center"/>
                </w:tcPr>
                <w:p w14:paraId="77803D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cs="Times New Roman"/>
                      <w:bCs/>
                      <w:color w:val="auto"/>
                      <w:kern w:val="2"/>
                      <w:sz w:val="21"/>
                      <w:szCs w:val="21"/>
                      <w:u w:val="single" w:color="auto"/>
                      <w:vertAlign w:val="baseline"/>
                      <w:lang w:val="en-US" w:eastAsia="zh-CN" w:bidi="ar-SA"/>
                    </w:rPr>
                    <w:t>0.402</w:t>
                  </w:r>
                </w:p>
              </w:tc>
              <w:tc>
                <w:tcPr>
                  <w:tcW w:w="857" w:type="dxa"/>
                  <w:vAlign w:val="center"/>
                </w:tcPr>
                <w:p w14:paraId="753C4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0D142C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cs="Times New Roman"/>
                      <w:bCs/>
                      <w:color w:val="auto"/>
                      <w:kern w:val="2"/>
                      <w:sz w:val="21"/>
                      <w:szCs w:val="21"/>
                      <w:u w:val="single" w:color="auto"/>
                      <w:vertAlign w:val="baseline"/>
                      <w:lang w:val="en-US" w:eastAsia="zh-CN" w:bidi="ar-SA"/>
                    </w:rPr>
                    <w:t>0.402</w:t>
                  </w:r>
                </w:p>
              </w:tc>
              <w:tc>
                <w:tcPr>
                  <w:tcW w:w="1026" w:type="dxa"/>
                  <w:vAlign w:val="center"/>
                </w:tcPr>
                <w:p w14:paraId="17615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+0.1988</w:t>
                  </w:r>
                </w:p>
              </w:tc>
            </w:tr>
            <w:tr w14:paraId="20F6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continue"/>
                  <w:shd w:val="clear" w:color="auto" w:fill="auto"/>
                  <w:vAlign w:val="center"/>
                </w:tcPr>
                <w:p w14:paraId="0F709E2E">
                  <w:pPr>
                    <w:keepNext w:val="0"/>
                    <w:keepLines w:val="0"/>
                    <w:widowControl/>
                    <w:suppressLineNumbers w:val="0"/>
                    <w:spacing w:before="0" w:beforeAutospacing="0" w:after="0" w:afterAutospacing="0" w:line="260" w:lineRule="exact"/>
                    <w:ind w:left="0" w:leftChars="0" w:right="0" w:rightChars="0"/>
                    <w:jc w:val="center"/>
                    <w:rPr>
                      <w:rFonts w:hint="eastAsia" w:cs="Times New Roman"/>
                      <w:color w:val="auto"/>
                      <w:szCs w:val="22"/>
                      <w:u w:val="single" w:color="auto"/>
                      <w:lang w:val="en-US" w:eastAsia="zh-CN"/>
                    </w:rPr>
                  </w:pPr>
                </w:p>
              </w:tc>
              <w:tc>
                <w:tcPr>
                  <w:tcW w:w="358" w:type="dxa"/>
                  <w:vMerge w:val="continue"/>
                  <w:shd w:val="clear" w:color="auto" w:fill="auto"/>
                  <w:vAlign w:val="center"/>
                </w:tcPr>
                <w:p w14:paraId="5D4DF947">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auto"/>
                      <w:kern w:val="2"/>
                      <w:sz w:val="21"/>
                      <w:szCs w:val="22"/>
                      <w:u w:val="single" w:color="auto"/>
                      <w:lang w:val="en-US" w:eastAsia="zh-CN" w:bidi="ar-SA"/>
                    </w:rPr>
                  </w:pPr>
                </w:p>
              </w:tc>
              <w:tc>
                <w:tcPr>
                  <w:tcW w:w="914" w:type="dxa"/>
                  <w:shd w:val="clear" w:color="auto" w:fill="auto"/>
                  <w:vAlign w:val="center"/>
                </w:tcPr>
                <w:p w14:paraId="0424A73F">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auto"/>
                      <w:kern w:val="2"/>
                      <w:sz w:val="21"/>
                      <w:szCs w:val="22"/>
                      <w:u w:val="single" w:color="auto"/>
                      <w:lang w:val="en-US" w:eastAsia="zh-CN" w:bidi="ar-SA"/>
                    </w:rPr>
                  </w:pPr>
                  <w:r>
                    <w:rPr>
                      <w:rFonts w:hint="eastAsia" w:ascii="Times New Roman" w:hAnsi="Times New Roman" w:eastAsia="宋体" w:cs="Times New Roman"/>
                      <w:color w:val="auto"/>
                      <w:kern w:val="2"/>
                      <w:sz w:val="21"/>
                      <w:szCs w:val="22"/>
                      <w:u w:val="single" w:color="auto"/>
                      <w:lang w:val="en-US" w:eastAsia="zh-CN" w:bidi="ar-SA"/>
                    </w:rPr>
                    <w:t>NMHC</w:t>
                  </w:r>
                </w:p>
              </w:tc>
              <w:tc>
                <w:tcPr>
                  <w:tcW w:w="914" w:type="dxa"/>
                  <w:shd w:val="clear" w:color="auto" w:fill="auto"/>
                  <w:vAlign w:val="center"/>
                </w:tcPr>
                <w:p w14:paraId="6B4DD535">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szCs w:val="21"/>
                      <w:u w:val="single" w:color="auto"/>
                      <w:lang w:val="en-US" w:eastAsia="zh-CN"/>
                    </w:rPr>
                    <w:t>0.0126</w:t>
                  </w:r>
                </w:p>
              </w:tc>
              <w:tc>
                <w:tcPr>
                  <w:tcW w:w="1129" w:type="dxa"/>
                  <w:vAlign w:val="center"/>
                </w:tcPr>
                <w:p w14:paraId="21F2E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p>
              </w:tc>
              <w:tc>
                <w:tcPr>
                  <w:tcW w:w="918" w:type="dxa"/>
                  <w:vAlign w:val="center"/>
                </w:tcPr>
                <w:p w14:paraId="703302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p>
              </w:tc>
              <w:tc>
                <w:tcPr>
                  <w:tcW w:w="831" w:type="dxa"/>
                  <w:shd w:val="clear" w:color="auto" w:fill="auto"/>
                  <w:vAlign w:val="center"/>
                </w:tcPr>
                <w:p w14:paraId="0B90C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0.0281</w:t>
                  </w:r>
                </w:p>
              </w:tc>
              <w:tc>
                <w:tcPr>
                  <w:tcW w:w="857" w:type="dxa"/>
                  <w:vAlign w:val="center"/>
                </w:tcPr>
                <w:p w14:paraId="5E385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0426E4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cs="Times New Roman"/>
                      <w:bCs/>
                      <w:color w:val="auto"/>
                      <w:sz w:val="21"/>
                      <w:szCs w:val="21"/>
                      <w:u w:val="single" w:color="auto"/>
                      <w:vertAlign w:val="baseline"/>
                      <w:lang w:val="en-US" w:eastAsia="zh-CN"/>
                    </w:rPr>
                    <w:t>0.0281</w:t>
                  </w:r>
                </w:p>
              </w:tc>
              <w:tc>
                <w:tcPr>
                  <w:tcW w:w="1026" w:type="dxa"/>
                  <w:vAlign w:val="center"/>
                </w:tcPr>
                <w:p w14:paraId="135E9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+0.0155</w:t>
                  </w:r>
                </w:p>
              </w:tc>
            </w:tr>
            <w:tr w14:paraId="4E82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restart"/>
                  <w:shd w:val="clear" w:color="auto" w:fill="auto"/>
                  <w:vAlign w:val="center"/>
                </w:tcPr>
                <w:p w14:paraId="496DAB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废水</w:t>
                  </w:r>
                </w:p>
              </w:tc>
              <w:tc>
                <w:tcPr>
                  <w:tcW w:w="1272" w:type="dxa"/>
                  <w:gridSpan w:val="2"/>
                  <w:shd w:val="clear" w:color="auto" w:fill="auto"/>
                  <w:vAlign w:val="center"/>
                </w:tcPr>
                <w:p w14:paraId="406EB8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COD</w:t>
                  </w:r>
                </w:p>
              </w:tc>
              <w:tc>
                <w:tcPr>
                  <w:tcW w:w="914" w:type="dxa"/>
                  <w:shd w:val="clear" w:color="auto" w:fill="auto"/>
                  <w:vAlign w:val="center"/>
                </w:tcPr>
                <w:p w14:paraId="7D425E3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1.8868</w:t>
                  </w:r>
                </w:p>
              </w:tc>
              <w:tc>
                <w:tcPr>
                  <w:tcW w:w="1129" w:type="dxa"/>
                  <w:shd w:val="clear" w:color="auto" w:fill="auto"/>
                  <w:vAlign w:val="center"/>
                </w:tcPr>
                <w:p w14:paraId="2063D4F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p>
              </w:tc>
              <w:tc>
                <w:tcPr>
                  <w:tcW w:w="918" w:type="dxa"/>
                  <w:shd w:val="clear" w:color="auto" w:fill="auto"/>
                  <w:vAlign w:val="center"/>
                </w:tcPr>
                <w:p w14:paraId="08DA7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shd w:val="clear" w:color="auto" w:fill="auto"/>
                  <w:vAlign w:val="center"/>
                </w:tcPr>
                <w:p w14:paraId="77C44F2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2.5157</w:t>
                  </w:r>
                </w:p>
              </w:tc>
              <w:tc>
                <w:tcPr>
                  <w:tcW w:w="857" w:type="dxa"/>
                  <w:shd w:val="clear" w:color="auto" w:fill="auto"/>
                  <w:vAlign w:val="center"/>
                </w:tcPr>
                <w:p w14:paraId="7439C4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54D82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default" w:ascii="Times New Roman" w:hAnsi="Times New Roman" w:eastAsia="宋体" w:cs="Times New Roman"/>
                      <w:bCs/>
                      <w:color w:val="auto"/>
                      <w:sz w:val="21"/>
                      <w:szCs w:val="21"/>
                      <w:u w:val="single" w:color="auto"/>
                      <w:vertAlign w:val="baseline"/>
                      <w:lang w:val="en-US" w:eastAsia="zh-CN"/>
                    </w:rPr>
                    <w:t>2.5157</w:t>
                  </w:r>
                </w:p>
              </w:tc>
              <w:tc>
                <w:tcPr>
                  <w:tcW w:w="1026" w:type="dxa"/>
                  <w:shd w:val="clear" w:color="auto" w:fill="auto"/>
                  <w:vAlign w:val="center"/>
                </w:tcPr>
                <w:p w14:paraId="4D433C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cs="Times New Roman"/>
                      <w:i w:val="0"/>
                      <w:iCs w:val="0"/>
                      <w:color w:val="000000"/>
                      <w:kern w:val="2"/>
                      <w:sz w:val="21"/>
                      <w:szCs w:val="21"/>
                      <w:u w:val="single" w:color="auto"/>
                      <w:lang w:val="en-US" w:eastAsia="zh-CN" w:bidi="ar-SA"/>
                    </w:rPr>
                    <w:t>+</w:t>
                  </w:r>
                  <w:r>
                    <w:rPr>
                      <w:rFonts w:hint="eastAsia" w:ascii="Times New Roman" w:hAnsi="Times New Roman" w:eastAsia="宋体" w:cs="Times New Roman"/>
                      <w:i w:val="0"/>
                      <w:iCs w:val="0"/>
                      <w:color w:val="000000"/>
                      <w:kern w:val="2"/>
                      <w:sz w:val="21"/>
                      <w:szCs w:val="21"/>
                      <w:u w:val="single" w:color="auto"/>
                      <w:lang w:val="en-US" w:eastAsia="zh-CN" w:bidi="ar-SA"/>
                    </w:rPr>
                    <w:t>0.6289</w:t>
                  </w:r>
                </w:p>
              </w:tc>
            </w:tr>
            <w:tr w14:paraId="3280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continue"/>
                  <w:shd w:val="clear" w:color="auto" w:fill="auto"/>
                  <w:vAlign w:val="center"/>
                </w:tcPr>
                <w:p w14:paraId="3FA43E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p>
              </w:tc>
              <w:tc>
                <w:tcPr>
                  <w:tcW w:w="1272" w:type="dxa"/>
                  <w:gridSpan w:val="2"/>
                  <w:shd w:val="clear" w:color="auto" w:fill="auto"/>
                  <w:vAlign w:val="center"/>
                </w:tcPr>
                <w:p w14:paraId="3B508A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NH</w:t>
                  </w:r>
                  <w:r>
                    <w:rPr>
                      <w:rFonts w:hint="default" w:ascii="Times New Roman" w:hAnsi="Times New Roman" w:eastAsia="宋体" w:cs="Times New Roman"/>
                      <w:i w:val="0"/>
                      <w:iCs w:val="0"/>
                      <w:color w:val="000000"/>
                      <w:kern w:val="0"/>
                      <w:sz w:val="21"/>
                      <w:szCs w:val="21"/>
                      <w:u w:val="single" w:color="auto"/>
                      <w:vertAlign w:val="subscript"/>
                      <w:lang w:val="en-US" w:eastAsia="zh-CN" w:bidi="ar"/>
                    </w:rPr>
                    <w:t>3</w:t>
                  </w:r>
                  <w:r>
                    <w:rPr>
                      <w:rFonts w:hint="default" w:ascii="Times New Roman" w:hAnsi="Times New Roman" w:eastAsia="宋体" w:cs="Times New Roman"/>
                      <w:i w:val="0"/>
                      <w:iCs w:val="0"/>
                      <w:color w:val="000000"/>
                      <w:kern w:val="0"/>
                      <w:sz w:val="21"/>
                      <w:szCs w:val="21"/>
                      <w:u w:val="single" w:color="auto"/>
                      <w:lang w:val="en-US" w:eastAsia="zh-CN" w:bidi="ar"/>
                    </w:rPr>
                    <w:t>-N</w:t>
                  </w:r>
                </w:p>
              </w:tc>
              <w:tc>
                <w:tcPr>
                  <w:tcW w:w="914" w:type="dxa"/>
                  <w:shd w:val="clear" w:color="auto" w:fill="auto"/>
                  <w:vAlign w:val="center"/>
                </w:tcPr>
                <w:p w14:paraId="0C0FC61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0.2383</w:t>
                  </w:r>
                </w:p>
              </w:tc>
              <w:tc>
                <w:tcPr>
                  <w:tcW w:w="1129" w:type="dxa"/>
                  <w:shd w:val="clear" w:color="auto" w:fill="auto"/>
                  <w:vAlign w:val="center"/>
                </w:tcPr>
                <w:p w14:paraId="685FAC7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p>
              </w:tc>
              <w:tc>
                <w:tcPr>
                  <w:tcW w:w="918" w:type="dxa"/>
                  <w:shd w:val="clear" w:color="auto" w:fill="auto"/>
                  <w:vAlign w:val="center"/>
                </w:tcPr>
                <w:p w14:paraId="7C261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shd w:val="clear" w:color="auto" w:fill="auto"/>
                  <w:vAlign w:val="center"/>
                </w:tcPr>
                <w:p w14:paraId="19451D2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0.3177</w:t>
                  </w:r>
                </w:p>
              </w:tc>
              <w:tc>
                <w:tcPr>
                  <w:tcW w:w="857" w:type="dxa"/>
                  <w:shd w:val="clear" w:color="auto" w:fill="auto"/>
                  <w:vAlign w:val="center"/>
                </w:tcPr>
                <w:p w14:paraId="73288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21471C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default" w:ascii="Times New Roman" w:hAnsi="Times New Roman" w:eastAsia="宋体" w:cs="Times New Roman"/>
                      <w:bCs/>
                      <w:color w:val="auto"/>
                      <w:sz w:val="21"/>
                      <w:szCs w:val="21"/>
                      <w:u w:val="single" w:color="auto"/>
                      <w:vertAlign w:val="baseline"/>
                      <w:lang w:val="en-US" w:eastAsia="zh-CN"/>
                    </w:rPr>
                    <w:t>0.3177</w:t>
                  </w:r>
                </w:p>
              </w:tc>
              <w:tc>
                <w:tcPr>
                  <w:tcW w:w="1026" w:type="dxa"/>
                  <w:shd w:val="clear" w:color="auto" w:fill="auto"/>
                  <w:vAlign w:val="center"/>
                </w:tcPr>
                <w:p w14:paraId="34E39B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cs="Times New Roman"/>
                      <w:i w:val="0"/>
                      <w:iCs w:val="0"/>
                      <w:color w:val="000000"/>
                      <w:kern w:val="2"/>
                      <w:sz w:val="21"/>
                      <w:szCs w:val="21"/>
                      <w:u w:val="single" w:color="auto"/>
                      <w:lang w:val="en-US" w:eastAsia="zh-CN" w:bidi="ar-SA"/>
                    </w:rPr>
                    <w:t>+</w:t>
                  </w:r>
                  <w:r>
                    <w:rPr>
                      <w:rFonts w:hint="eastAsia" w:ascii="Times New Roman" w:hAnsi="Times New Roman" w:eastAsia="宋体" w:cs="Times New Roman"/>
                      <w:i w:val="0"/>
                      <w:iCs w:val="0"/>
                      <w:color w:val="000000"/>
                      <w:kern w:val="2"/>
                      <w:sz w:val="21"/>
                      <w:szCs w:val="21"/>
                      <w:u w:val="single" w:color="auto"/>
                      <w:lang w:val="en-US" w:eastAsia="zh-CN" w:bidi="ar-SA"/>
                    </w:rPr>
                    <w:t>0.0794</w:t>
                  </w:r>
                </w:p>
              </w:tc>
            </w:tr>
            <w:tr w14:paraId="7149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continue"/>
                  <w:shd w:val="clear" w:color="auto" w:fill="auto"/>
                  <w:vAlign w:val="center"/>
                </w:tcPr>
                <w:p w14:paraId="745E6F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p>
              </w:tc>
              <w:tc>
                <w:tcPr>
                  <w:tcW w:w="1272" w:type="dxa"/>
                  <w:gridSpan w:val="2"/>
                  <w:shd w:val="clear" w:color="auto" w:fill="auto"/>
                  <w:vAlign w:val="center"/>
                </w:tcPr>
                <w:p w14:paraId="6D7FF1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TN</w:t>
                  </w:r>
                </w:p>
              </w:tc>
              <w:tc>
                <w:tcPr>
                  <w:tcW w:w="914" w:type="dxa"/>
                  <w:shd w:val="clear" w:color="auto" w:fill="auto"/>
                  <w:vAlign w:val="center"/>
                </w:tcPr>
                <w:p w14:paraId="28E87DD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0.3890</w:t>
                  </w:r>
                </w:p>
              </w:tc>
              <w:tc>
                <w:tcPr>
                  <w:tcW w:w="1129" w:type="dxa"/>
                  <w:shd w:val="clear" w:color="auto" w:fill="auto"/>
                  <w:vAlign w:val="center"/>
                </w:tcPr>
                <w:p w14:paraId="2A65B72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p>
              </w:tc>
              <w:tc>
                <w:tcPr>
                  <w:tcW w:w="918" w:type="dxa"/>
                  <w:shd w:val="clear" w:color="auto" w:fill="auto"/>
                  <w:vAlign w:val="center"/>
                </w:tcPr>
                <w:p w14:paraId="73362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shd w:val="clear" w:color="auto" w:fill="auto"/>
                  <w:vAlign w:val="center"/>
                </w:tcPr>
                <w:p w14:paraId="6D3E742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0.5186</w:t>
                  </w:r>
                </w:p>
              </w:tc>
              <w:tc>
                <w:tcPr>
                  <w:tcW w:w="857" w:type="dxa"/>
                  <w:shd w:val="clear" w:color="auto" w:fill="auto"/>
                  <w:vAlign w:val="center"/>
                </w:tcPr>
                <w:p w14:paraId="59263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65E820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default" w:ascii="Times New Roman" w:hAnsi="Times New Roman" w:eastAsia="宋体" w:cs="Times New Roman"/>
                      <w:bCs/>
                      <w:color w:val="auto"/>
                      <w:sz w:val="21"/>
                      <w:szCs w:val="21"/>
                      <w:u w:val="single" w:color="auto"/>
                      <w:vertAlign w:val="baseline"/>
                      <w:lang w:val="en-US" w:eastAsia="zh-CN"/>
                    </w:rPr>
                    <w:t>0.5186</w:t>
                  </w:r>
                </w:p>
              </w:tc>
              <w:tc>
                <w:tcPr>
                  <w:tcW w:w="1026" w:type="dxa"/>
                  <w:shd w:val="clear" w:color="auto" w:fill="auto"/>
                  <w:vAlign w:val="center"/>
                </w:tcPr>
                <w:p w14:paraId="5C4776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cs="Times New Roman"/>
                      <w:i w:val="0"/>
                      <w:iCs w:val="0"/>
                      <w:color w:val="000000"/>
                      <w:kern w:val="2"/>
                      <w:sz w:val="21"/>
                      <w:szCs w:val="21"/>
                      <w:u w:val="single" w:color="auto"/>
                      <w:lang w:val="en-US" w:eastAsia="zh-CN" w:bidi="ar-SA"/>
                    </w:rPr>
                    <w:t>+</w:t>
                  </w:r>
                  <w:r>
                    <w:rPr>
                      <w:rFonts w:hint="eastAsia" w:ascii="Times New Roman" w:hAnsi="Times New Roman" w:eastAsia="宋体" w:cs="Times New Roman"/>
                      <w:i w:val="0"/>
                      <w:iCs w:val="0"/>
                      <w:color w:val="000000"/>
                      <w:kern w:val="2"/>
                      <w:sz w:val="21"/>
                      <w:szCs w:val="21"/>
                      <w:u w:val="single" w:color="auto"/>
                      <w:lang w:val="en-US" w:eastAsia="zh-CN" w:bidi="ar-SA"/>
                    </w:rPr>
                    <w:t>0.1296</w:t>
                  </w:r>
                </w:p>
              </w:tc>
            </w:tr>
            <w:tr w14:paraId="6E2B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continue"/>
                  <w:shd w:val="clear" w:color="auto" w:fill="auto"/>
                  <w:vAlign w:val="center"/>
                </w:tcPr>
                <w:p w14:paraId="455808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p>
              </w:tc>
              <w:tc>
                <w:tcPr>
                  <w:tcW w:w="1272" w:type="dxa"/>
                  <w:gridSpan w:val="2"/>
                  <w:shd w:val="clear" w:color="auto" w:fill="auto"/>
                  <w:vAlign w:val="center"/>
                </w:tcPr>
                <w:p w14:paraId="22F1E2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TP</w:t>
                  </w:r>
                </w:p>
              </w:tc>
              <w:tc>
                <w:tcPr>
                  <w:tcW w:w="914" w:type="dxa"/>
                  <w:shd w:val="clear" w:color="auto" w:fill="auto"/>
                  <w:vAlign w:val="center"/>
                </w:tcPr>
                <w:p w14:paraId="545034B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0.0345</w:t>
                  </w:r>
                </w:p>
              </w:tc>
              <w:tc>
                <w:tcPr>
                  <w:tcW w:w="1129" w:type="dxa"/>
                  <w:shd w:val="clear" w:color="auto" w:fill="auto"/>
                  <w:vAlign w:val="center"/>
                </w:tcPr>
                <w:p w14:paraId="0478F9E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p>
              </w:tc>
              <w:tc>
                <w:tcPr>
                  <w:tcW w:w="918" w:type="dxa"/>
                  <w:vAlign w:val="center"/>
                </w:tcPr>
                <w:p w14:paraId="0D8E7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shd w:val="clear" w:color="auto" w:fill="auto"/>
                  <w:vAlign w:val="center"/>
                </w:tcPr>
                <w:p w14:paraId="28EA850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0.0460</w:t>
                  </w:r>
                </w:p>
              </w:tc>
              <w:tc>
                <w:tcPr>
                  <w:tcW w:w="857" w:type="dxa"/>
                  <w:vAlign w:val="center"/>
                </w:tcPr>
                <w:p w14:paraId="3FD2E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5D940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default" w:ascii="Times New Roman" w:hAnsi="Times New Roman" w:eastAsia="宋体" w:cs="Times New Roman"/>
                      <w:bCs/>
                      <w:color w:val="auto"/>
                      <w:sz w:val="21"/>
                      <w:szCs w:val="21"/>
                      <w:u w:val="single" w:color="auto"/>
                      <w:vertAlign w:val="baseline"/>
                      <w:lang w:val="en-US" w:eastAsia="zh-CN"/>
                    </w:rPr>
                    <w:t>0.0460</w:t>
                  </w:r>
                </w:p>
              </w:tc>
              <w:tc>
                <w:tcPr>
                  <w:tcW w:w="1026" w:type="dxa"/>
                  <w:shd w:val="clear" w:color="auto" w:fill="auto"/>
                  <w:vAlign w:val="center"/>
                </w:tcPr>
                <w:p w14:paraId="177FEB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cs="Times New Roman"/>
                      <w:i w:val="0"/>
                      <w:iCs w:val="0"/>
                      <w:color w:val="000000"/>
                      <w:kern w:val="2"/>
                      <w:sz w:val="21"/>
                      <w:szCs w:val="21"/>
                      <w:u w:val="single" w:color="auto"/>
                      <w:lang w:val="en-US" w:eastAsia="zh-CN" w:bidi="ar-SA"/>
                    </w:rPr>
                    <w:t>+</w:t>
                  </w:r>
                  <w:r>
                    <w:rPr>
                      <w:rFonts w:hint="eastAsia" w:ascii="Times New Roman" w:hAnsi="Times New Roman" w:eastAsia="宋体" w:cs="Times New Roman"/>
                      <w:i w:val="0"/>
                      <w:iCs w:val="0"/>
                      <w:color w:val="000000"/>
                      <w:kern w:val="2"/>
                      <w:sz w:val="21"/>
                      <w:szCs w:val="21"/>
                      <w:u w:val="single" w:color="auto"/>
                      <w:lang w:val="en-US" w:eastAsia="zh-CN" w:bidi="ar-SA"/>
                    </w:rPr>
                    <w:t>0.0115</w:t>
                  </w:r>
                </w:p>
              </w:tc>
            </w:tr>
            <w:tr w14:paraId="4AFC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restart"/>
                  <w:shd w:val="clear" w:color="auto" w:fill="auto"/>
                  <w:vAlign w:val="center"/>
                </w:tcPr>
                <w:p w14:paraId="6B2796E9">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固废</w:t>
                  </w:r>
                </w:p>
              </w:tc>
              <w:tc>
                <w:tcPr>
                  <w:tcW w:w="1272" w:type="dxa"/>
                  <w:gridSpan w:val="2"/>
                  <w:shd w:val="clear" w:color="auto" w:fill="auto"/>
                  <w:vAlign w:val="center"/>
                </w:tcPr>
                <w:p w14:paraId="0389F088">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生活垃圾</w:t>
                  </w:r>
                </w:p>
              </w:tc>
              <w:tc>
                <w:tcPr>
                  <w:tcW w:w="914" w:type="dxa"/>
                  <w:shd w:val="clear" w:color="auto" w:fill="auto"/>
                  <w:vAlign w:val="center"/>
                </w:tcPr>
                <w:p w14:paraId="3547E7EE">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45</w:t>
                  </w:r>
                </w:p>
              </w:tc>
              <w:tc>
                <w:tcPr>
                  <w:tcW w:w="1129" w:type="dxa"/>
                  <w:shd w:val="clear" w:color="auto" w:fill="auto"/>
                  <w:vAlign w:val="center"/>
                </w:tcPr>
                <w:p w14:paraId="5384BC2C">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918" w:type="dxa"/>
                  <w:vAlign w:val="center"/>
                </w:tcPr>
                <w:p w14:paraId="7EA475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vAlign w:val="center"/>
                </w:tcPr>
                <w:p w14:paraId="1211F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60</w:t>
                  </w:r>
                </w:p>
              </w:tc>
              <w:tc>
                <w:tcPr>
                  <w:tcW w:w="857" w:type="dxa"/>
                  <w:vAlign w:val="center"/>
                </w:tcPr>
                <w:p w14:paraId="6E501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4EA18B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60</w:t>
                  </w:r>
                </w:p>
              </w:tc>
              <w:tc>
                <w:tcPr>
                  <w:tcW w:w="1026" w:type="dxa"/>
                  <w:shd w:val="clear" w:color="auto" w:fill="auto"/>
                  <w:vAlign w:val="center"/>
                </w:tcPr>
                <w:p w14:paraId="7712E6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cs="Times New Roman"/>
                      <w:bCs/>
                      <w:color w:val="auto"/>
                      <w:kern w:val="2"/>
                      <w:sz w:val="21"/>
                      <w:szCs w:val="21"/>
                      <w:u w:val="single" w:color="auto"/>
                      <w:vertAlign w:val="baseline"/>
                      <w:lang w:val="en-US" w:eastAsia="zh-CN" w:bidi="ar-SA"/>
                    </w:rPr>
                    <w:t>+</w:t>
                  </w:r>
                  <w:r>
                    <w:rPr>
                      <w:rFonts w:hint="eastAsia" w:ascii="Times New Roman" w:hAnsi="Times New Roman" w:eastAsia="宋体" w:cs="Times New Roman"/>
                      <w:bCs/>
                      <w:color w:val="auto"/>
                      <w:kern w:val="2"/>
                      <w:sz w:val="21"/>
                      <w:szCs w:val="21"/>
                      <w:u w:val="single" w:color="auto"/>
                      <w:vertAlign w:val="baseline"/>
                      <w:lang w:val="en-US" w:eastAsia="zh-CN" w:bidi="ar-SA"/>
                    </w:rPr>
                    <w:t>15</w:t>
                  </w:r>
                </w:p>
              </w:tc>
            </w:tr>
            <w:tr w14:paraId="6286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continue"/>
                  <w:shd w:val="clear" w:color="auto" w:fill="auto"/>
                  <w:vAlign w:val="center"/>
                </w:tcPr>
                <w:p w14:paraId="59C3642D">
                  <w:pPr>
                    <w:pStyle w:val="4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1272" w:type="dxa"/>
                  <w:gridSpan w:val="2"/>
                  <w:shd w:val="clear" w:color="auto" w:fill="auto"/>
                  <w:vAlign w:val="center"/>
                </w:tcPr>
                <w:p w14:paraId="12651326">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废包装</w:t>
                  </w:r>
                  <w:r>
                    <w:rPr>
                      <w:rFonts w:hint="eastAsia" w:cs="Times New Roman"/>
                      <w:b w:val="0"/>
                      <w:bCs w:val="0"/>
                      <w:color w:val="auto"/>
                      <w:kern w:val="2"/>
                      <w:sz w:val="21"/>
                      <w:szCs w:val="24"/>
                      <w:u w:val="single" w:color="auto"/>
                      <w:lang w:val="en-US" w:eastAsia="zh-CN" w:bidi="ar-SA"/>
                    </w:rPr>
                    <w:t>材料</w:t>
                  </w:r>
                </w:p>
              </w:tc>
              <w:tc>
                <w:tcPr>
                  <w:tcW w:w="914" w:type="dxa"/>
                  <w:shd w:val="clear" w:color="auto" w:fill="auto"/>
                  <w:vAlign w:val="center"/>
                </w:tcPr>
                <w:p w14:paraId="749A0AD6">
                  <w:pPr>
                    <w:pStyle w:val="4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5</w:t>
                  </w:r>
                </w:p>
              </w:tc>
              <w:tc>
                <w:tcPr>
                  <w:tcW w:w="1129" w:type="dxa"/>
                  <w:shd w:val="clear" w:color="auto" w:fill="auto"/>
                  <w:vAlign w:val="center"/>
                </w:tcPr>
                <w:p w14:paraId="702EFFFC">
                  <w:pPr>
                    <w:pStyle w:val="4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918" w:type="dxa"/>
                  <w:vAlign w:val="center"/>
                </w:tcPr>
                <w:p w14:paraId="552A0D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vAlign w:val="center"/>
                </w:tcPr>
                <w:p w14:paraId="303566C3">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10</w:t>
                  </w:r>
                </w:p>
              </w:tc>
              <w:tc>
                <w:tcPr>
                  <w:tcW w:w="857" w:type="dxa"/>
                  <w:vAlign w:val="center"/>
                </w:tcPr>
                <w:p w14:paraId="446E10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06B89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10</w:t>
                  </w:r>
                </w:p>
              </w:tc>
              <w:tc>
                <w:tcPr>
                  <w:tcW w:w="1026" w:type="dxa"/>
                  <w:shd w:val="clear" w:color="auto" w:fill="auto"/>
                  <w:vAlign w:val="center"/>
                </w:tcPr>
                <w:p w14:paraId="47846D8D">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w:t>
                  </w:r>
                  <w:r>
                    <w:rPr>
                      <w:rFonts w:hint="eastAsia" w:ascii="Times New Roman" w:hAnsi="Times New Roman" w:eastAsia="宋体" w:cs="Times New Roman"/>
                      <w:b w:val="0"/>
                      <w:bCs w:val="0"/>
                      <w:color w:val="auto"/>
                      <w:kern w:val="2"/>
                      <w:sz w:val="21"/>
                      <w:szCs w:val="24"/>
                      <w:u w:val="single" w:color="auto"/>
                      <w:lang w:val="en-US" w:eastAsia="zh-CN" w:bidi="ar-SA"/>
                    </w:rPr>
                    <w:t>5</w:t>
                  </w:r>
                </w:p>
              </w:tc>
            </w:tr>
            <w:tr w14:paraId="0D5B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continue"/>
                  <w:shd w:val="clear" w:color="auto" w:fill="auto"/>
                  <w:vAlign w:val="center"/>
                </w:tcPr>
                <w:p w14:paraId="0DB2AD71">
                  <w:pPr>
                    <w:pStyle w:val="4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1272" w:type="dxa"/>
                  <w:gridSpan w:val="2"/>
                  <w:shd w:val="clear" w:color="auto" w:fill="auto"/>
                  <w:vAlign w:val="center"/>
                </w:tcPr>
                <w:p w14:paraId="3F8745EB">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废</w:t>
                  </w:r>
                  <w:r>
                    <w:rPr>
                      <w:rFonts w:hint="eastAsia" w:cs="Times New Roman"/>
                      <w:b w:val="0"/>
                      <w:bCs w:val="0"/>
                      <w:color w:val="auto"/>
                      <w:kern w:val="2"/>
                      <w:sz w:val="21"/>
                      <w:szCs w:val="24"/>
                      <w:u w:val="single" w:color="auto"/>
                      <w:lang w:val="en-US" w:eastAsia="zh-CN" w:bidi="ar-SA"/>
                    </w:rPr>
                    <w:t>水性淬火剂桶</w:t>
                  </w:r>
                </w:p>
              </w:tc>
              <w:tc>
                <w:tcPr>
                  <w:tcW w:w="914" w:type="dxa"/>
                  <w:shd w:val="clear" w:color="auto" w:fill="auto"/>
                  <w:vAlign w:val="center"/>
                </w:tcPr>
                <w:p w14:paraId="4B26F2FE">
                  <w:pPr>
                    <w:pStyle w:val="4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0.18</w:t>
                  </w:r>
                </w:p>
              </w:tc>
              <w:tc>
                <w:tcPr>
                  <w:tcW w:w="1129" w:type="dxa"/>
                  <w:shd w:val="clear" w:color="auto" w:fill="auto"/>
                  <w:vAlign w:val="center"/>
                </w:tcPr>
                <w:p w14:paraId="0BD60839">
                  <w:pPr>
                    <w:pStyle w:val="4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918" w:type="dxa"/>
                  <w:vAlign w:val="center"/>
                </w:tcPr>
                <w:p w14:paraId="1A144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vAlign w:val="center"/>
                </w:tcPr>
                <w:p w14:paraId="697D463C">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0.36</w:t>
                  </w:r>
                </w:p>
              </w:tc>
              <w:tc>
                <w:tcPr>
                  <w:tcW w:w="857" w:type="dxa"/>
                  <w:vAlign w:val="center"/>
                </w:tcPr>
                <w:p w14:paraId="4FF58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09E25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0.36</w:t>
                  </w:r>
                </w:p>
              </w:tc>
              <w:tc>
                <w:tcPr>
                  <w:tcW w:w="1026" w:type="dxa"/>
                  <w:shd w:val="clear" w:color="auto" w:fill="auto"/>
                  <w:vAlign w:val="center"/>
                </w:tcPr>
                <w:p w14:paraId="69E0840F">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w:t>
                  </w:r>
                  <w:r>
                    <w:rPr>
                      <w:rFonts w:hint="eastAsia" w:ascii="Times New Roman" w:hAnsi="Times New Roman" w:eastAsia="宋体" w:cs="Times New Roman"/>
                      <w:b w:val="0"/>
                      <w:bCs w:val="0"/>
                      <w:color w:val="auto"/>
                      <w:kern w:val="2"/>
                      <w:sz w:val="21"/>
                      <w:szCs w:val="24"/>
                      <w:u w:val="single" w:color="auto"/>
                      <w:lang w:val="en-US" w:eastAsia="zh-CN" w:bidi="ar-SA"/>
                    </w:rPr>
                    <w:t>0.18</w:t>
                  </w:r>
                </w:p>
              </w:tc>
            </w:tr>
            <w:tr w14:paraId="6A44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 w:type="dxa"/>
                  <w:vMerge w:val="continue"/>
                  <w:shd w:val="clear" w:color="auto" w:fill="auto"/>
                  <w:vAlign w:val="center"/>
                </w:tcPr>
                <w:p w14:paraId="248CEC2D">
                  <w:pPr>
                    <w:pStyle w:val="42"/>
                    <w:keepNext w:val="0"/>
                    <w:keepLines w:val="0"/>
                    <w:suppressLineNumbers w:val="0"/>
                    <w:spacing w:before="0" w:beforeAutospacing="0" w:after="0" w:afterAutospacing="0"/>
                    <w:ind w:left="0" w:leftChars="0" w:right="0" w:rightChars="0" w:firstLine="0" w:firstLineChars="0"/>
                    <w:jc w:val="center"/>
                    <w:rPr>
                      <w:rFonts w:hint="eastAsia" w:cs="Times New Roman"/>
                      <w:b w:val="0"/>
                      <w:bCs w:val="0"/>
                      <w:color w:val="auto"/>
                      <w:kern w:val="2"/>
                      <w:sz w:val="21"/>
                      <w:szCs w:val="24"/>
                      <w:u w:val="single" w:color="auto"/>
                      <w:lang w:val="en-US" w:eastAsia="zh-CN" w:bidi="ar-SA"/>
                    </w:rPr>
                  </w:pPr>
                </w:p>
              </w:tc>
              <w:tc>
                <w:tcPr>
                  <w:tcW w:w="1272" w:type="dxa"/>
                  <w:gridSpan w:val="2"/>
                  <w:shd w:val="clear" w:color="auto" w:fill="auto"/>
                  <w:vAlign w:val="center"/>
                </w:tcPr>
                <w:p w14:paraId="5CD0E062">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废铁屑</w:t>
                  </w:r>
                </w:p>
              </w:tc>
              <w:tc>
                <w:tcPr>
                  <w:tcW w:w="914" w:type="dxa"/>
                  <w:shd w:val="clear" w:color="auto" w:fill="auto"/>
                  <w:vAlign w:val="center"/>
                </w:tcPr>
                <w:p w14:paraId="699E626F">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16.16</w:t>
                  </w:r>
                </w:p>
              </w:tc>
              <w:tc>
                <w:tcPr>
                  <w:tcW w:w="1129" w:type="dxa"/>
                  <w:shd w:val="clear" w:color="auto" w:fill="auto"/>
                  <w:vAlign w:val="center"/>
                </w:tcPr>
                <w:p w14:paraId="0D3F46CC">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918" w:type="dxa"/>
                  <w:vAlign w:val="center"/>
                </w:tcPr>
                <w:p w14:paraId="3D436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vAlign w:val="center"/>
                </w:tcPr>
                <w:p w14:paraId="6A75E10C">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33.31</w:t>
                  </w:r>
                </w:p>
              </w:tc>
              <w:tc>
                <w:tcPr>
                  <w:tcW w:w="857" w:type="dxa"/>
                  <w:vAlign w:val="center"/>
                </w:tcPr>
                <w:p w14:paraId="271F63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4B28C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33.31</w:t>
                  </w:r>
                </w:p>
              </w:tc>
              <w:tc>
                <w:tcPr>
                  <w:tcW w:w="1026" w:type="dxa"/>
                  <w:shd w:val="clear" w:color="auto" w:fill="auto"/>
                  <w:vAlign w:val="center"/>
                </w:tcPr>
                <w:p w14:paraId="0623C03E">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w:t>
                  </w:r>
                  <w:r>
                    <w:rPr>
                      <w:rFonts w:hint="eastAsia" w:ascii="Times New Roman" w:hAnsi="Times New Roman" w:eastAsia="宋体" w:cs="Times New Roman"/>
                      <w:b w:val="0"/>
                      <w:bCs w:val="0"/>
                      <w:color w:val="auto"/>
                      <w:kern w:val="2"/>
                      <w:sz w:val="21"/>
                      <w:szCs w:val="24"/>
                      <w:u w:val="single" w:color="auto"/>
                      <w:lang w:val="en-US" w:eastAsia="zh-CN" w:bidi="ar-SA"/>
                    </w:rPr>
                    <w:t>17.15</w:t>
                  </w:r>
                </w:p>
              </w:tc>
            </w:tr>
            <w:tr w14:paraId="6EE6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 w:type="dxa"/>
                  <w:vMerge w:val="continue"/>
                  <w:shd w:val="clear" w:color="auto" w:fill="auto"/>
                  <w:vAlign w:val="center"/>
                </w:tcPr>
                <w:p w14:paraId="2A502538">
                  <w:pPr>
                    <w:pStyle w:val="42"/>
                    <w:keepNext w:val="0"/>
                    <w:keepLines w:val="0"/>
                    <w:suppressLineNumbers w:val="0"/>
                    <w:spacing w:before="0" w:beforeAutospacing="0" w:after="0" w:afterAutospacing="0"/>
                    <w:ind w:left="0" w:leftChars="0" w:right="0" w:rightChars="0" w:firstLine="0" w:firstLineChars="0"/>
                    <w:jc w:val="center"/>
                    <w:rPr>
                      <w:rFonts w:hint="eastAsia" w:cs="Times New Roman"/>
                      <w:b w:val="0"/>
                      <w:bCs w:val="0"/>
                      <w:color w:val="auto"/>
                      <w:kern w:val="2"/>
                      <w:sz w:val="21"/>
                      <w:szCs w:val="24"/>
                      <w:u w:val="single" w:color="auto"/>
                      <w:lang w:val="en-US" w:eastAsia="zh-CN" w:bidi="ar-SA"/>
                    </w:rPr>
                  </w:pPr>
                </w:p>
              </w:tc>
              <w:tc>
                <w:tcPr>
                  <w:tcW w:w="1272" w:type="dxa"/>
                  <w:gridSpan w:val="2"/>
                  <w:shd w:val="clear" w:color="auto" w:fill="auto"/>
                  <w:vAlign w:val="center"/>
                </w:tcPr>
                <w:p w14:paraId="705EC903">
                  <w:pPr>
                    <w:pStyle w:val="42"/>
                    <w:keepNext w:val="0"/>
                    <w:keepLines w:val="0"/>
                    <w:suppressLineNumbers w:val="0"/>
                    <w:spacing w:before="0" w:beforeAutospacing="0" w:after="0" w:afterAutospacing="0"/>
                    <w:ind w:left="0" w:leftChars="0" w:right="0" w:rightChars="0" w:firstLine="0" w:firstLineChars="0"/>
                    <w:jc w:val="center"/>
                    <w:rPr>
                      <w:rFonts w:hint="default"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隔油渣</w:t>
                  </w:r>
                </w:p>
              </w:tc>
              <w:tc>
                <w:tcPr>
                  <w:tcW w:w="914" w:type="dxa"/>
                  <w:shd w:val="clear" w:color="auto" w:fill="auto"/>
                  <w:vAlign w:val="center"/>
                </w:tcPr>
                <w:p w14:paraId="1B06E465">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w:t>
                  </w:r>
                </w:p>
              </w:tc>
              <w:tc>
                <w:tcPr>
                  <w:tcW w:w="1129" w:type="dxa"/>
                  <w:shd w:val="clear" w:color="auto" w:fill="auto"/>
                  <w:vAlign w:val="center"/>
                </w:tcPr>
                <w:p w14:paraId="465CB5E2">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918" w:type="dxa"/>
                  <w:vAlign w:val="center"/>
                </w:tcPr>
                <w:p w14:paraId="5BD35C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vAlign w:val="center"/>
                </w:tcPr>
                <w:p w14:paraId="0082C395">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0.2</w:t>
                  </w:r>
                </w:p>
              </w:tc>
              <w:tc>
                <w:tcPr>
                  <w:tcW w:w="857" w:type="dxa"/>
                  <w:vAlign w:val="center"/>
                </w:tcPr>
                <w:p w14:paraId="2C178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5D1DF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0.2</w:t>
                  </w:r>
                </w:p>
              </w:tc>
              <w:tc>
                <w:tcPr>
                  <w:tcW w:w="1026" w:type="dxa"/>
                  <w:shd w:val="clear" w:color="auto" w:fill="auto"/>
                  <w:vAlign w:val="center"/>
                </w:tcPr>
                <w:p w14:paraId="3380FF22">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+0.2</w:t>
                  </w:r>
                </w:p>
              </w:tc>
            </w:tr>
            <w:tr w14:paraId="4132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48" w:type="dxa"/>
                  <w:vMerge w:val="continue"/>
                  <w:shd w:val="clear" w:color="auto" w:fill="auto"/>
                  <w:vAlign w:val="center"/>
                </w:tcPr>
                <w:p w14:paraId="7AC1E860">
                  <w:pPr>
                    <w:pStyle w:val="42"/>
                    <w:keepNext w:val="0"/>
                    <w:keepLines w:val="0"/>
                    <w:suppressLineNumbers w:val="0"/>
                    <w:spacing w:before="0" w:beforeAutospacing="0" w:after="0" w:afterAutospacing="0"/>
                    <w:ind w:left="0" w:leftChars="0" w:right="0" w:rightChars="0" w:firstLine="0" w:firstLineChars="0"/>
                    <w:jc w:val="center"/>
                    <w:rPr>
                      <w:rFonts w:hint="eastAsia" w:cs="Times New Roman"/>
                      <w:b w:val="0"/>
                      <w:bCs w:val="0"/>
                      <w:color w:val="auto"/>
                      <w:kern w:val="2"/>
                      <w:sz w:val="21"/>
                      <w:szCs w:val="24"/>
                      <w:u w:val="single" w:color="auto"/>
                      <w:lang w:val="en-US" w:eastAsia="zh-CN" w:bidi="ar-SA"/>
                    </w:rPr>
                  </w:pPr>
                </w:p>
              </w:tc>
              <w:tc>
                <w:tcPr>
                  <w:tcW w:w="1272" w:type="dxa"/>
                  <w:gridSpan w:val="2"/>
                  <w:shd w:val="clear" w:color="auto" w:fill="auto"/>
                  <w:vAlign w:val="center"/>
                </w:tcPr>
                <w:p w14:paraId="46618ED8">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清洗废液</w:t>
                  </w:r>
                </w:p>
              </w:tc>
              <w:tc>
                <w:tcPr>
                  <w:tcW w:w="914" w:type="dxa"/>
                  <w:shd w:val="clear" w:color="auto" w:fill="auto"/>
                  <w:vAlign w:val="center"/>
                </w:tcPr>
                <w:p w14:paraId="62E78F37">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w:t>
                  </w:r>
                </w:p>
              </w:tc>
              <w:tc>
                <w:tcPr>
                  <w:tcW w:w="1129" w:type="dxa"/>
                  <w:shd w:val="clear" w:color="auto" w:fill="auto"/>
                  <w:vAlign w:val="center"/>
                </w:tcPr>
                <w:p w14:paraId="599DEF8F">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918" w:type="dxa"/>
                  <w:vAlign w:val="center"/>
                </w:tcPr>
                <w:p w14:paraId="3A91D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vAlign w:val="center"/>
                </w:tcPr>
                <w:p w14:paraId="4964B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24</w:t>
                  </w:r>
                </w:p>
              </w:tc>
              <w:tc>
                <w:tcPr>
                  <w:tcW w:w="857" w:type="dxa"/>
                  <w:vAlign w:val="center"/>
                </w:tcPr>
                <w:p w14:paraId="13843D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3F45C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24</w:t>
                  </w:r>
                </w:p>
              </w:tc>
              <w:tc>
                <w:tcPr>
                  <w:tcW w:w="1026" w:type="dxa"/>
                  <w:shd w:val="clear" w:color="auto" w:fill="auto"/>
                  <w:vAlign w:val="center"/>
                </w:tcPr>
                <w:p w14:paraId="4C48D2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cs="Times New Roman"/>
                      <w:bCs/>
                      <w:color w:val="auto"/>
                      <w:kern w:val="2"/>
                      <w:sz w:val="21"/>
                      <w:szCs w:val="21"/>
                      <w:u w:val="single" w:color="auto"/>
                      <w:vertAlign w:val="baseline"/>
                      <w:lang w:val="en-US" w:eastAsia="zh-CN" w:bidi="ar-SA"/>
                    </w:rPr>
                    <w:t>+</w:t>
                  </w:r>
                  <w:r>
                    <w:rPr>
                      <w:rFonts w:hint="eastAsia" w:ascii="Times New Roman" w:hAnsi="Times New Roman" w:eastAsia="宋体" w:cs="Times New Roman"/>
                      <w:bCs/>
                      <w:color w:val="auto"/>
                      <w:kern w:val="2"/>
                      <w:sz w:val="21"/>
                      <w:szCs w:val="21"/>
                      <w:u w:val="single" w:color="auto"/>
                      <w:vertAlign w:val="baseline"/>
                      <w:lang w:val="en-US" w:eastAsia="zh-CN" w:bidi="ar-SA"/>
                    </w:rPr>
                    <w:t>24</w:t>
                  </w:r>
                </w:p>
              </w:tc>
            </w:tr>
            <w:tr w14:paraId="0FAF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continue"/>
                  <w:shd w:val="clear" w:color="auto" w:fill="auto"/>
                  <w:vAlign w:val="center"/>
                </w:tcPr>
                <w:p w14:paraId="25DB6A40">
                  <w:pPr>
                    <w:pStyle w:val="4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1272" w:type="dxa"/>
                  <w:gridSpan w:val="2"/>
                  <w:shd w:val="clear" w:color="auto" w:fill="auto"/>
                  <w:vAlign w:val="center"/>
                </w:tcPr>
                <w:p w14:paraId="4D7A6FD4">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废润滑油</w:t>
                  </w:r>
                </w:p>
              </w:tc>
              <w:tc>
                <w:tcPr>
                  <w:tcW w:w="914" w:type="dxa"/>
                  <w:shd w:val="clear" w:color="auto" w:fill="auto"/>
                  <w:vAlign w:val="center"/>
                </w:tcPr>
                <w:p w14:paraId="01814905">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1.5</w:t>
                  </w:r>
                </w:p>
              </w:tc>
              <w:tc>
                <w:tcPr>
                  <w:tcW w:w="1129" w:type="dxa"/>
                  <w:shd w:val="clear" w:color="auto" w:fill="auto"/>
                  <w:vAlign w:val="center"/>
                </w:tcPr>
                <w:p w14:paraId="2B636BE3">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918" w:type="dxa"/>
                  <w:vAlign w:val="center"/>
                </w:tcPr>
                <w:p w14:paraId="6CA389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vAlign w:val="center"/>
                </w:tcPr>
                <w:p w14:paraId="46D61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3.0</w:t>
                  </w:r>
                </w:p>
              </w:tc>
              <w:tc>
                <w:tcPr>
                  <w:tcW w:w="857" w:type="dxa"/>
                  <w:vAlign w:val="center"/>
                </w:tcPr>
                <w:p w14:paraId="4FBB3A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56E92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3.0</w:t>
                  </w:r>
                </w:p>
              </w:tc>
              <w:tc>
                <w:tcPr>
                  <w:tcW w:w="1026" w:type="dxa"/>
                  <w:shd w:val="clear" w:color="auto" w:fill="auto"/>
                  <w:vAlign w:val="center"/>
                </w:tcPr>
                <w:p w14:paraId="39742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cs="Times New Roman"/>
                      <w:bCs/>
                      <w:color w:val="auto"/>
                      <w:kern w:val="2"/>
                      <w:sz w:val="21"/>
                      <w:szCs w:val="21"/>
                      <w:u w:val="single" w:color="auto"/>
                      <w:vertAlign w:val="baseline"/>
                      <w:lang w:val="en-US" w:eastAsia="zh-CN" w:bidi="ar-SA"/>
                    </w:rPr>
                    <w:t>+</w:t>
                  </w:r>
                  <w:r>
                    <w:rPr>
                      <w:rFonts w:hint="eastAsia" w:ascii="Times New Roman" w:hAnsi="Times New Roman" w:eastAsia="宋体" w:cs="Times New Roman"/>
                      <w:bCs/>
                      <w:color w:val="auto"/>
                      <w:kern w:val="2"/>
                      <w:sz w:val="21"/>
                      <w:szCs w:val="21"/>
                      <w:u w:val="single" w:color="auto"/>
                      <w:vertAlign w:val="baseline"/>
                      <w:lang w:val="en-US" w:eastAsia="zh-CN" w:bidi="ar-SA"/>
                    </w:rPr>
                    <w:t>1.5</w:t>
                  </w:r>
                </w:p>
              </w:tc>
            </w:tr>
            <w:tr w14:paraId="0527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continue"/>
                  <w:shd w:val="clear" w:color="auto" w:fill="auto"/>
                  <w:vAlign w:val="center"/>
                </w:tcPr>
                <w:p w14:paraId="57082380">
                  <w:pPr>
                    <w:pStyle w:val="4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1272" w:type="dxa"/>
                  <w:gridSpan w:val="2"/>
                  <w:shd w:val="clear" w:color="auto" w:fill="auto"/>
                  <w:vAlign w:val="center"/>
                </w:tcPr>
                <w:p w14:paraId="7F62F79C">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废含油抹布</w:t>
                  </w:r>
                </w:p>
              </w:tc>
              <w:tc>
                <w:tcPr>
                  <w:tcW w:w="914" w:type="dxa"/>
                  <w:shd w:val="clear" w:color="auto" w:fill="auto"/>
                  <w:vAlign w:val="center"/>
                </w:tcPr>
                <w:p w14:paraId="0736CC28">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0.5</w:t>
                  </w:r>
                </w:p>
              </w:tc>
              <w:tc>
                <w:tcPr>
                  <w:tcW w:w="1129" w:type="dxa"/>
                  <w:shd w:val="clear" w:color="auto" w:fill="auto"/>
                  <w:vAlign w:val="center"/>
                </w:tcPr>
                <w:p w14:paraId="77C8F7A7">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918" w:type="dxa"/>
                  <w:vAlign w:val="center"/>
                </w:tcPr>
                <w:p w14:paraId="2CDE63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vAlign w:val="center"/>
                </w:tcPr>
                <w:p w14:paraId="28D1A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0.8</w:t>
                  </w:r>
                </w:p>
              </w:tc>
              <w:tc>
                <w:tcPr>
                  <w:tcW w:w="857" w:type="dxa"/>
                  <w:vAlign w:val="center"/>
                </w:tcPr>
                <w:p w14:paraId="73DD4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5FD95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0.8</w:t>
                  </w:r>
                </w:p>
              </w:tc>
              <w:tc>
                <w:tcPr>
                  <w:tcW w:w="1026" w:type="dxa"/>
                  <w:shd w:val="clear" w:color="auto" w:fill="auto"/>
                  <w:vAlign w:val="center"/>
                </w:tcPr>
                <w:p w14:paraId="45B7C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cs="Times New Roman"/>
                      <w:bCs/>
                      <w:color w:val="auto"/>
                      <w:kern w:val="2"/>
                      <w:sz w:val="21"/>
                      <w:szCs w:val="21"/>
                      <w:u w:val="single" w:color="auto"/>
                      <w:vertAlign w:val="baseline"/>
                      <w:lang w:val="en-US" w:eastAsia="zh-CN" w:bidi="ar-SA"/>
                    </w:rPr>
                    <w:t>+</w:t>
                  </w:r>
                  <w:r>
                    <w:rPr>
                      <w:rFonts w:hint="eastAsia" w:ascii="Times New Roman" w:hAnsi="Times New Roman" w:eastAsia="宋体" w:cs="Times New Roman"/>
                      <w:bCs/>
                      <w:color w:val="auto"/>
                      <w:kern w:val="2"/>
                      <w:sz w:val="21"/>
                      <w:szCs w:val="21"/>
                      <w:u w:val="single" w:color="auto"/>
                      <w:vertAlign w:val="baseline"/>
                      <w:lang w:val="en-US" w:eastAsia="zh-CN" w:bidi="ar-SA"/>
                    </w:rPr>
                    <w:t>0.3</w:t>
                  </w:r>
                </w:p>
              </w:tc>
            </w:tr>
            <w:tr w14:paraId="2298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continue"/>
                  <w:shd w:val="clear" w:color="auto" w:fill="auto"/>
                  <w:vAlign w:val="center"/>
                </w:tcPr>
                <w:p w14:paraId="723A99EF">
                  <w:pPr>
                    <w:pStyle w:val="42"/>
                    <w:keepNext w:val="0"/>
                    <w:keepLines w:val="0"/>
                    <w:suppressLineNumbers w:val="0"/>
                    <w:spacing w:before="0" w:beforeAutospacing="0" w:after="0" w:afterAutospacing="0"/>
                    <w:ind w:left="0" w:leftChars="0" w:right="0" w:rightChars="0" w:firstLine="0" w:firstLineChars="0"/>
                    <w:jc w:val="center"/>
                    <w:rPr>
                      <w:rFonts w:hint="eastAsia" w:cs="Times New Roman"/>
                      <w:b w:val="0"/>
                      <w:bCs w:val="0"/>
                      <w:color w:val="auto"/>
                      <w:kern w:val="2"/>
                      <w:sz w:val="21"/>
                      <w:szCs w:val="24"/>
                      <w:u w:val="single" w:color="auto"/>
                      <w:lang w:val="en-US" w:eastAsia="zh-CN" w:bidi="ar-SA"/>
                    </w:rPr>
                  </w:pPr>
                </w:p>
              </w:tc>
              <w:tc>
                <w:tcPr>
                  <w:tcW w:w="1272" w:type="dxa"/>
                  <w:gridSpan w:val="2"/>
                  <w:shd w:val="clear" w:color="auto" w:fill="auto"/>
                  <w:vAlign w:val="center"/>
                </w:tcPr>
                <w:p w14:paraId="2A4A480D">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废切削液</w:t>
                  </w:r>
                </w:p>
              </w:tc>
              <w:tc>
                <w:tcPr>
                  <w:tcW w:w="914" w:type="dxa"/>
                  <w:shd w:val="clear" w:color="auto" w:fill="auto"/>
                  <w:vAlign w:val="center"/>
                </w:tcPr>
                <w:p w14:paraId="6A40446A">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32</w:t>
                  </w:r>
                </w:p>
              </w:tc>
              <w:tc>
                <w:tcPr>
                  <w:tcW w:w="1129" w:type="dxa"/>
                  <w:shd w:val="clear" w:color="auto" w:fill="auto"/>
                  <w:vAlign w:val="center"/>
                </w:tcPr>
                <w:p w14:paraId="2564CFAC">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918" w:type="dxa"/>
                  <w:vAlign w:val="center"/>
                </w:tcPr>
                <w:p w14:paraId="264271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vAlign w:val="center"/>
                </w:tcPr>
                <w:p w14:paraId="375AD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32</w:t>
                  </w:r>
                </w:p>
              </w:tc>
              <w:tc>
                <w:tcPr>
                  <w:tcW w:w="857" w:type="dxa"/>
                  <w:vAlign w:val="center"/>
                </w:tcPr>
                <w:p w14:paraId="4FE05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67F27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32</w:t>
                  </w:r>
                </w:p>
              </w:tc>
              <w:tc>
                <w:tcPr>
                  <w:tcW w:w="1026" w:type="dxa"/>
                  <w:shd w:val="clear" w:color="auto" w:fill="auto"/>
                  <w:vAlign w:val="center"/>
                </w:tcPr>
                <w:p w14:paraId="347BD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ascii="Times New Roman" w:hAnsi="Times New Roman" w:eastAsia="宋体" w:cs="Times New Roman"/>
                      <w:bCs/>
                      <w:color w:val="auto"/>
                      <w:kern w:val="2"/>
                      <w:sz w:val="21"/>
                      <w:szCs w:val="21"/>
                      <w:u w:val="single" w:color="auto"/>
                      <w:vertAlign w:val="baseline"/>
                      <w:lang w:val="en-US" w:eastAsia="zh-CN" w:bidi="ar-SA"/>
                    </w:rPr>
                    <w:t>/</w:t>
                  </w:r>
                </w:p>
              </w:tc>
            </w:tr>
            <w:tr w14:paraId="57DE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dxa"/>
                  <w:vMerge w:val="continue"/>
                  <w:shd w:val="clear" w:color="auto" w:fill="auto"/>
                  <w:vAlign w:val="center"/>
                </w:tcPr>
                <w:p w14:paraId="56989EB3">
                  <w:pPr>
                    <w:pStyle w:val="4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p>
              </w:tc>
              <w:tc>
                <w:tcPr>
                  <w:tcW w:w="1272" w:type="dxa"/>
                  <w:gridSpan w:val="2"/>
                  <w:shd w:val="clear" w:color="auto" w:fill="auto"/>
                  <w:vAlign w:val="center"/>
                </w:tcPr>
                <w:p w14:paraId="2FC7C96A">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废润滑油桶</w:t>
                  </w:r>
                </w:p>
              </w:tc>
              <w:tc>
                <w:tcPr>
                  <w:tcW w:w="914" w:type="dxa"/>
                  <w:shd w:val="clear" w:color="auto" w:fill="auto"/>
                  <w:vAlign w:val="center"/>
                </w:tcPr>
                <w:p w14:paraId="65019105">
                  <w:pPr>
                    <w:pStyle w:val="15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0.7</w:t>
                  </w:r>
                </w:p>
              </w:tc>
              <w:tc>
                <w:tcPr>
                  <w:tcW w:w="1129" w:type="dxa"/>
                  <w:vAlign w:val="center"/>
                </w:tcPr>
                <w:p w14:paraId="1A24D0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18" w:type="dxa"/>
                  <w:vAlign w:val="center"/>
                </w:tcPr>
                <w:p w14:paraId="70FDB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831" w:type="dxa"/>
                  <w:vAlign w:val="center"/>
                </w:tcPr>
                <w:p w14:paraId="4EFD5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1.4</w:t>
                  </w:r>
                </w:p>
              </w:tc>
              <w:tc>
                <w:tcPr>
                  <w:tcW w:w="857" w:type="dxa"/>
                  <w:vAlign w:val="center"/>
                </w:tcPr>
                <w:p w14:paraId="33DE4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p>
              </w:tc>
              <w:tc>
                <w:tcPr>
                  <w:tcW w:w="958" w:type="dxa"/>
                  <w:shd w:val="clear" w:color="auto" w:fill="auto"/>
                  <w:vAlign w:val="center"/>
                </w:tcPr>
                <w:p w14:paraId="2BB13B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u w:val="single" w:color="auto"/>
                      <w:vertAlign w:val="baseline"/>
                      <w:lang w:val="en-US" w:eastAsia="zh-CN"/>
                    </w:rPr>
                  </w:pPr>
                  <w:r>
                    <w:rPr>
                      <w:rFonts w:hint="eastAsia" w:ascii="Times New Roman" w:hAnsi="Times New Roman" w:eastAsia="宋体" w:cs="Times New Roman"/>
                      <w:bCs/>
                      <w:color w:val="auto"/>
                      <w:sz w:val="21"/>
                      <w:szCs w:val="21"/>
                      <w:u w:val="single" w:color="auto"/>
                      <w:vertAlign w:val="baseline"/>
                      <w:lang w:val="en-US" w:eastAsia="zh-CN"/>
                    </w:rPr>
                    <w:t>1.4</w:t>
                  </w:r>
                </w:p>
              </w:tc>
              <w:tc>
                <w:tcPr>
                  <w:tcW w:w="1026" w:type="dxa"/>
                  <w:shd w:val="clear" w:color="auto" w:fill="auto"/>
                  <w:vAlign w:val="center"/>
                </w:tcPr>
                <w:p w14:paraId="78A2D5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cs="Times New Roman"/>
                      <w:bCs/>
                      <w:color w:val="auto"/>
                      <w:kern w:val="2"/>
                      <w:sz w:val="21"/>
                      <w:szCs w:val="21"/>
                      <w:u w:val="single" w:color="auto"/>
                      <w:vertAlign w:val="baseline"/>
                      <w:lang w:val="en-US" w:eastAsia="zh-CN" w:bidi="ar-SA"/>
                    </w:rPr>
                    <w:t>+</w:t>
                  </w:r>
                  <w:r>
                    <w:rPr>
                      <w:rFonts w:hint="eastAsia" w:ascii="Times New Roman" w:hAnsi="Times New Roman" w:eastAsia="宋体" w:cs="Times New Roman"/>
                      <w:bCs/>
                      <w:color w:val="auto"/>
                      <w:kern w:val="2"/>
                      <w:sz w:val="21"/>
                      <w:szCs w:val="21"/>
                      <w:u w:val="single" w:color="auto"/>
                      <w:vertAlign w:val="baseline"/>
                      <w:lang w:val="en-US" w:eastAsia="zh-CN" w:bidi="ar-SA"/>
                    </w:rPr>
                    <w:t>0.7</w:t>
                  </w:r>
                </w:p>
              </w:tc>
            </w:tr>
          </w:tbl>
          <w:p w14:paraId="52675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9</w:t>
            </w:r>
            <w:r>
              <w:rPr>
                <w:rFonts w:hint="default"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lang w:val="en-US" w:eastAsia="zh-CN"/>
              </w:rPr>
              <w:t>环保投资及环保设施竣工验收</w:t>
            </w:r>
          </w:p>
          <w:p w14:paraId="064E3EA2">
            <w:pPr>
              <w:keepNext w:val="0"/>
              <w:keepLines w:val="0"/>
              <w:suppressLineNumbers w:val="0"/>
              <w:tabs>
                <w:tab w:val="left" w:pos="8918"/>
              </w:tabs>
              <w:spacing w:before="0" w:beforeAutospacing="0" w:after="0" w:afterAutospacing="0" w:line="360" w:lineRule="auto"/>
              <w:ind w:left="0" w:right="0"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本项目总投资</w:t>
            </w:r>
            <w:r>
              <w:rPr>
                <w:rFonts w:hint="eastAsia" w:cs="Times New Roman"/>
                <w:color w:val="auto"/>
                <w:sz w:val="24"/>
                <w:szCs w:val="24"/>
                <w:highlight w:val="none"/>
                <w:lang w:val="en-US" w:eastAsia="zh-CN"/>
              </w:rPr>
              <w:t>23226</w:t>
            </w:r>
            <w:r>
              <w:rPr>
                <w:rFonts w:hint="default" w:ascii="Times New Roman" w:hAnsi="Times New Roman" w:cs="Times New Roman"/>
                <w:color w:val="auto"/>
                <w:sz w:val="24"/>
                <w:u w:val="none" w:color="auto"/>
              </w:rPr>
              <w:t>万元，环保投资约</w:t>
            </w:r>
            <w:r>
              <w:rPr>
                <w:rFonts w:hint="eastAsia" w:cs="Times New Roman"/>
                <w:color w:val="auto"/>
                <w:sz w:val="24"/>
                <w:u w:val="none" w:color="auto"/>
                <w:lang w:val="en-US" w:eastAsia="zh-CN"/>
              </w:rPr>
              <w:t>110</w:t>
            </w:r>
            <w:r>
              <w:rPr>
                <w:rFonts w:hint="default" w:ascii="Times New Roman" w:hAnsi="Times New Roman" w:cs="Times New Roman"/>
                <w:color w:val="auto"/>
                <w:sz w:val="24"/>
                <w:u w:val="none" w:color="auto"/>
              </w:rPr>
              <w:t>万元，环保投资占项目总投资</w:t>
            </w:r>
            <w:r>
              <w:rPr>
                <w:rFonts w:hint="eastAsia" w:cs="Times New Roman"/>
                <w:color w:val="auto"/>
                <w:sz w:val="24"/>
                <w:u w:val="none" w:color="auto"/>
                <w:lang w:val="en-US" w:eastAsia="zh-CN"/>
              </w:rPr>
              <w:t>0.47</w:t>
            </w:r>
            <w:r>
              <w:rPr>
                <w:rFonts w:hint="default" w:ascii="Times New Roman" w:hAnsi="Times New Roman" w:cs="Times New Roman"/>
                <w:color w:val="auto"/>
                <w:sz w:val="24"/>
                <w:u w:val="none" w:color="auto"/>
              </w:rPr>
              <w:t>%。项目环保投资见表4-</w:t>
            </w:r>
            <w:r>
              <w:rPr>
                <w:rFonts w:hint="eastAsia" w:cs="Times New Roman"/>
                <w:color w:val="auto"/>
                <w:sz w:val="24"/>
                <w:u w:val="none" w:color="auto"/>
                <w:lang w:val="en-US" w:eastAsia="zh-CN"/>
              </w:rPr>
              <w:t>19</w:t>
            </w:r>
            <w:r>
              <w:rPr>
                <w:rFonts w:hint="default" w:ascii="Times New Roman" w:hAnsi="Times New Roman" w:cs="Times New Roman"/>
                <w:color w:val="auto"/>
                <w:sz w:val="24"/>
                <w:u w:val="none" w:color="auto"/>
              </w:rPr>
              <w:t>。</w:t>
            </w:r>
          </w:p>
          <w:p w14:paraId="2F4F8A53">
            <w:pPr>
              <w:keepNext/>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auto"/>
                <w:kern w:val="0"/>
                <w:szCs w:val="21"/>
                <w:u w:val="none" w:color="auto"/>
              </w:rPr>
            </w:pPr>
            <w:r>
              <w:rPr>
                <w:rFonts w:hint="default" w:ascii="Times New Roman" w:hAnsi="Times New Roman" w:cs="Times New Roman"/>
                <w:b/>
                <w:color w:val="auto"/>
                <w:kern w:val="0"/>
                <w:szCs w:val="21"/>
                <w:u w:val="none" w:color="auto"/>
              </w:rPr>
              <w:t>表4-</w:t>
            </w:r>
            <w:r>
              <w:rPr>
                <w:rFonts w:hint="eastAsia" w:cs="Times New Roman"/>
                <w:b/>
                <w:color w:val="auto"/>
                <w:kern w:val="0"/>
                <w:szCs w:val="21"/>
                <w:u w:val="none" w:color="auto"/>
                <w:lang w:val="en-US" w:eastAsia="zh-CN"/>
              </w:rPr>
              <w:t>19</w:t>
            </w:r>
            <w:r>
              <w:rPr>
                <w:rFonts w:hint="default" w:ascii="Times New Roman" w:hAnsi="Times New Roman" w:cs="Times New Roman"/>
                <w:b/>
                <w:color w:val="auto"/>
                <w:kern w:val="0"/>
                <w:szCs w:val="21"/>
                <w:u w:val="none" w:color="auto"/>
              </w:rPr>
              <w:t xml:space="preserve">   环保投资估算一览表</w:t>
            </w:r>
          </w:p>
          <w:tbl>
            <w:tblPr>
              <w:tblStyle w:val="98"/>
              <w:tblW w:w="4998"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9"/>
              <w:gridCol w:w="1597"/>
              <w:gridCol w:w="4008"/>
              <w:gridCol w:w="1526"/>
            </w:tblGrid>
            <w:tr w14:paraId="1311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678" w:type="pct"/>
                  <w:tcBorders>
                    <w:tl2br w:val="nil"/>
                    <w:tr2bl w:val="nil"/>
                  </w:tcBorders>
                  <w:noWrap w:val="0"/>
                  <w:vAlign w:val="center"/>
                </w:tcPr>
                <w:p w14:paraId="454C657C">
                  <w:pPr>
                    <w:snapToGrid w:val="0"/>
                    <w:jc w:val="center"/>
                    <w:rPr>
                      <w:rFonts w:hint="eastAsia" w:ascii="Times New Roman" w:hAnsi="Times New Roman" w:eastAsia="宋体" w:cs="Times New Roman"/>
                      <w:bCs/>
                      <w:color w:val="auto"/>
                      <w:szCs w:val="21"/>
                      <w:u w:val="none" w:color="auto"/>
                      <w:lang w:val="en-US" w:eastAsia="zh-CN"/>
                    </w:rPr>
                  </w:pPr>
                  <w:r>
                    <w:rPr>
                      <w:rFonts w:hint="eastAsia" w:ascii="Times New Roman" w:hAnsi="Times New Roman" w:eastAsia="宋体" w:cs="Times New Roman"/>
                      <w:bCs/>
                      <w:color w:val="auto"/>
                      <w:szCs w:val="21"/>
                      <w:u w:val="none" w:color="auto"/>
                      <w:lang w:val="en-US" w:eastAsia="zh-CN"/>
                    </w:rPr>
                    <w:t>类别</w:t>
                  </w:r>
                </w:p>
              </w:tc>
              <w:tc>
                <w:tcPr>
                  <w:tcW w:w="3396" w:type="pct"/>
                  <w:gridSpan w:val="2"/>
                  <w:tcBorders>
                    <w:tl2br w:val="nil"/>
                    <w:tr2bl w:val="nil"/>
                  </w:tcBorders>
                  <w:noWrap w:val="0"/>
                  <w:vAlign w:val="center"/>
                </w:tcPr>
                <w:p w14:paraId="6EA32A67">
                  <w:pPr>
                    <w:snapToGrid w:val="0"/>
                    <w:jc w:val="center"/>
                    <w:rPr>
                      <w:rFonts w:hint="eastAsia" w:ascii="Times New Roman" w:hAnsi="Times New Roman" w:eastAsia="宋体" w:cs="Times New Roman"/>
                      <w:bCs/>
                      <w:color w:val="auto"/>
                      <w:szCs w:val="21"/>
                      <w:u w:val="none" w:color="auto"/>
                      <w:lang w:val="en-US" w:eastAsia="zh-CN"/>
                    </w:rPr>
                  </w:pPr>
                  <w:r>
                    <w:rPr>
                      <w:rFonts w:hint="eastAsia" w:ascii="Times New Roman" w:hAnsi="Times New Roman" w:eastAsia="宋体" w:cs="Times New Roman"/>
                      <w:bCs/>
                      <w:color w:val="auto"/>
                      <w:szCs w:val="21"/>
                      <w:u w:val="none" w:color="auto"/>
                      <w:lang w:val="en-US" w:eastAsia="zh-CN"/>
                    </w:rPr>
                    <w:t>环保措施及设备</w:t>
                  </w:r>
                </w:p>
              </w:tc>
              <w:tc>
                <w:tcPr>
                  <w:tcW w:w="924" w:type="pct"/>
                  <w:tcBorders>
                    <w:tl2br w:val="nil"/>
                    <w:tr2bl w:val="nil"/>
                  </w:tcBorders>
                  <w:noWrap w:val="0"/>
                  <w:vAlign w:val="center"/>
                </w:tcPr>
                <w:p w14:paraId="76C385CE">
                  <w:pPr>
                    <w:snapToGrid w:val="0"/>
                    <w:jc w:val="center"/>
                    <w:rPr>
                      <w:rFonts w:hint="eastAsia" w:ascii="Times New Roman" w:hAnsi="Times New Roman" w:eastAsia="宋体" w:cs="Times New Roman"/>
                      <w:bCs/>
                      <w:color w:val="auto"/>
                      <w:szCs w:val="21"/>
                      <w:u w:val="none" w:color="auto"/>
                      <w:lang w:val="en-US" w:eastAsia="zh-CN"/>
                    </w:rPr>
                  </w:pPr>
                  <w:r>
                    <w:rPr>
                      <w:rFonts w:hint="eastAsia" w:ascii="Times New Roman" w:hAnsi="Times New Roman" w:eastAsia="宋体" w:cs="Times New Roman"/>
                      <w:bCs/>
                      <w:color w:val="auto"/>
                      <w:szCs w:val="21"/>
                      <w:u w:val="none" w:color="auto"/>
                      <w:lang w:val="en-US" w:eastAsia="zh-CN"/>
                    </w:rPr>
                    <w:t>投资(万元)</w:t>
                  </w:r>
                </w:p>
              </w:tc>
            </w:tr>
            <w:tr w14:paraId="1344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trPr>
              <w:tc>
                <w:tcPr>
                  <w:tcW w:w="678" w:type="pct"/>
                  <w:vMerge w:val="restart"/>
                  <w:tcBorders>
                    <w:tl2br w:val="nil"/>
                    <w:tr2bl w:val="nil"/>
                  </w:tcBorders>
                  <w:noWrap w:val="0"/>
                  <w:vAlign w:val="center"/>
                </w:tcPr>
                <w:p w14:paraId="2415DDEF">
                  <w:pPr>
                    <w:snapToGrid w:val="0"/>
                    <w:jc w:val="center"/>
                    <w:rPr>
                      <w:rFonts w:hint="eastAsia" w:ascii="Times New Roman" w:hAnsi="Times New Roman" w:eastAsia="宋体" w:cs="Times New Roman"/>
                      <w:bCs/>
                      <w:color w:val="auto"/>
                      <w:szCs w:val="21"/>
                      <w:u w:val="none" w:color="auto"/>
                      <w:lang w:val="en-US" w:eastAsia="zh-CN"/>
                    </w:rPr>
                  </w:pPr>
                  <w:r>
                    <w:rPr>
                      <w:rFonts w:hint="eastAsia" w:ascii="Times New Roman" w:hAnsi="Times New Roman" w:eastAsia="宋体" w:cs="Times New Roman"/>
                      <w:bCs/>
                      <w:color w:val="auto"/>
                      <w:szCs w:val="21"/>
                      <w:u w:val="none" w:color="auto"/>
                      <w:lang w:val="en-US" w:eastAsia="zh-CN"/>
                    </w:rPr>
                    <w:t>废气</w:t>
                  </w:r>
                </w:p>
              </w:tc>
              <w:tc>
                <w:tcPr>
                  <w:tcW w:w="967" w:type="pct"/>
                  <w:tcBorders>
                    <w:tl2br w:val="nil"/>
                    <w:tr2bl w:val="nil"/>
                  </w:tcBorders>
                  <w:noWrap w:val="0"/>
                  <w:vAlign w:val="center"/>
                </w:tcPr>
                <w:p w14:paraId="7605F7B7">
                  <w:pPr>
                    <w:snapToGrid w:val="0"/>
                    <w:jc w:val="center"/>
                    <w:rPr>
                      <w:rFonts w:hint="default" w:ascii="Times New Roman" w:hAnsi="Times New Roman" w:eastAsia="宋体" w:cs="Times New Roman"/>
                      <w:bCs/>
                      <w:color w:val="auto"/>
                      <w:szCs w:val="21"/>
                      <w:u w:val="none" w:color="auto"/>
                      <w:lang w:val="en-US" w:eastAsia="zh-CN"/>
                    </w:rPr>
                  </w:pPr>
                  <w:r>
                    <w:rPr>
                      <w:rFonts w:hint="eastAsia" w:cs="Times New Roman"/>
                      <w:bCs/>
                      <w:color w:val="auto"/>
                      <w:szCs w:val="21"/>
                      <w:u w:val="none" w:color="auto"/>
                      <w:lang w:val="en-US" w:eastAsia="zh-CN"/>
                    </w:rPr>
                    <w:t>表面喷砂机</w:t>
                  </w:r>
                </w:p>
              </w:tc>
              <w:tc>
                <w:tcPr>
                  <w:tcW w:w="2429" w:type="pct"/>
                  <w:tcBorders>
                    <w:tl2br w:val="nil"/>
                    <w:tr2bl w:val="nil"/>
                  </w:tcBorders>
                  <w:noWrap w:val="0"/>
                  <w:vAlign w:val="center"/>
                </w:tcPr>
                <w:p w14:paraId="46297E0E">
                  <w:pPr>
                    <w:snapToGrid w:val="0"/>
                    <w:jc w:val="center"/>
                    <w:rPr>
                      <w:rFonts w:hint="default" w:cs="Times New Roman"/>
                      <w:bCs/>
                      <w:color w:val="auto"/>
                      <w:szCs w:val="21"/>
                      <w:u w:val="none" w:color="auto"/>
                      <w:lang w:val="en-US" w:eastAsia="zh-CN"/>
                    </w:rPr>
                  </w:pPr>
                  <w:r>
                    <w:rPr>
                      <w:rFonts w:hint="eastAsia" w:cs="Times New Roman"/>
                      <w:color w:val="auto"/>
                      <w:szCs w:val="21"/>
                      <w:u w:val="none" w:color="auto"/>
                      <w:lang w:val="en-US" w:eastAsia="zh-CN"/>
                    </w:rPr>
                    <w:t>设备自带除尘设施+15m高排气筒</w:t>
                  </w:r>
                </w:p>
              </w:tc>
              <w:tc>
                <w:tcPr>
                  <w:tcW w:w="924" w:type="pct"/>
                  <w:tcBorders>
                    <w:tl2br w:val="nil"/>
                    <w:tr2bl w:val="nil"/>
                  </w:tcBorders>
                  <w:noWrap w:val="0"/>
                  <w:vAlign w:val="center"/>
                </w:tcPr>
                <w:p w14:paraId="304A7B28">
                  <w:pPr>
                    <w:snapToGrid w:val="0"/>
                    <w:jc w:val="center"/>
                    <w:rPr>
                      <w:rFonts w:hint="default" w:ascii="Times New Roman" w:hAnsi="Times New Roman" w:eastAsia="宋体" w:cs="Times New Roman"/>
                      <w:bCs/>
                      <w:color w:val="auto"/>
                      <w:szCs w:val="21"/>
                      <w:u w:val="none" w:color="auto"/>
                      <w:lang w:val="en-US" w:eastAsia="zh-CN"/>
                    </w:rPr>
                  </w:pPr>
                  <w:r>
                    <w:rPr>
                      <w:rFonts w:hint="eastAsia" w:cs="Times New Roman"/>
                      <w:bCs/>
                      <w:color w:val="auto"/>
                      <w:szCs w:val="21"/>
                      <w:u w:val="none" w:color="auto"/>
                      <w:lang w:val="en-US" w:eastAsia="zh-CN"/>
                    </w:rPr>
                    <w:t>20</w:t>
                  </w:r>
                </w:p>
              </w:tc>
            </w:tr>
            <w:tr w14:paraId="6B9E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vMerge w:val="continue"/>
                  <w:tcBorders>
                    <w:tl2br w:val="nil"/>
                    <w:tr2bl w:val="nil"/>
                  </w:tcBorders>
                  <w:noWrap w:val="0"/>
                  <w:vAlign w:val="center"/>
                </w:tcPr>
                <w:p w14:paraId="0CD1B34D">
                  <w:pPr>
                    <w:snapToGrid w:val="0"/>
                    <w:jc w:val="center"/>
                    <w:rPr>
                      <w:rFonts w:hint="eastAsia" w:ascii="Times New Roman" w:hAnsi="Times New Roman" w:eastAsia="宋体" w:cs="Times New Roman"/>
                      <w:bCs/>
                      <w:color w:val="auto"/>
                      <w:szCs w:val="21"/>
                      <w:u w:val="none" w:color="auto"/>
                      <w:lang w:val="en-US" w:eastAsia="zh-CN"/>
                    </w:rPr>
                  </w:pPr>
                </w:p>
              </w:tc>
              <w:tc>
                <w:tcPr>
                  <w:tcW w:w="967" w:type="pct"/>
                  <w:tcBorders>
                    <w:tl2br w:val="nil"/>
                    <w:tr2bl w:val="nil"/>
                  </w:tcBorders>
                  <w:noWrap w:val="0"/>
                  <w:vAlign w:val="center"/>
                </w:tcPr>
                <w:p w14:paraId="42862325">
                  <w:pPr>
                    <w:snapToGrid w:val="0"/>
                    <w:jc w:val="center"/>
                    <w:rPr>
                      <w:rFonts w:hint="default" w:cs="Times New Roman"/>
                      <w:bCs/>
                      <w:color w:val="auto"/>
                      <w:szCs w:val="21"/>
                      <w:u w:val="none" w:color="auto"/>
                      <w:lang w:val="en-US" w:eastAsia="zh-CN"/>
                    </w:rPr>
                  </w:pPr>
                  <w:r>
                    <w:rPr>
                      <w:rFonts w:hint="eastAsia" w:cs="Times New Roman"/>
                      <w:bCs/>
                      <w:color w:val="auto"/>
                      <w:szCs w:val="21"/>
                      <w:u w:val="none" w:color="auto"/>
                      <w:lang w:val="en-US" w:eastAsia="zh-CN"/>
                    </w:rPr>
                    <w:t>机加工</w:t>
                  </w:r>
                </w:p>
              </w:tc>
              <w:tc>
                <w:tcPr>
                  <w:tcW w:w="2429" w:type="pct"/>
                  <w:tcBorders>
                    <w:tl2br w:val="nil"/>
                    <w:tr2bl w:val="nil"/>
                  </w:tcBorders>
                  <w:noWrap w:val="0"/>
                  <w:vAlign w:val="center"/>
                </w:tcPr>
                <w:p w14:paraId="709343DC">
                  <w:pPr>
                    <w:snapToGrid w:val="0"/>
                    <w:jc w:val="center"/>
                    <w:rPr>
                      <w:rFonts w:hint="eastAsia" w:eastAsia="宋体" w:cs="Times New Roman"/>
                      <w:bCs/>
                      <w:color w:val="auto"/>
                      <w:szCs w:val="21"/>
                      <w:u w:val="none" w:color="auto"/>
                      <w:lang w:val="en-US" w:eastAsia="zh-CN"/>
                    </w:rPr>
                  </w:pPr>
                  <w:r>
                    <w:rPr>
                      <w:rFonts w:hint="eastAsia" w:cs="Times New Roman"/>
                      <w:color w:val="auto"/>
                      <w:szCs w:val="21"/>
                      <w:u w:val="none" w:color="auto"/>
                      <w:lang w:val="en-US" w:eastAsia="zh-CN"/>
                    </w:rPr>
                    <w:t>机床密闭加工+负压收集+三级过滤</w:t>
                  </w:r>
                </w:p>
              </w:tc>
              <w:tc>
                <w:tcPr>
                  <w:tcW w:w="924" w:type="pct"/>
                  <w:tcBorders>
                    <w:tl2br w:val="nil"/>
                    <w:tr2bl w:val="nil"/>
                  </w:tcBorders>
                  <w:noWrap w:val="0"/>
                  <w:vAlign w:val="center"/>
                </w:tcPr>
                <w:p w14:paraId="0ACC6393">
                  <w:pPr>
                    <w:snapToGrid w:val="0"/>
                    <w:jc w:val="center"/>
                    <w:rPr>
                      <w:rFonts w:hint="default" w:cs="Times New Roman"/>
                      <w:bCs/>
                      <w:color w:val="auto"/>
                      <w:szCs w:val="21"/>
                      <w:u w:val="none" w:color="auto"/>
                      <w:lang w:val="en-US" w:eastAsia="zh-CN"/>
                    </w:rPr>
                  </w:pPr>
                  <w:r>
                    <w:rPr>
                      <w:rFonts w:hint="eastAsia" w:cs="Times New Roman"/>
                      <w:bCs/>
                      <w:color w:val="auto"/>
                      <w:szCs w:val="21"/>
                      <w:u w:val="none" w:color="auto"/>
                      <w:lang w:val="en-US" w:eastAsia="zh-CN"/>
                    </w:rPr>
                    <w:t>50</w:t>
                  </w:r>
                </w:p>
              </w:tc>
            </w:tr>
            <w:tr w14:paraId="07FF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vMerge w:val="continue"/>
                  <w:tcBorders>
                    <w:tl2br w:val="nil"/>
                    <w:tr2bl w:val="nil"/>
                  </w:tcBorders>
                  <w:noWrap w:val="0"/>
                  <w:vAlign w:val="center"/>
                </w:tcPr>
                <w:p w14:paraId="5DD7BA5E">
                  <w:pPr>
                    <w:snapToGrid w:val="0"/>
                    <w:jc w:val="center"/>
                    <w:rPr>
                      <w:rFonts w:hint="eastAsia" w:ascii="Times New Roman" w:hAnsi="Times New Roman" w:eastAsia="宋体" w:cs="Times New Roman"/>
                      <w:bCs/>
                      <w:color w:val="auto"/>
                      <w:szCs w:val="21"/>
                      <w:u w:val="none" w:color="auto"/>
                      <w:lang w:val="en-US" w:eastAsia="zh-CN"/>
                    </w:rPr>
                  </w:pPr>
                </w:p>
              </w:tc>
              <w:tc>
                <w:tcPr>
                  <w:tcW w:w="967" w:type="pct"/>
                  <w:tcBorders>
                    <w:tl2br w:val="nil"/>
                    <w:tr2bl w:val="nil"/>
                  </w:tcBorders>
                  <w:noWrap w:val="0"/>
                  <w:vAlign w:val="center"/>
                </w:tcPr>
                <w:p w14:paraId="3AF56408">
                  <w:pPr>
                    <w:snapToGrid w:val="0"/>
                    <w:jc w:val="center"/>
                    <w:rPr>
                      <w:rFonts w:hint="default" w:cs="Times New Roman"/>
                      <w:bCs/>
                      <w:color w:val="auto"/>
                      <w:szCs w:val="21"/>
                      <w:u w:val="none" w:color="auto"/>
                      <w:lang w:val="en-US" w:eastAsia="zh-CN"/>
                    </w:rPr>
                  </w:pPr>
                  <w:r>
                    <w:rPr>
                      <w:rFonts w:hint="eastAsia" w:cs="Times New Roman"/>
                      <w:bCs/>
                      <w:color w:val="auto"/>
                      <w:szCs w:val="21"/>
                      <w:u w:val="none" w:color="auto"/>
                      <w:lang w:val="en-US" w:eastAsia="zh-CN"/>
                    </w:rPr>
                    <w:t>食堂</w:t>
                  </w:r>
                </w:p>
              </w:tc>
              <w:tc>
                <w:tcPr>
                  <w:tcW w:w="2429" w:type="pct"/>
                  <w:tcBorders>
                    <w:tl2br w:val="nil"/>
                    <w:tr2bl w:val="nil"/>
                  </w:tcBorders>
                  <w:noWrap w:val="0"/>
                  <w:vAlign w:val="center"/>
                </w:tcPr>
                <w:p w14:paraId="55B474A0">
                  <w:pPr>
                    <w:snapToGrid w:val="0"/>
                    <w:jc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油烟净化器+排气筒高空排放</w:t>
                  </w:r>
                </w:p>
              </w:tc>
              <w:tc>
                <w:tcPr>
                  <w:tcW w:w="924" w:type="pct"/>
                  <w:tcBorders>
                    <w:tl2br w:val="nil"/>
                    <w:tr2bl w:val="nil"/>
                  </w:tcBorders>
                  <w:noWrap w:val="0"/>
                  <w:vAlign w:val="center"/>
                </w:tcPr>
                <w:p w14:paraId="3409CFE1">
                  <w:pPr>
                    <w:snapToGrid w:val="0"/>
                    <w:jc w:val="center"/>
                    <w:rPr>
                      <w:rFonts w:hint="default" w:cs="Times New Roman"/>
                      <w:bCs/>
                      <w:color w:val="auto"/>
                      <w:szCs w:val="21"/>
                      <w:u w:val="none" w:color="auto"/>
                      <w:lang w:val="en-US" w:eastAsia="zh-CN"/>
                    </w:rPr>
                  </w:pPr>
                  <w:r>
                    <w:rPr>
                      <w:rFonts w:hint="eastAsia" w:cs="Times New Roman"/>
                      <w:bCs/>
                      <w:color w:val="auto"/>
                      <w:szCs w:val="21"/>
                      <w:u w:val="none" w:color="auto"/>
                      <w:lang w:val="en-US" w:eastAsia="zh-CN"/>
                    </w:rPr>
                    <w:t>10</w:t>
                  </w:r>
                </w:p>
              </w:tc>
            </w:tr>
            <w:tr w14:paraId="04FA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vMerge w:val="restart"/>
                  <w:tcBorders>
                    <w:tl2br w:val="nil"/>
                    <w:tr2bl w:val="nil"/>
                  </w:tcBorders>
                  <w:noWrap w:val="0"/>
                  <w:vAlign w:val="center"/>
                </w:tcPr>
                <w:p w14:paraId="564F0957">
                  <w:pPr>
                    <w:snapToGrid w:val="0"/>
                    <w:jc w:val="center"/>
                    <w:rPr>
                      <w:rFonts w:hint="default" w:ascii="Times New Roman" w:hAnsi="Times New Roman" w:eastAsia="宋体" w:cs="Times New Roman"/>
                      <w:bCs/>
                      <w:color w:val="auto"/>
                      <w:szCs w:val="21"/>
                      <w:u w:val="none" w:color="auto"/>
                      <w:lang w:val="en-US" w:eastAsia="zh-CN"/>
                    </w:rPr>
                  </w:pPr>
                  <w:r>
                    <w:rPr>
                      <w:rFonts w:hint="eastAsia" w:cs="Times New Roman"/>
                      <w:bCs/>
                      <w:color w:val="auto"/>
                      <w:szCs w:val="21"/>
                      <w:u w:val="none" w:color="auto"/>
                      <w:lang w:val="en-US" w:eastAsia="zh-CN"/>
                    </w:rPr>
                    <w:t>废水</w:t>
                  </w:r>
                </w:p>
              </w:tc>
              <w:tc>
                <w:tcPr>
                  <w:tcW w:w="967" w:type="pct"/>
                  <w:tcBorders>
                    <w:tl2br w:val="nil"/>
                    <w:tr2bl w:val="nil"/>
                  </w:tcBorders>
                  <w:noWrap w:val="0"/>
                  <w:vAlign w:val="center"/>
                </w:tcPr>
                <w:p w14:paraId="27CE363B">
                  <w:pPr>
                    <w:snapToGrid w:val="0"/>
                    <w:jc w:val="center"/>
                    <w:rPr>
                      <w:rFonts w:hint="default" w:ascii="Times New Roman" w:hAnsi="Times New Roman" w:eastAsia="宋体" w:cs="Times New Roman"/>
                      <w:bCs/>
                      <w:color w:val="auto"/>
                      <w:szCs w:val="21"/>
                      <w:u w:val="none" w:color="auto"/>
                      <w:lang w:val="en-US" w:eastAsia="zh-CN"/>
                    </w:rPr>
                  </w:pPr>
                  <w:r>
                    <w:rPr>
                      <w:rFonts w:hint="eastAsia" w:cs="Times New Roman"/>
                      <w:bCs/>
                      <w:color w:val="auto"/>
                      <w:szCs w:val="21"/>
                      <w:u w:val="none" w:color="auto"/>
                      <w:lang w:val="en-US" w:eastAsia="zh-CN"/>
                    </w:rPr>
                    <w:t>生活污水</w:t>
                  </w:r>
                </w:p>
              </w:tc>
              <w:tc>
                <w:tcPr>
                  <w:tcW w:w="2429" w:type="pct"/>
                  <w:tcBorders>
                    <w:tl2br w:val="nil"/>
                    <w:tr2bl w:val="nil"/>
                  </w:tcBorders>
                  <w:noWrap w:val="0"/>
                  <w:vAlign w:val="center"/>
                </w:tcPr>
                <w:p w14:paraId="41AA2C87">
                  <w:pPr>
                    <w:snapToGrid w:val="0"/>
                    <w:jc w:val="center"/>
                    <w:rPr>
                      <w:rFonts w:hint="default" w:ascii="Times New Roman" w:hAnsi="Times New Roman" w:eastAsia="宋体" w:cs="Times New Roman"/>
                      <w:bCs/>
                      <w:color w:val="auto"/>
                      <w:szCs w:val="21"/>
                      <w:u w:val="none" w:color="auto"/>
                      <w:lang w:val="en-US" w:eastAsia="zh-CN"/>
                    </w:rPr>
                  </w:pPr>
                  <w:r>
                    <w:rPr>
                      <w:rFonts w:hint="eastAsia" w:cs="Times New Roman"/>
                      <w:bCs/>
                      <w:color w:val="auto"/>
                      <w:szCs w:val="21"/>
                      <w:u w:val="none" w:color="auto"/>
                      <w:lang w:val="en-US" w:eastAsia="zh-CN"/>
                    </w:rPr>
                    <w:t>化粪池</w:t>
                  </w:r>
                </w:p>
              </w:tc>
              <w:tc>
                <w:tcPr>
                  <w:tcW w:w="924" w:type="pct"/>
                  <w:tcBorders>
                    <w:tl2br w:val="nil"/>
                    <w:tr2bl w:val="nil"/>
                  </w:tcBorders>
                  <w:noWrap w:val="0"/>
                  <w:vAlign w:val="center"/>
                </w:tcPr>
                <w:p w14:paraId="01FDDFAF">
                  <w:pPr>
                    <w:snapToGrid w:val="0"/>
                    <w:jc w:val="center"/>
                    <w:rPr>
                      <w:rFonts w:hint="default" w:ascii="Times New Roman" w:hAnsi="Times New Roman" w:eastAsia="宋体" w:cs="Times New Roman"/>
                      <w:bCs/>
                      <w:color w:val="auto"/>
                      <w:szCs w:val="21"/>
                      <w:u w:val="none" w:color="auto"/>
                      <w:lang w:val="en-US" w:eastAsia="zh-CN"/>
                    </w:rPr>
                  </w:pPr>
                  <w:r>
                    <w:rPr>
                      <w:rFonts w:hint="eastAsia" w:cs="Times New Roman"/>
                      <w:bCs/>
                      <w:color w:val="auto"/>
                      <w:szCs w:val="21"/>
                      <w:u w:val="none" w:color="auto"/>
                      <w:lang w:val="en-US" w:eastAsia="zh-CN"/>
                    </w:rPr>
                    <w:t>8</w:t>
                  </w:r>
                </w:p>
              </w:tc>
            </w:tr>
            <w:tr w14:paraId="2624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vMerge w:val="continue"/>
                  <w:tcBorders>
                    <w:tl2br w:val="nil"/>
                    <w:tr2bl w:val="nil"/>
                  </w:tcBorders>
                  <w:noWrap w:val="0"/>
                  <w:vAlign w:val="center"/>
                </w:tcPr>
                <w:p w14:paraId="4B985FB8">
                  <w:pPr>
                    <w:snapToGrid w:val="0"/>
                    <w:jc w:val="center"/>
                    <w:rPr>
                      <w:rFonts w:hint="eastAsia" w:cs="Times New Roman"/>
                      <w:bCs/>
                      <w:color w:val="auto"/>
                      <w:szCs w:val="21"/>
                      <w:u w:val="none" w:color="auto"/>
                      <w:lang w:val="en-US" w:eastAsia="zh-CN"/>
                    </w:rPr>
                  </w:pPr>
                </w:p>
              </w:tc>
              <w:tc>
                <w:tcPr>
                  <w:tcW w:w="967" w:type="pct"/>
                  <w:tcBorders>
                    <w:tl2br w:val="nil"/>
                    <w:tr2bl w:val="nil"/>
                  </w:tcBorders>
                  <w:noWrap w:val="0"/>
                  <w:vAlign w:val="center"/>
                </w:tcPr>
                <w:p w14:paraId="19FD9D5B">
                  <w:pPr>
                    <w:snapToGrid w:val="0"/>
                    <w:jc w:val="center"/>
                    <w:rPr>
                      <w:rFonts w:hint="default" w:cs="Times New Roman"/>
                      <w:bCs/>
                      <w:color w:val="auto"/>
                      <w:szCs w:val="21"/>
                      <w:u w:val="none" w:color="auto"/>
                      <w:lang w:val="en-US" w:eastAsia="zh-CN"/>
                    </w:rPr>
                  </w:pPr>
                  <w:r>
                    <w:rPr>
                      <w:rFonts w:hint="eastAsia" w:cs="Times New Roman"/>
                      <w:bCs/>
                      <w:color w:val="auto"/>
                      <w:szCs w:val="21"/>
                      <w:u w:val="none" w:color="auto"/>
                      <w:lang w:val="en-US" w:eastAsia="zh-CN"/>
                    </w:rPr>
                    <w:t>清洗废水</w:t>
                  </w:r>
                </w:p>
              </w:tc>
              <w:tc>
                <w:tcPr>
                  <w:tcW w:w="2429" w:type="pct"/>
                  <w:tcBorders>
                    <w:tl2br w:val="nil"/>
                    <w:tr2bl w:val="nil"/>
                  </w:tcBorders>
                  <w:noWrap w:val="0"/>
                  <w:vAlign w:val="center"/>
                </w:tcPr>
                <w:p w14:paraId="382C1088">
                  <w:pPr>
                    <w:snapToGrid w:val="0"/>
                    <w:jc w:val="center"/>
                    <w:rPr>
                      <w:rFonts w:hint="default" w:cs="Times New Roman"/>
                      <w:bCs/>
                      <w:color w:val="auto"/>
                      <w:szCs w:val="21"/>
                      <w:u w:val="none" w:color="auto"/>
                      <w:lang w:val="en-US" w:eastAsia="zh-CN"/>
                    </w:rPr>
                  </w:pPr>
                  <w:r>
                    <w:rPr>
                      <w:rFonts w:hint="eastAsia" w:cs="Times New Roman"/>
                      <w:bCs/>
                      <w:color w:val="auto"/>
                      <w:szCs w:val="21"/>
                      <w:u w:val="none" w:color="auto"/>
                      <w:lang w:val="en-US" w:eastAsia="zh-CN"/>
                    </w:rPr>
                    <w:t>隔油沉淀</w:t>
                  </w:r>
                </w:p>
              </w:tc>
              <w:tc>
                <w:tcPr>
                  <w:tcW w:w="924" w:type="pct"/>
                  <w:tcBorders>
                    <w:tl2br w:val="nil"/>
                    <w:tr2bl w:val="nil"/>
                  </w:tcBorders>
                  <w:noWrap w:val="0"/>
                  <w:vAlign w:val="center"/>
                </w:tcPr>
                <w:p w14:paraId="7FB4366B">
                  <w:pPr>
                    <w:snapToGrid w:val="0"/>
                    <w:jc w:val="center"/>
                    <w:rPr>
                      <w:rFonts w:hint="default" w:cs="Times New Roman"/>
                      <w:bCs/>
                      <w:color w:val="auto"/>
                      <w:szCs w:val="21"/>
                      <w:u w:val="none" w:color="auto"/>
                      <w:lang w:val="en-US" w:eastAsia="zh-CN"/>
                    </w:rPr>
                  </w:pPr>
                  <w:r>
                    <w:rPr>
                      <w:rFonts w:hint="eastAsia" w:cs="Times New Roman"/>
                      <w:bCs/>
                      <w:color w:val="auto"/>
                      <w:szCs w:val="21"/>
                      <w:u w:val="none" w:color="auto"/>
                      <w:lang w:val="en-US" w:eastAsia="zh-CN"/>
                    </w:rPr>
                    <w:t>2</w:t>
                  </w:r>
                </w:p>
              </w:tc>
            </w:tr>
            <w:tr w14:paraId="7CA5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tcBorders>
                    <w:tl2br w:val="nil"/>
                    <w:tr2bl w:val="nil"/>
                  </w:tcBorders>
                  <w:noWrap w:val="0"/>
                  <w:vAlign w:val="center"/>
                </w:tcPr>
                <w:p w14:paraId="66A84652">
                  <w:pPr>
                    <w:snapToGrid w:val="0"/>
                    <w:jc w:val="center"/>
                    <w:rPr>
                      <w:rFonts w:hint="eastAsia" w:ascii="Times New Roman" w:hAnsi="Times New Roman" w:eastAsia="宋体" w:cs="Times New Roman"/>
                      <w:bCs/>
                      <w:color w:val="auto"/>
                      <w:szCs w:val="21"/>
                      <w:u w:val="none" w:color="auto"/>
                      <w:lang w:val="en-US" w:eastAsia="zh-CN"/>
                    </w:rPr>
                  </w:pPr>
                  <w:r>
                    <w:rPr>
                      <w:rFonts w:hint="eastAsia" w:ascii="Times New Roman" w:hAnsi="Times New Roman" w:eastAsia="宋体" w:cs="Times New Roman"/>
                      <w:bCs/>
                      <w:color w:val="auto"/>
                      <w:szCs w:val="21"/>
                      <w:u w:val="none" w:color="auto"/>
                      <w:lang w:val="en-US" w:eastAsia="zh-CN"/>
                    </w:rPr>
                    <w:t>噪声</w:t>
                  </w:r>
                </w:p>
              </w:tc>
              <w:tc>
                <w:tcPr>
                  <w:tcW w:w="3396" w:type="pct"/>
                  <w:gridSpan w:val="2"/>
                  <w:tcBorders>
                    <w:tl2br w:val="nil"/>
                    <w:tr2bl w:val="nil"/>
                  </w:tcBorders>
                  <w:noWrap w:val="0"/>
                  <w:vAlign w:val="center"/>
                </w:tcPr>
                <w:p w14:paraId="0596C25C">
                  <w:pPr>
                    <w:snapToGrid w:val="0"/>
                    <w:jc w:val="center"/>
                    <w:rPr>
                      <w:rFonts w:hint="eastAsia" w:ascii="Times New Roman" w:hAnsi="Times New Roman" w:eastAsia="宋体" w:cs="Times New Roman"/>
                      <w:bCs/>
                      <w:color w:val="auto"/>
                      <w:szCs w:val="21"/>
                      <w:u w:val="none" w:color="auto"/>
                      <w:lang w:val="en-US" w:eastAsia="zh-CN"/>
                    </w:rPr>
                  </w:pPr>
                  <w:r>
                    <w:rPr>
                      <w:rFonts w:hint="eastAsia" w:ascii="Times New Roman" w:hAnsi="Times New Roman" w:eastAsia="宋体" w:cs="Times New Roman"/>
                      <w:bCs/>
                      <w:color w:val="auto"/>
                      <w:szCs w:val="21"/>
                      <w:u w:val="none" w:color="auto"/>
                      <w:lang w:val="en-US" w:eastAsia="zh-CN"/>
                    </w:rPr>
                    <w:t>低噪设备、墙体隔声、设备减振等</w:t>
                  </w:r>
                </w:p>
              </w:tc>
              <w:tc>
                <w:tcPr>
                  <w:tcW w:w="924" w:type="pct"/>
                  <w:tcBorders>
                    <w:tl2br w:val="nil"/>
                    <w:tr2bl w:val="nil"/>
                  </w:tcBorders>
                  <w:noWrap w:val="0"/>
                  <w:vAlign w:val="center"/>
                </w:tcPr>
                <w:p w14:paraId="60B4E2B0">
                  <w:pPr>
                    <w:snapToGrid w:val="0"/>
                    <w:jc w:val="center"/>
                    <w:rPr>
                      <w:rFonts w:hint="default" w:ascii="Times New Roman" w:hAnsi="Times New Roman" w:eastAsia="宋体" w:cs="Times New Roman"/>
                      <w:bCs/>
                      <w:color w:val="auto"/>
                      <w:szCs w:val="21"/>
                      <w:u w:val="none" w:color="auto"/>
                      <w:lang w:val="en-US" w:eastAsia="zh-CN"/>
                    </w:rPr>
                  </w:pPr>
                  <w:r>
                    <w:rPr>
                      <w:rFonts w:hint="eastAsia" w:cs="Times New Roman"/>
                      <w:bCs/>
                      <w:color w:val="auto"/>
                      <w:szCs w:val="21"/>
                      <w:u w:val="none" w:color="auto"/>
                      <w:lang w:val="en-US" w:eastAsia="zh-CN"/>
                    </w:rPr>
                    <w:t>10</w:t>
                  </w:r>
                </w:p>
              </w:tc>
            </w:tr>
            <w:tr w14:paraId="7690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678" w:type="pct"/>
                  <w:tcBorders>
                    <w:tl2br w:val="nil"/>
                    <w:tr2bl w:val="nil"/>
                  </w:tcBorders>
                  <w:noWrap w:val="0"/>
                  <w:vAlign w:val="center"/>
                </w:tcPr>
                <w:p w14:paraId="583D848A">
                  <w:pPr>
                    <w:snapToGrid w:val="0"/>
                    <w:jc w:val="center"/>
                    <w:rPr>
                      <w:rFonts w:hint="eastAsia" w:ascii="Times New Roman" w:hAnsi="Times New Roman" w:eastAsia="宋体" w:cs="Times New Roman"/>
                      <w:bCs/>
                      <w:color w:val="auto"/>
                      <w:szCs w:val="21"/>
                      <w:u w:val="none" w:color="auto"/>
                      <w:lang w:val="en-US" w:eastAsia="zh-CN"/>
                    </w:rPr>
                  </w:pPr>
                  <w:r>
                    <w:rPr>
                      <w:rFonts w:hint="eastAsia" w:cs="Times New Roman"/>
                      <w:bCs/>
                      <w:color w:val="auto"/>
                      <w:szCs w:val="21"/>
                      <w:u w:val="none" w:color="auto"/>
                      <w:lang w:val="en-US" w:eastAsia="zh-CN"/>
                    </w:rPr>
                    <w:t>固废</w:t>
                  </w:r>
                </w:p>
              </w:tc>
              <w:tc>
                <w:tcPr>
                  <w:tcW w:w="3396" w:type="pct"/>
                  <w:gridSpan w:val="2"/>
                  <w:tcBorders>
                    <w:tl2br w:val="nil"/>
                    <w:tr2bl w:val="nil"/>
                  </w:tcBorders>
                  <w:noWrap w:val="0"/>
                  <w:vAlign w:val="center"/>
                </w:tcPr>
                <w:p w14:paraId="2A425CBF">
                  <w:pPr>
                    <w:snapToGrid w:val="0"/>
                    <w:jc w:val="center"/>
                    <w:rPr>
                      <w:rFonts w:hint="default" w:ascii="Times New Roman" w:hAnsi="Times New Roman" w:eastAsia="宋体" w:cs="Times New Roman"/>
                      <w:bCs/>
                      <w:color w:val="auto"/>
                      <w:szCs w:val="21"/>
                      <w:u w:val="none" w:color="auto"/>
                      <w:lang w:val="en-US" w:eastAsia="zh-CN"/>
                    </w:rPr>
                  </w:pPr>
                  <w:r>
                    <w:rPr>
                      <w:rFonts w:hint="eastAsia" w:cs="Times New Roman"/>
                      <w:bCs/>
                      <w:color w:val="auto"/>
                      <w:szCs w:val="21"/>
                      <w:u w:val="none" w:color="auto"/>
                      <w:lang w:val="en-US" w:eastAsia="zh-CN"/>
                    </w:rPr>
                    <w:t>含油废铁屑暂存间、危废暂存间、一般固废暂存间</w:t>
                  </w:r>
                </w:p>
              </w:tc>
              <w:tc>
                <w:tcPr>
                  <w:tcW w:w="924" w:type="pct"/>
                  <w:tcBorders>
                    <w:tl2br w:val="nil"/>
                    <w:tr2bl w:val="nil"/>
                  </w:tcBorders>
                  <w:noWrap w:val="0"/>
                  <w:vAlign w:val="center"/>
                </w:tcPr>
                <w:p w14:paraId="66A8448C">
                  <w:pPr>
                    <w:snapToGrid w:val="0"/>
                    <w:jc w:val="center"/>
                    <w:rPr>
                      <w:rFonts w:hint="default" w:ascii="Times New Roman" w:hAnsi="Times New Roman" w:eastAsia="宋体" w:cs="Times New Roman"/>
                      <w:bCs/>
                      <w:color w:val="auto"/>
                      <w:szCs w:val="21"/>
                      <w:u w:val="none" w:color="auto"/>
                      <w:lang w:val="en-US" w:eastAsia="zh-CN"/>
                    </w:rPr>
                  </w:pPr>
                  <w:r>
                    <w:rPr>
                      <w:rFonts w:hint="eastAsia" w:cs="Times New Roman"/>
                      <w:bCs/>
                      <w:color w:val="auto"/>
                      <w:szCs w:val="21"/>
                      <w:u w:val="none" w:color="auto"/>
                      <w:lang w:val="en-US" w:eastAsia="zh-CN"/>
                    </w:rPr>
                    <w:t>10</w:t>
                  </w:r>
                </w:p>
              </w:tc>
            </w:tr>
            <w:tr w14:paraId="052E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4075" w:type="pct"/>
                  <w:gridSpan w:val="3"/>
                  <w:tcBorders>
                    <w:tl2br w:val="nil"/>
                    <w:tr2bl w:val="nil"/>
                  </w:tcBorders>
                  <w:noWrap w:val="0"/>
                  <w:vAlign w:val="center"/>
                </w:tcPr>
                <w:p w14:paraId="19EF2F7E">
                  <w:pPr>
                    <w:snapToGrid w:val="0"/>
                    <w:jc w:val="center"/>
                    <w:rPr>
                      <w:rFonts w:hint="eastAsia" w:ascii="Times New Roman" w:hAnsi="Times New Roman" w:eastAsia="宋体" w:cs="Times New Roman"/>
                      <w:bCs/>
                      <w:color w:val="auto"/>
                      <w:szCs w:val="21"/>
                      <w:u w:val="none" w:color="auto"/>
                      <w:lang w:val="en-US" w:eastAsia="zh-CN"/>
                    </w:rPr>
                  </w:pPr>
                  <w:r>
                    <w:rPr>
                      <w:rFonts w:hint="eastAsia" w:ascii="Times New Roman" w:hAnsi="Times New Roman" w:eastAsia="宋体" w:cs="Times New Roman"/>
                      <w:bCs/>
                      <w:color w:val="auto"/>
                      <w:szCs w:val="21"/>
                      <w:u w:val="none" w:color="auto"/>
                      <w:lang w:val="en-US" w:eastAsia="zh-CN"/>
                    </w:rPr>
                    <w:t>合计</w:t>
                  </w:r>
                </w:p>
              </w:tc>
              <w:tc>
                <w:tcPr>
                  <w:tcW w:w="924" w:type="pct"/>
                  <w:tcBorders>
                    <w:tl2br w:val="nil"/>
                    <w:tr2bl w:val="nil"/>
                  </w:tcBorders>
                  <w:noWrap w:val="0"/>
                  <w:vAlign w:val="center"/>
                </w:tcPr>
                <w:p w14:paraId="16B00E91">
                  <w:pPr>
                    <w:snapToGrid w:val="0"/>
                    <w:jc w:val="center"/>
                    <w:rPr>
                      <w:rFonts w:hint="default" w:ascii="Times New Roman" w:hAnsi="Times New Roman" w:eastAsia="宋体" w:cs="Times New Roman"/>
                      <w:bCs/>
                      <w:color w:val="auto"/>
                      <w:szCs w:val="21"/>
                      <w:u w:val="none" w:color="auto"/>
                      <w:lang w:val="en-US" w:eastAsia="zh-CN"/>
                    </w:rPr>
                  </w:pPr>
                  <w:r>
                    <w:rPr>
                      <w:rFonts w:hint="eastAsia" w:cs="Times New Roman"/>
                      <w:bCs/>
                      <w:color w:val="auto"/>
                      <w:szCs w:val="21"/>
                      <w:u w:val="none" w:color="auto"/>
                      <w:lang w:val="en-US" w:eastAsia="zh-CN"/>
                    </w:rPr>
                    <w:t>110</w:t>
                  </w:r>
                </w:p>
              </w:tc>
            </w:tr>
          </w:tbl>
          <w:p w14:paraId="4265A82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highlight w:val="none"/>
                <w:u w:val="single" w:color="auto"/>
                <w:lang w:val="en-US" w:eastAsia="zh-CN"/>
              </w:rPr>
            </w:pPr>
          </w:p>
        </w:tc>
      </w:tr>
    </w:tbl>
    <w:p w14:paraId="18E658E7">
      <w:pPr>
        <w:rPr>
          <w:rFonts w:hint="default" w:ascii="Times New Roman" w:hAnsi="Times New Roman" w:cs="Times New Roman"/>
          <w:color w:val="auto"/>
          <w:highlight w:val="none"/>
          <w:u w:val="single" w:color="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841DFD3">
      <w:pPr>
        <w:pStyle w:val="29"/>
        <w:keepNext w:val="0"/>
        <w:keepLines w:val="0"/>
        <w:pageBreakBefore w:val="0"/>
        <w:widowControl/>
        <w:numPr>
          <w:ilvl w:val="0"/>
          <w:numId w:val="5"/>
        </w:numPr>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11" w:name="_Hlk54167917"/>
      <w:bookmarkStart w:id="12" w:name="_Toc28805"/>
      <w:r>
        <w:rPr>
          <w:rFonts w:hint="default" w:ascii="Times New Roman" w:hAnsi="Times New Roman" w:eastAsia="黑体" w:cs="Times New Roman"/>
          <w:snapToGrid w:val="0"/>
          <w:color w:val="auto"/>
          <w:sz w:val="30"/>
          <w:szCs w:val="30"/>
          <w:highlight w:val="none"/>
        </w:rPr>
        <w:t>环境保护措施监督检查清单</w:t>
      </w:r>
      <w:bookmarkEnd w:id="11"/>
      <w:bookmarkEnd w:id="12"/>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610"/>
        <w:gridCol w:w="1628"/>
        <w:gridCol w:w="1701"/>
        <w:gridCol w:w="2301"/>
      </w:tblGrid>
      <w:tr w14:paraId="36A95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tcBorders>
              <w:tl2br w:val="single" w:color="auto" w:sz="4" w:space="0"/>
            </w:tcBorders>
            <w:noWrap w:val="0"/>
            <w:vAlign w:val="top"/>
          </w:tcPr>
          <w:p w14:paraId="6EB8A325">
            <w:pPr>
              <w:keepNext w:val="0"/>
              <w:keepLines w:val="0"/>
              <w:suppressLineNumbers w:val="0"/>
              <w:adjustRightInd w:val="0"/>
              <w:snapToGrid w:val="0"/>
              <w:spacing w:before="0" w:beforeAutospacing="0" w:after="0" w:afterAutospacing="0"/>
              <w:ind w:left="0" w:right="0" w:firstLine="840"/>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内容</w:t>
            </w:r>
          </w:p>
          <w:p w14:paraId="469EE69D">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要素</w:t>
            </w:r>
          </w:p>
        </w:tc>
        <w:tc>
          <w:tcPr>
            <w:tcW w:w="1610" w:type="dxa"/>
            <w:noWrap w:val="0"/>
            <w:vAlign w:val="center"/>
          </w:tcPr>
          <w:p w14:paraId="39712D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排放口(编号、</w:t>
            </w:r>
          </w:p>
          <w:p w14:paraId="2ABA9B8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名称)/污染源</w:t>
            </w:r>
          </w:p>
        </w:tc>
        <w:tc>
          <w:tcPr>
            <w:tcW w:w="1628" w:type="dxa"/>
            <w:noWrap w:val="0"/>
            <w:vAlign w:val="center"/>
          </w:tcPr>
          <w:p w14:paraId="667648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污染物项目</w:t>
            </w:r>
          </w:p>
        </w:tc>
        <w:tc>
          <w:tcPr>
            <w:tcW w:w="1701" w:type="dxa"/>
            <w:noWrap w:val="0"/>
            <w:vAlign w:val="center"/>
          </w:tcPr>
          <w:p w14:paraId="78F5D2D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环境保护措施</w:t>
            </w:r>
          </w:p>
        </w:tc>
        <w:tc>
          <w:tcPr>
            <w:tcW w:w="2301" w:type="dxa"/>
            <w:noWrap w:val="0"/>
            <w:vAlign w:val="center"/>
          </w:tcPr>
          <w:p w14:paraId="0FA5C9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执行标准</w:t>
            </w:r>
          </w:p>
        </w:tc>
      </w:tr>
      <w:tr w14:paraId="43642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restart"/>
            <w:tcBorders>
              <w:left w:val="single" w:color="auto" w:sz="4" w:space="0"/>
            </w:tcBorders>
            <w:noWrap w:val="0"/>
            <w:vAlign w:val="center"/>
          </w:tcPr>
          <w:p w14:paraId="5E0493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大气环境</w:t>
            </w:r>
          </w:p>
        </w:tc>
        <w:tc>
          <w:tcPr>
            <w:tcW w:w="1610" w:type="dxa"/>
            <w:tcBorders>
              <w:bottom w:val="single" w:color="auto" w:sz="4" w:space="0"/>
            </w:tcBorders>
            <w:noWrap w:val="0"/>
            <w:vAlign w:val="center"/>
          </w:tcPr>
          <w:p w14:paraId="493DF573">
            <w:pPr>
              <w:keepNext w:val="0"/>
              <w:keepLines w:val="0"/>
              <w:widowControl/>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高频淬火</w:t>
            </w:r>
          </w:p>
        </w:tc>
        <w:tc>
          <w:tcPr>
            <w:tcW w:w="1628" w:type="dxa"/>
            <w:tcBorders>
              <w:bottom w:val="single" w:color="auto" w:sz="4" w:space="0"/>
            </w:tcBorders>
            <w:noWrap w:val="0"/>
            <w:vAlign w:val="center"/>
          </w:tcPr>
          <w:p w14:paraId="1706A501">
            <w:pPr>
              <w:keepNext w:val="0"/>
              <w:keepLines w:val="0"/>
              <w:widowControl/>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非甲烷总烃</w:t>
            </w:r>
          </w:p>
        </w:tc>
        <w:tc>
          <w:tcPr>
            <w:tcW w:w="1701" w:type="dxa"/>
            <w:tcBorders>
              <w:bottom w:val="single" w:color="auto" w:sz="4" w:space="0"/>
            </w:tcBorders>
            <w:noWrap w:val="0"/>
            <w:vAlign w:val="center"/>
          </w:tcPr>
          <w:p w14:paraId="5EEA2528">
            <w:pPr>
              <w:keepNext w:val="0"/>
              <w:keepLines w:val="0"/>
              <w:widowControl/>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水性淬火剂，无组织排放</w:t>
            </w:r>
          </w:p>
        </w:tc>
        <w:tc>
          <w:tcPr>
            <w:tcW w:w="2301" w:type="dxa"/>
            <w:vMerge w:val="restart"/>
            <w:tcBorders>
              <w:right w:val="single" w:color="auto" w:sz="4" w:space="0"/>
            </w:tcBorders>
            <w:noWrap w:val="0"/>
            <w:vAlign w:val="center"/>
          </w:tcPr>
          <w:p w14:paraId="053A4C72">
            <w:pPr>
              <w:keepNext w:val="0"/>
              <w:keepLines w:val="0"/>
              <w:widowControl/>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《大气污染物综合排放标准》（GB16297-1996）中表2排放限值要求</w:t>
            </w:r>
          </w:p>
        </w:tc>
      </w:tr>
      <w:tr w14:paraId="70616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tcBorders>
              <w:left w:val="single" w:color="auto" w:sz="4" w:space="0"/>
            </w:tcBorders>
            <w:noWrap w:val="0"/>
            <w:vAlign w:val="center"/>
          </w:tcPr>
          <w:p w14:paraId="3C0A3CF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p>
        </w:tc>
        <w:tc>
          <w:tcPr>
            <w:tcW w:w="1610" w:type="dxa"/>
            <w:tcBorders>
              <w:bottom w:val="single" w:color="auto" w:sz="4" w:space="0"/>
            </w:tcBorders>
            <w:noWrap w:val="0"/>
            <w:vAlign w:val="center"/>
          </w:tcPr>
          <w:p w14:paraId="2EB164CB">
            <w:pPr>
              <w:keepNext w:val="0"/>
              <w:keepLines w:val="0"/>
              <w:widowControl/>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机加工</w:t>
            </w:r>
          </w:p>
        </w:tc>
        <w:tc>
          <w:tcPr>
            <w:tcW w:w="1628" w:type="dxa"/>
            <w:tcBorders>
              <w:bottom w:val="single" w:color="auto" w:sz="4" w:space="0"/>
            </w:tcBorders>
            <w:noWrap w:val="0"/>
            <w:vAlign w:val="center"/>
          </w:tcPr>
          <w:p w14:paraId="168439F7">
            <w:pPr>
              <w:keepNext w:val="0"/>
              <w:keepLines w:val="0"/>
              <w:widowControl/>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颗粒物、非甲烷总烃</w:t>
            </w:r>
          </w:p>
        </w:tc>
        <w:tc>
          <w:tcPr>
            <w:tcW w:w="1701" w:type="dxa"/>
            <w:tcBorders>
              <w:bottom w:val="single" w:color="auto" w:sz="4" w:space="0"/>
            </w:tcBorders>
            <w:noWrap w:val="0"/>
            <w:vAlign w:val="center"/>
          </w:tcPr>
          <w:p w14:paraId="64664282">
            <w:pPr>
              <w:keepNext w:val="0"/>
              <w:keepLines w:val="0"/>
              <w:widowControl/>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机床密闭加工+负压收集+机械过滤，车间内无组织排放</w:t>
            </w:r>
          </w:p>
        </w:tc>
        <w:tc>
          <w:tcPr>
            <w:tcW w:w="2301" w:type="dxa"/>
            <w:vMerge w:val="continue"/>
            <w:tcBorders>
              <w:right w:val="single" w:color="auto" w:sz="4" w:space="0"/>
            </w:tcBorders>
            <w:noWrap w:val="0"/>
            <w:vAlign w:val="center"/>
          </w:tcPr>
          <w:p w14:paraId="038D8DF6">
            <w:pPr>
              <w:keepNext w:val="0"/>
              <w:keepLines w:val="0"/>
              <w:widowControl/>
              <w:suppressLineNumbers w:val="0"/>
              <w:spacing w:before="0" w:beforeAutospacing="0" w:after="0" w:afterAutospacing="0" w:line="0" w:lineRule="atLeast"/>
              <w:ind w:left="0" w:right="0"/>
              <w:jc w:val="center"/>
              <w:textAlignment w:val="center"/>
              <w:rPr>
                <w:rFonts w:hint="eastAsia" w:ascii="Times New Roman" w:hAnsi="Times New Roman" w:eastAsia="宋体" w:cs="Times New Roman"/>
                <w:color w:val="auto"/>
                <w:szCs w:val="21"/>
                <w:u w:val="none" w:color="auto"/>
                <w:lang w:val="en-US" w:eastAsia="zh-CN"/>
              </w:rPr>
            </w:pPr>
          </w:p>
        </w:tc>
      </w:tr>
      <w:tr w14:paraId="4D416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tcBorders>
              <w:left w:val="single" w:color="auto" w:sz="4" w:space="0"/>
            </w:tcBorders>
            <w:noWrap w:val="0"/>
            <w:vAlign w:val="center"/>
          </w:tcPr>
          <w:p w14:paraId="60464A4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p>
        </w:tc>
        <w:tc>
          <w:tcPr>
            <w:tcW w:w="1610" w:type="dxa"/>
            <w:tcBorders>
              <w:bottom w:val="single" w:color="auto" w:sz="4" w:space="0"/>
            </w:tcBorders>
            <w:noWrap w:val="0"/>
            <w:vAlign w:val="center"/>
          </w:tcPr>
          <w:p w14:paraId="064C8C55">
            <w:pPr>
              <w:keepNext w:val="0"/>
              <w:keepLines w:val="0"/>
              <w:widowControl/>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表面喷砂</w:t>
            </w:r>
          </w:p>
        </w:tc>
        <w:tc>
          <w:tcPr>
            <w:tcW w:w="1628" w:type="dxa"/>
            <w:tcBorders>
              <w:bottom w:val="single" w:color="auto" w:sz="4" w:space="0"/>
            </w:tcBorders>
            <w:noWrap w:val="0"/>
            <w:vAlign w:val="center"/>
          </w:tcPr>
          <w:p w14:paraId="7C636003">
            <w:pPr>
              <w:keepNext w:val="0"/>
              <w:keepLines w:val="0"/>
              <w:widowControl/>
              <w:suppressLineNumbers w:val="0"/>
              <w:spacing w:before="0" w:beforeAutospacing="0" w:after="0" w:afterAutospacing="0" w:line="0" w:lineRule="atLeast"/>
              <w:ind w:left="0" w:right="0"/>
              <w:jc w:val="center"/>
              <w:textAlignment w:val="center"/>
              <w:rPr>
                <w:rFonts w:hint="eastAsia" w:ascii="Times New Roman" w:hAnsi="Times New Roman" w:eastAsia="宋体" w:cs="Times New Roman"/>
                <w:color w:val="auto"/>
                <w:szCs w:val="21"/>
                <w:u w:val="none" w:color="auto"/>
              </w:rPr>
            </w:pPr>
            <w:r>
              <w:rPr>
                <w:rFonts w:hint="eastAsia" w:cs="Times New Roman"/>
                <w:color w:val="auto"/>
                <w:szCs w:val="21"/>
                <w:u w:val="none" w:color="auto"/>
                <w:lang w:val="en-US" w:eastAsia="zh-CN"/>
              </w:rPr>
              <w:t>颗粒物</w:t>
            </w:r>
          </w:p>
        </w:tc>
        <w:tc>
          <w:tcPr>
            <w:tcW w:w="1701" w:type="dxa"/>
            <w:tcBorders>
              <w:bottom w:val="single" w:color="auto" w:sz="4" w:space="0"/>
            </w:tcBorders>
            <w:noWrap w:val="0"/>
            <w:vAlign w:val="center"/>
          </w:tcPr>
          <w:p w14:paraId="6CB34852">
            <w:pPr>
              <w:keepNext w:val="0"/>
              <w:keepLines w:val="0"/>
              <w:widowControl/>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设备自带除尘设施+15m高排气筒</w:t>
            </w:r>
          </w:p>
        </w:tc>
        <w:tc>
          <w:tcPr>
            <w:tcW w:w="2301" w:type="dxa"/>
            <w:vMerge w:val="continue"/>
            <w:tcBorders>
              <w:bottom w:val="single" w:color="auto" w:sz="4" w:space="0"/>
              <w:right w:val="single" w:color="auto" w:sz="4" w:space="0"/>
            </w:tcBorders>
            <w:noWrap w:val="0"/>
            <w:vAlign w:val="center"/>
          </w:tcPr>
          <w:p w14:paraId="396B270C">
            <w:pPr>
              <w:keepNext w:val="0"/>
              <w:keepLines w:val="0"/>
              <w:widowControl/>
              <w:suppressLineNumbers w:val="0"/>
              <w:spacing w:before="0" w:beforeAutospacing="0" w:after="0" w:afterAutospacing="0" w:line="0" w:lineRule="atLeast"/>
              <w:ind w:left="0" w:right="0"/>
              <w:jc w:val="center"/>
              <w:textAlignment w:val="center"/>
              <w:rPr>
                <w:rFonts w:hint="eastAsia" w:ascii="Times New Roman" w:hAnsi="Times New Roman" w:eastAsia="宋体" w:cs="Times New Roman"/>
                <w:color w:val="auto"/>
                <w:szCs w:val="21"/>
                <w:u w:val="none" w:color="auto"/>
                <w:lang w:val="en-US" w:eastAsia="zh-CN"/>
              </w:rPr>
            </w:pPr>
          </w:p>
        </w:tc>
      </w:tr>
      <w:tr w14:paraId="0F2B2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tcBorders>
              <w:left w:val="single" w:color="auto" w:sz="4" w:space="0"/>
              <w:bottom w:val="single" w:color="auto" w:sz="4" w:space="0"/>
            </w:tcBorders>
            <w:noWrap w:val="0"/>
            <w:vAlign w:val="center"/>
          </w:tcPr>
          <w:p w14:paraId="0996A0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p>
        </w:tc>
        <w:tc>
          <w:tcPr>
            <w:tcW w:w="1610" w:type="dxa"/>
            <w:tcBorders>
              <w:bottom w:val="single" w:color="auto" w:sz="4" w:space="0"/>
            </w:tcBorders>
            <w:noWrap w:val="0"/>
            <w:vAlign w:val="center"/>
          </w:tcPr>
          <w:p w14:paraId="76385576">
            <w:pPr>
              <w:keepNext w:val="0"/>
              <w:keepLines w:val="0"/>
              <w:widowControl/>
              <w:suppressLineNumbers w:val="0"/>
              <w:spacing w:before="0" w:beforeAutospacing="0" w:after="0" w:afterAutospacing="0" w:line="0" w:lineRule="atLeast"/>
              <w:ind w:left="0" w:right="0"/>
              <w:jc w:val="center"/>
              <w:textAlignment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食堂</w:t>
            </w:r>
          </w:p>
        </w:tc>
        <w:tc>
          <w:tcPr>
            <w:tcW w:w="1628" w:type="dxa"/>
            <w:tcBorders>
              <w:bottom w:val="single" w:color="auto" w:sz="4" w:space="0"/>
            </w:tcBorders>
            <w:noWrap w:val="0"/>
            <w:vAlign w:val="center"/>
          </w:tcPr>
          <w:p w14:paraId="4AAC7BA8">
            <w:pPr>
              <w:keepNext w:val="0"/>
              <w:keepLines w:val="0"/>
              <w:widowControl/>
              <w:suppressLineNumbers w:val="0"/>
              <w:spacing w:before="0" w:beforeAutospacing="0" w:after="0" w:afterAutospacing="0" w:line="0" w:lineRule="atLeast"/>
              <w:ind w:left="0" w:right="0"/>
              <w:jc w:val="center"/>
              <w:textAlignment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油烟</w:t>
            </w:r>
          </w:p>
        </w:tc>
        <w:tc>
          <w:tcPr>
            <w:tcW w:w="1701" w:type="dxa"/>
            <w:tcBorders>
              <w:bottom w:val="single" w:color="auto" w:sz="4" w:space="0"/>
            </w:tcBorders>
            <w:noWrap w:val="0"/>
            <w:vAlign w:val="center"/>
          </w:tcPr>
          <w:p w14:paraId="17DCD914">
            <w:pPr>
              <w:keepNext w:val="0"/>
              <w:keepLines w:val="0"/>
              <w:widowControl/>
              <w:suppressLineNumbers w:val="0"/>
              <w:spacing w:before="0" w:beforeAutospacing="0" w:after="0" w:afterAutospacing="0" w:line="0" w:lineRule="atLeast"/>
              <w:ind w:left="0" w:right="0"/>
              <w:jc w:val="center"/>
              <w:textAlignment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油烟净化器+排气筒高空排放</w:t>
            </w:r>
          </w:p>
        </w:tc>
        <w:tc>
          <w:tcPr>
            <w:tcW w:w="2301" w:type="dxa"/>
            <w:tcBorders>
              <w:bottom w:val="single" w:color="auto" w:sz="4" w:space="0"/>
              <w:right w:val="single" w:color="auto" w:sz="4" w:space="0"/>
            </w:tcBorders>
            <w:noWrap w:val="0"/>
            <w:vAlign w:val="center"/>
          </w:tcPr>
          <w:p w14:paraId="0C6CE2F0">
            <w:pPr>
              <w:keepNext w:val="0"/>
              <w:keepLines w:val="0"/>
              <w:widowControl/>
              <w:suppressLineNumbers w:val="0"/>
              <w:spacing w:before="0" w:beforeAutospacing="0" w:after="0" w:afterAutospacing="0" w:line="0" w:lineRule="atLeast"/>
              <w:ind w:left="0" w:right="0"/>
              <w:jc w:val="center"/>
              <w:textAlignment w:val="center"/>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《饮食业油烟排放标准》（GB18483-2001）排放标准</w:t>
            </w:r>
          </w:p>
        </w:tc>
      </w:tr>
      <w:tr w14:paraId="24AB71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560" w:type="dxa"/>
            <w:vMerge w:val="restart"/>
            <w:tcBorders>
              <w:top w:val="single" w:color="auto" w:sz="4" w:space="0"/>
              <w:left w:val="single" w:color="auto" w:sz="4" w:space="0"/>
            </w:tcBorders>
            <w:noWrap w:val="0"/>
            <w:vAlign w:val="center"/>
          </w:tcPr>
          <w:p w14:paraId="5DBCB12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地表水环境</w:t>
            </w:r>
          </w:p>
        </w:tc>
        <w:tc>
          <w:tcPr>
            <w:tcW w:w="1610" w:type="dxa"/>
            <w:tcBorders>
              <w:top w:val="single" w:color="auto" w:sz="4" w:space="0"/>
            </w:tcBorders>
            <w:noWrap w:val="0"/>
            <w:vAlign w:val="center"/>
          </w:tcPr>
          <w:p w14:paraId="2F318802">
            <w:pPr>
              <w:keepNext w:val="0"/>
              <w:keepLines w:val="0"/>
              <w:suppressLineNumbers w:val="0"/>
              <w:adjustRightInd w:val="0"/>
              <w:snapToGrid w:val="0"/>
              <w:spacing w:before="0" w:beforeAutospacing="0" w:after="0" w:afterAutospacing="0"/>
              <w:ind w:left="0" w:right="0"/>
              <w:jc w:val="center"/>
              <w:rPr>
                <w:rFonts w:hint="eastAsia" w:cs="Times New Roman"/>
                <w:color w:val="auto"/>
                <w:szCs w:val="21"/>
                <w:u w:val="none" w:color="auto"/>
                <w:lang w:val="en-US" w:eastAsia="zh-CN"/>
              </w:rPr>
            </w:pPr>
            <w:r>
              <w:rPr>
                <w:rFonts w:hint="eastAsia" w:cs="Times New Roman"/>
                <w:color w:val="auto"/>
                <w:szCs w:val="21"/>
                <w:u w:val="none" w:color="auto"/>
                <w:lang w:val="en-US" w:eastAsia="zh-CN"/>
              </w:rPr>
              <w:t>生活污水</w:t>
            </w:r>
            <w:r>
              <w:rPr>
                <w:rFonts w:hint="default" w:ascii="Times New Roman" w:hAnsi="Times New Roman" w:eastAsia="宋体" w:cs="Times New Roman"/>
                <w:color w:val="auto"/>
                <w:szCs w:val="21"/>
                <w:u w:val="none" w:color="auto"/>
              </w:rPr>
              <w:t>DW00</w:t>
            </w:r>
            <w:r>
              <w:rPr>
                <w:rFonts w:hint="eastAsia" w:cs="Times New Roman"/>
                <w:color w:val="auto"/>
                <w:szCs w:val="21"/>
                <w:u w:val="none" w:color="auto"/>
                <w:lang w:val="en-US" w:eastAsia="zh-CN"/>
              </w:rPr>
              <w:t>1</w:t>
            </w:r>
          </w:p>
          <w:p w14:paraId="392349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rPr>
              <w:t>（</w:t>
            </w:r>
            <w:r>
              <w:rPr>
                <w:rFonts w:hint="eastAsia" w:cs="Times New Roman"/>
                <w:color w:val="auto"/>
                <w:szCs w:val="21"/>
                <w:u w:val="none" w:color="auto"/>
                <w:lang w:val="en-US" w:eastAsia="zh-CN"/>
              </w:rPr>
              <w:t>生活污水</w:t>
            </w:r>
            <w:r>
              <w:rPr>
                <w:rFonts w:hint="default" w:ascii="Times New Roman" w:hAnsi="Times New Roman" w:eastAsia="宋体" w:cs="Times New Roman"/>
                <w:color w:val="auto"/>
                <w:szCs w:val="21"/>
                <w:u w:val="none" w:color="auto"/>
              </w:rPr>
              <w:t>排口）</w:t>
            </w:r>
          </w:p>
        </w:tc>
        <w:tc>
          <w:tcPr>
            <w:tcW w:w="1628" w:type="dxa"/>
            <w:tcBorders>
              <w:top w:val="single" w:color="auto" w:sz="4" w:space="0"/>
            </w:tcBorders>
            <w:noWrap w:val="0"/>
            <w:vAlign w:val="center"/>
          </w:tcPr>
          <w:p w14:paraId="04257B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pH、</w:t>
            </w:r>
            <w:r>
              <w:rPr>
                <w:rFonts w:hint="eastAsia" w:ascii="Times New Roman" w:hAnsi="Times New Roman" w:eastAsia="宋体" w:cs="Times New Roman"/>
                <w:color w:val="auto"/>
                <w:szCs w:val="21"/>
                <w:u w:val="none" w:color="auto"/>
              </w:rPr>
              <w:t>COD</w:t>
            </w:r>
            <w:r>
              <w:rPr>
                <w:rFonts w:hint="eastAsia" w:cs="Times New Roman"/>
                <w:color w:val="auto"/>
                <w:szCs w:val="21"/>
                <w:u w:val="none" w:color="auto"/>
                <w:lang w:eastAsia="zh-CN"/>
              </w:rPr>
              <w:t>、</w:t>
            </w:r>
            <w:r>
              <w:rPr>
                <w:rFonts w:hint="eastAsia" w:cs="Times New Roman"/>
                <w:color w:val="auto"/>
                <w:szCs w:val="21"/>
                <w:u w:val="none" w:color="auto"/>
                <w:lang w:val="en-US" w:eastAsia="zh-CN"/>
              </w:rPr>
              <w:t>氨氮、SS、总磷、总氮、BOD</w:t>
            </w:r>
            <w:r>
              <w:rPr>
                <w:rFonts w:hint="eastAsia" w:cs="Times New Roman"/>
                <w:color w:val="auto"/>
                <w:szCs w:val="21"/>
                <w:u w:val="none" w:color="auto"/>
                <w:vertAlign w:val="subscript"/>
                <w:lang w:val="en-US" w:eastAsia="zh-CN"/>
              </w:rPr>
              <w:t>5</w:t>
            </w:r>
            <w:r>
              <w:rPr>
                <w:rFonts w:hint="eastAsia" w:cs="Times New Roman"/>
                <w:color w:val="auto"/>
                <w:szCs w:val="21"/>
                <w:u w:val="none" w:color="auto"/>
                <w:lang w:val="en-US" w:eastAsia="zh-CN"/>
              </w:rPr>
              <w:t>、动植物油</w:t>
            </w:r>
          </w:p>
        </w:tc>
        <w:tc>
          <w:tcPr>
            <w:tcW w:w="1701" w:type="dxa"/>
            <w:tcBorders>
              <w:top w:val="single" w:color="auto" w:sz="4" w:space="0"/>
              <w:bottom w:val="single" w:color="auto" w:sz="4" w:space="0"/>
            </w:tcBorders>
            <w:noWrap w:val="0"/>
            <w:vAlign w:val="center"/>
          </w:tcPr>
          <w:p w14:paraId="37F5DC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三级化粪池</w:t>
            </w:r>
          </w:p>
        </w:tc>
        <w:tc>
          <w:tcPr>
            <w:tcW w:w="2301" w:type="dxa"/>
            <w:tcBorders>
              <w:top w:val="single" w:color="auto" w:sz="4" w:space="0"/>
              <w:bottom w:val="single" w:color="auto" w:sz="4" w:space="0"/>
              <w:right w:val="single" w:color="auto" w:sz="4" w:space="0"/>
            </w:tcBorders>
            <w:noWrap w:val="0"/>
            <w:vAlign w:val="center"/>
          </w:tcPr>
          <w:p w14:paraId="0A4D8C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u w:val="none" w:color="auto"/>
              </w:rPr>
              <w:t>《污水综合排放标准》（GB8978-1996）中三级标准</w:t>
            </w:r>
            <w:r>
              <w:rPr>
                <w:rFonts w:hint="eastAsia" w:ascii="Times New Roman" w:hAnsi="Times New Roman" w:cs="Times New Roman"/>
                <w:color w:val="auto"/>
                <w:u w:val="none" w:color="auto"/>
                <w:lang w:val="en-US" w:eastAsia="zh-CN"/>
              </w:rPr>
              <w:t>及</w:t>
            </w:r>
            <w:r>
              <w:rPr>
                <w:rFonts w:hint="eastAsia" w:cs="Times New Roman"/>
                <w:color w:val="auto"/>
                <w:u w:val="none" w:color="auto"/>
                <w:lang w:val="en-US" w:eastAsia="zh-CN"/>
              </w:rPr>
              <w:t>湘阴县第二污水处理厂</w:t>
            </w:r>
            <w:r>
              <w:rPr>
                <w:rFonts w:hint="eastAsia" w:ascii="Times New Roman" w:hAnsi="Times New Roman" w:cs="Times New Roman"/>
                <w:color w:val="auto"/>
                <w:u w:val="none" w:color="auto"/>
                <w:lang w:val="en-US" w:eastAsia="zh-CN"/>
              </w:rPr>
              <w:t>进水水质要求</w:t>
            </w:r>
          </w:p>
        </w:tc>
      </w:tr>
      <w:tr w14:paraId="195BA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560" w:type="dxa"/>
            <w:vMerge w:val="continue"/>
            <w:tcBorders>
              <w:left w:val="single" w:color="auto" w:sz="4" w:space="0"/>
              <w:bottom w:val="single" w:color="auto" w:sz="4" w:space="0"/>
            </w:tcBorders>
            <w:noWrap w:val="0"/>
            <w:vAlign w:val="center"/>
          </w:tcPr>
          <w:p w14:paraId="6BD7DE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p>
        </w:tc>
        <w:tc>
          <w:tcPr>
            <w:tcW w:w="1610" w:type="dxa"/>
            <w:tcBorders>
              <w:top w:val="single" w:color="auto" w:sz="4" w:space="0"/>
            </w:tcBorders>
            <w:noWrap w:val="0"/>
            <w:vAlign w:val="center"/>
          </w:tcPr>
          <w:p w14:paraId="171E75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生产废水</w:t>
            </w:r>
          </w:p>
        </w:tc>
        <w:tc>
          <w:tcPr>
            <w:tcW w:w="1628" w:type="dxa"/>
            <w:tcBorders>
              <w:top w:val="single" w:color="auto" w:sz="4" w:space="0"/>
            </w:tcBorders>
            <w:noWrap w:val="0"/>
            <w:vAlign w:val="center"/>
          </w:tcPr>
          <w:p w14:paraId="2D2E05B7">
            <w:pPr>
              <w:keepNext w:val="0"/>
              <w:keepLines w:val="0"/>
              <w:suppressLineNumbers w:val="0"/>
              <w:adjustRightInd w:val="0"/>
              <w:snapToGrid w:val="0"/>
              <w:spacing w:before="0" w:beforeAutospacing="0" w:after="0" w:afterAutospacing="0"/>
              <w:ind w:left="0" w:right="0"/>
              <w:jc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COD、石油类、SS</w:t>
            </w:r>
          </w:p>
        </w:tc>
        <w:tc>
          <w:tcPr>
            <w:tcW w:w="1701" w:type="dxa"/>
            <w:tcBorders>
              <w:top w:val="single" w:color="auto" w:sz="4" w:space="0"/>
              <w:bottom w:val="single" w:color="auto" w:sz="4" w:space="0"/>
            </w:tcBorders>
            <w:noWrap w:val="0"/>
            <w:vAlign w:val="center"/>
          </w:tcPr>
          <w:p w14:paraId="71156166">
            <w:pPr>
              <w:keepNext w:val="0"/>
              <w:keepLines w:val="0"/>
              <w:suppressLineNumbers w:val="0"/>
              <w:adjustRightInd w:val="0"/>
              <w:snapToGrid w:val="0"/>
              <w:spacing w:before="0" w:beforeAutospacing="0" w:after="0" w:afterAutospacing="0"/>
              <w:ind w:left="0" w:right="0"/>
              <w:jc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隔油沉淀池</w:t>
            </w:r>
          </w:p>
        </w:tc>
        <w:tc>
          <w:tcPr>
            <w:tcW w:w="2301" w:type="dxa"/>
            <w:tcBorders>
              <w:top w:val="single" w:color="auto" w:sz="4" w:space="0"/>
              <w:bottom w:val="single" w:color="auto" w:sz="4" w:space="0"/>
              <w:right w:val="single" w:color="auto" w:sz="4" w:space="0"/>
            </w:tcBorders>
            <w:noWrap w:val="0"/>
            <w:vAlign w:val="center"/>
          </w:tcPr>
          <w:p w14:paraId="0A4FC5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每月底做危废处理，不外排</w:t>
            </w:r>
          </w:p>
        </w:tc>
      </w:tr>
      <w:tr w14:paraId="09649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tcBorders>
              <w:top w:val="single" w:color="auto" w:sz="4" w:space="0"/>
              <w:left w:val="single" w:color="auto" w:sz="4" w:space="0"/>
            </w:tcBorders>
            <w:noWrap w:val="0"/>
            <w:vAlign w:val="center"/>
          </w:tcPr>
          <w:p w14:paraId="5F5B90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声环境</w:t>
            </w:r>
          </w:p>
        </w:tc>
        <w:tc>
          <w:tcPr>
            <w:tcW w:w="1610" w:type="dxa"/>
            <w:tcBorders>
              <w:top w:val="single" w:color="auto" w:sz="4" w:space="0"/>
            </w:tcBorders>
            <w:noWrap w:val="0"/>
            <w:vAlign w:val="center"/>
          </w:tcPr>
          <w:p w14:paraId="24C8DA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各类</w:t>
            </w:r>
            <w:r>
              <w:rPr>
                <w:rFonts w:hint="default" w:ascii="Times New Roman" w:hAnsi="Times New Roman" w:cs="Times New Roman"/>
                <w:color w:val="auto"/>
                <w:szCs w:val="21"/>
                <w:u w:val="none" w:color="auto"/>
              </w:rPr>
              <w:t>设备</w:t>
            </w:r>
          </w:p>
        </w:tc>
        <w:tc>
          <w:tcPr>
            <w:tcW w:w="1628" w:type="dxa"/>
            <w:tcBorders>
              <w:top w:val="single" w:color="auto" w:sz="4" w:space="0"/>
            </w:tcBorders>
            <w:noWrap w:val="0"/>
            <w:vAlign w:val="center"/>
          </w:tcPr>
          <w:p w14:paraId="298123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噪声</w:t>
            </w:r>
          </w:p>
        </w:tc>
        <w:tc>
          <w:tcPr>
            <w:tcW w:w="1701" w:type="dxa"/>
            <w:tcBorders>
              <w:top w:val="single" w:color="auto" w:sz="4" w:space="0"/>
            </w:tcBorders>
            <w:noWrap w:val="0"/>
            <w:vAlign w:val="center"/>
          </w:tcPr>
          <w:p w14:paraId="352C001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生产车间采用围护结构，设备加装消声装置等降噪措施</w:t>
            </w:r>
          </w:p>
        </w:tc>
        <w:tc>
          <w:tcPr>
            <w:tcW w:w="2301" w:type="dxa"/>
            <w:tcBorders>
              <w:top w:val="single" w:color="auto" w:sz="4" w:space="0"/>
              <w:right w:val="single" w:color="auto" w:sz="4" w:space="0"/>
            </w:tcBorders>
            <w:noWrap w:val="0"/>
            <w:vAlign w:val="center"/>
          </w:tcPr>
          <w:p w14:paraId="582439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《工业企业厂界环境噪声排放标准》（GB12348-2008）表1中3类标准</w:t>
            </w:r>
          </w:p>
        </w:tc>
      </w:tr>
      <w:tr w14:paraId="3DD60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noWrap w:val="0"/>
            <w:vAlign w:val="center"/>
          </w:tcPr>
          <w:p w14:paraId="2F679F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电磁辐射</w:t>
            </w:r>
          </w:p>
        </w:tc>
        <w:tc>
          <w:tcPr>
            <w:tcW w:w="1610" w:type="dxa"/>
            <w:noWrap w:val="0"/>
            <w:vAlign w:val="center"/>
          </w:tcPr>
          <w:p w14:paraId="3A85DB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c>
          <w:tcPr>
            <w:tcW w:w="1628" w:type="dxa"/>
            <w:noWrap w:val="0"/>
            <w:vAlign w:val="center"/>
          </w:tcPr>
          <w:p w14:paraId="61AE30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c>
          <w:tcPr>
            <w:tcW w:w="1701" w:type="dxa"/>
            <w:noWrap w:val="0"/>
            <w:vAlign w:val="center"/>
          </w:tcPr>
          <w:p w14:paraId="0A8749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c>
          <w:tcPr>
            <w:tcW w:w="2301" w:type="dxa"/>
            <w:noWrap w:val="0"/>
            <w:vAlign w:val="center"/>
          </w:tcPr>
          <w:p w14:paraId="24F577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r>
      <w:tr w14:paraId="2D429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60" w:type="dxa"/>
            <w:noWrap w:val="0"/>
            <w:vAlign w:val="center"/>
          </w:tcPr>
          <w:p w14:paraId="786192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固体废物</w:t>
            </w:r>
          </w:p>
        </w:tc>
        <w:tc>
          <w:tcPr>
            <w:tcW w:w="7240" w:type="dxa"/>
            <w:gridSpan w:val="4"/>
            <w:noWrap w:val="0"/>
            <w:vAlign w:val="center"/>
          </w:tcPr>
          <w:p w14:paraId="37B589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auto"/>
                <w:szCs w:val="21"/>
                <w:highlight w:val="none"/>
                <w:u w:val="none" w:color="auto"/>
              </w:rPr>
            </w:pPr>
            <w:r>
              <w:rPr>
                <w:rFonts w:hint="eastAsia" w:ascii="Times New Roman" w:hAnsi="Times New Roman" w:cs="Times New Roman"/>
                <w:color w:val="auto"/>
                <w:sz w:val="21"/>
                <w:szCs w:val="21"/>
                <w:u w:val="none" w:color="auto"/>
                <w:lang w:eastAsia="zh-CN"/>
              </w:rPr>
              <w:t>（</w:t>
            </w:r>
            <w:r>
              <w:rPr>
                <w:rFonts w:hint="eastAsia" w:ascii="Times New Roman" w:hAnsi="Times New Roman" w:cs="Times New Roman"/>
                <w:color w:val="auto"/>
                <w:sz w:val="21"/>
                <w:szCs w:val="21"/>
                <w:u w:val="none" w:color="auto"/>
                <w:lang w:val="en-US" w:eastAsia="zh-CN"/>
              </w:rPr>
              <w:t>1</w:t>
            </w:r>
            <w:r>
              <w:rPr>
                <w:rFonts w:hint="eastAsia"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项目产生的各类固体废物分类收集并处置。一般工业固废设一处一般固废暂存间，一般固废收集后外售处置</w:t>
            </w:r>
            <w:r>
              <w:rPr>
                <w:rFonts w:hint="eastAsia" w:ascii="Times New Roman" w:hAnsi="Times New Roman" w:cs="Times New Roman"/>
                <w:color w:val="auto"/>
                <w:sz w:val="21"/>
                <w:szCs w:val="21"/>
                <w:u w:val="none" w:color="auto"/>
                <w:lang w:val="en-US" w:eastAsia="zh-CN"/>
              </w:rPr>
              <w:t>或者回收综合利用</w:t>
            </w:r>
            <w:r>
              <w:rPr>
                <w:rFonts w:hint="default" w:ascii="Times New Roman" w:hAnsi="Times New Roman" w:cs="Times New Roman"/>
                <w:color w:val="auto"/>
                <w:sz w:val="21"/>
                <w:szCs w:val="21"/>
                <w:u w:val="none" w:color="auto"/>
              </w:rPr>
              <w:t>，一般工业固废暂存场地位于</w:t>
            </w:r>
            <w:r>
              <w:rPr>
                <w:rFonts w:hint="eastAsia" w:ascii="Times New Roman" w:hAnsi="Times New Roman" w:cs="Times New Roman"/>
                <w:color w:val="auto"/>
                <w:sz w:val="21"/>
                <w:szCs w:val="21"/>
                <w:u w:val="none" w:color="auto"/>
                <w:lang w:val="en-US" w:eastAsia="zh-CN"/>
              </w:rPr>
              <w:t>车间西南角</w:t>
            </w:r>
            <w:r>
              <w:rPr>
                <w:rFonts w:hint="default" w:ascii="Times New Roman" w:hAnsi="Times New Roman" w:cs="Times New Roman"/>
                <w:color w:val="auto"/>
                <w:sz w:val="21"/>
                <w:szCs w:val="21"/>
                <w:u w:val="none" w:color="auto"/>
              </w:rPr>
              <w:t>，可做</w:t>
            </w:r>
            <w:r>
              <w:rPr>
                <w:rFonts w:hint="eastAsia" w:ascii="宋体" w:hAnsi="宋体" w:eastAsia="宋体" w:cs="宋体"/>
                <w:color w:val="auto"/>
                <w:sz w:val="21"/>
                <w:szCs w:val="21"/>
                <w:u w:val="none" w:color="auto"/>
              </w:rPr>
              <w:t>到“防扬散、防流失、防渗漏”</w:t>
            </w:r>
            <w:r>
              <w:rPr>
                <w:rFonts w:hint="default" w:ascii="Times New Roman" w:hAnsi="Times New Roman" w:cs="Times New Roman"/>
                <w:color w:val="auto"/>
                <w:sz w:val="21"/>
                <w:szCs w:val="21"/>
                <w:u w:val="none" w:color="auto"/>
              </w:rPr>
              <w:t>，符合</w:t>
            </w:r>
            <w:r>
              <w:rPr>
                <w:rFonts w:hint="default" w:ascii="Times New Roman" w:hAnsi="Times New Roman" w:cs="Times New Roman"/>
                <w:color w:val="auto"/>
                <w:kern w:val="0"/>
                <w:sz w:val="21"/>
                <w:szCs w:val="21"/>
                <w:u w:val="none" w:color="auto"/>
              </w:rPr>
              <w:t>《一般工业固废废物贮存和填埋污染控制标准》（GB18599-2020）</w:t>
            </w:r>
            <w:r>
              <w:rPr>
                <w:rFonts w:hint="default" w:ascii="Times New Roman" w:hAnsi="Times New Roman" w:cs="Times New Roman"/>
                <w:color w:val="auto"/>
                <w:sz w:val="21"/>
                <w:szCs w:val="21"/>
                <w:u w:val="none" w:color="auto"/>
              </w:rPr>
              <w:t>的要求，固废全部合理处置。</w:t>
            </w:r>
          </w:p>
          <w:p w14:paraId="74BF05A9">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420" w:firstLineChars="200"/>
              <w:jc w:val="left"/>
              <w:textAlignment w:val="auto"/>
              <w:rPr>
                <w:rFonts w:hint="default"/>
              </w:rPr>
            </w:pPr>
            <w:r>
              <w:rPr>
                <w:rFonts w:hint="default" w:ascii="Times New Roman" w:hAnsi="Times New Roman" w:eastAsia="宋体" w:cs="Times New Roman"/>
                <w:color w:val="auto"/>
                <w:szCs w:val="21"/>
                <w:highlight w:val="none"/>
                <w:u w:val="none" w:color="auto"/>
              </w:rPr>
              <w:t>（</w:t>
            </w:r>
            <w:r>
              <w:rPr>
                <w:rFonts w:hint="eastAsia" w:ascii="Times New Roman" w:hAnsi="Times New Roman" w:eastAsia="宋体" w:cs="Times New Roman"/>
                <w:color w:val="auto"/>
                <w:szCs w:val="21"/>
                <w:highlight w:val="none"/>
                <w:u w:val="none" w:color="auto"/>
                <w:lang w:val="en-US" w:eastAsia="zh-CN"/>
              </w:rPr>
              <w:t>2</w:t>
            </w:r>
            <w:r>
              <w:rPr>
                <w:rFonts w:hint="default" w:ascii="Times New Roman" w:hAnsi="Times New Roman" w:eastAsia="宋体" w:cs="Times New Roman"/>
                <w:color w:val="auto"/>
                <w:szCs w:val="21"/>
                <w:highlight w:val="none"/>
                <w:u w:val="none" w:color="auto"/>
              </w:rPr>
              <w:t>）厂</w:t>
            </w:r>
            <w:r>
              <w:rPr>
                <w:rFonts w:hint="default" w:ascii="Times New Roman" w:hAnsi="Times New Roman" w:eastAsia="宋体" w:cs="Times New Roman"/>
                <w:color w:val="auto"/>
                <w:szCs w:val="21"/>
                <w:highlight w:val="none"/>
                <w:u w:val="none" w:color="auto"/>
                <w:lang w:val="en-US" w:eastAsia="zh-CN"/>
              </w:rPr>
              <w:t>内</w:t>
            </w:r>
            <w:r>
              <w:rPr>
                <w:rFonts w:hint="default" w:ascii="Times New Roman" w:hAnsi="Times New Roman" w:eastAsia="宋体" w:cs="Times New Roman"/>
                <w:color w:val="auto"/>
                <w:szCs w:val="21"/>
                <w:highlight w:val="none"/>
                <w:u w:val="none" w:color="auto"/>
              </w:rPr>
              <w:t>设置</w:t>
            </w:r>
            <w:r>
              <w:rPr>
                <w:rFonts w:hint="default" w:ascii="Times New Roman" w:hAnsi="Times New Roman" w:eastAsia="宋体" w:cs="Times New Roman"/>
                <w:color w:val="auto"/>
                <w:szCs w:val="21"/>
                <w:highlight w:val="none"/>
                <w:u w:val="none" w:color="auto"/>
                <w:lang w:val="en-US" w:eastAsia="zh-CN"/>
              </w:rPr>
              <w:t>一定数量的</w:t>
            </w:r>
            <w:r>
              <w:rPr>
                <w:rFonts w:hint="default" w:ascii="Times New Roman" w:hAnsi="Times New Roman" w:eastAsia="宋体" w:cs="Times New Roman"/>
                <w:color w:val="auto"/>
                <w:szCs w:val="21"/>
                <w:highlight w:val="none"/>
                <w:u w:val="none" w:color="auto"/>
              </w:rPr>
              <w:t>垃圾桶，对生活垃圾进行分类收集</w:t>
            </w:r>
            <w:r>
              <w:rPr>
                <w:rFonts w:hint="default" w:ascii="Times New Roman" w:hAnsi="Times New Roman" w:eastAsia="宋体" w:cs="Times New Roman"/>
                <w:color w:val="auto"/>
                <w:szCs w:val="21"/>
                <w:highlight w:val="none"/>
                <w:u w:val="none" w:color="auto"/>
                <w:lang w:eastAsia="zh-CN"/>
              </w:rPr>
              <w:t>；</w:t>
            </w:r>
            <w:r>
              <w:rPr>
                <w:rFonts w:hint="default" w:ascii="Times New Roman" w:hAnsi="Times New Roman" w:eastAsia="宋体" w:cs="Times New Roman"/>
                <w:color w:val="auto"/>
                <w:szCs w:val="21"/>
                <w:highlight w:val="none"/>
                <w:u w:val="none" w:color="auto"/>
                <w:lang w:val="en-US" w:eastAsia="zh-CN"/>
              </w:rPr>
              <w:t>生活垃圾委托环卫部门进行统一清运处置，同时</w:t>
            </w:r>
            <w:r>
              <w:rPr>
                <w:rFonts w:hint="default" w:ascii="Times New Roman" w:hAnsi="Times New Roman" w:eastAsia="宋体" w:cs="Times New Roman"/>
                <w:color w:val="auto"/>
                <w:szCs w:val="21"/>
                <w:highlight w:val="none"/>
                <w:u w:val="none" w:color="auto"/>
              </w:rPr>
              <w:t>做到日产日清。</w:t>
            </w:r>
          </w:p>
          <w:p w14:paraId="4BD0714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420" w:firstLineChars="200"/>
              <w:jc w:val="left"/>
              <w:textAlignment w:val="auto"/>
              <w:rPr>
                <w:rFonts w:hint="default" w:eastAsia="宋体"/>
                <w:lang w:val="en-US" w:eastAsia="zh-CN"/>
              </w:rPr>
            </w:pPr>
            <w:r>
              <w:rPr>
                <w:rFonts w:hint="eastAsia"/>
                <w:lang w:eastAsia="zh-CN"/>
              </w:rPr>
              <w:t>（</w:t>
            </w:r>
            <w:r>
              <w:rPr>
                <w:rFonts w:hint="eastAsia"/>
                <w:lang w:val="en-US" w:eastAsia="zh-CN"/>
              </w:rPr>
              <w:t>3）危险废物集中收集暂存危废间，定期交由有资质单位处理。</w:t>
            </w:r>
          </w:p>
        </w:tc>
      </w:tr>
      <w:tr w14:paraId="00FC2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560" w:type="dxa"/>
            <w:noWrap w:val="0"/>
            <w:vAlign w:val="center"/>
          </w:tcPr>
          <w:p w14:paraId="6A57BB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土壤及地下水污染防治措施</w:t>
            </w:r>
          </w:p>
        </w:tc>
        <w:tc>
          <w:tcPr>
            <w:tcW w:w="7240" w:type="dxa"/>
            <w:gridSpan w:val="4"/>
            <w:noWrap w:val="0"/>
            <w:vAlign w:val="center"/>
          </w:tcPr>
          <w:p w14:paraId="5EDB99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Times New Roman" w:hAnsi="Times New Roman" w:eastAsia="宋体" w:cs="Times New Roman"/>
                <w:color w:val="auto"/>
                <w:szCs w:val="21"/>
                <w:u w:val="none" w:color="auto"/>
                <w:lang w:eastAsia="zh-CN"/>
              </w:rPr>
            </w:pPr>
            <w:r>
              <w:rPr>
                <w:rFonts w:hint="eastAsia" w:cs="Times New Roman"/>
                <w:color w:val="auto"/>
                <w:u w:val="none" w:color="auto"/>
                <w:lang w:val="en-US" w:eastAsia="zh-CN"/>
              </w:rPr>
              <w:t>化粪池、危废间、油品间、加工车间等</w:t>
            </w:r>
            <w:r>
              <w:rPr>
                <w:rFonts w:hint="eastAsia" w:ascii="Times New Roman" w:hAnsi="Times New Roman" w:cs="Times New Roman"/>
                <w:color w:val="auto"/>
                <w:u w:val="none" w:color="auto"/>
              </w:rPr>
              <w:t>做好防渗防漏措施。</w:t>
            </w:r>
          </w:p>
        </w:tc>
      </w:tr>
      <w:tr w14:paraId="67DFEE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560" w:type="dxa"/>
            <w:noWrap w:val="0"/>
            <w:vAlign w:val="center"/>
          </w:tcPr>
          <w:p w14:paraId="113CF5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生态保护措施</w:t>
            </w:r>
          </w:p>
        </w:tc>
        <w:tc>
          <w:tcPr>
            <w:tcW w:w="7240" w:type="dxa"/>
            <w:gridSpan w:val="4"/>
            <w:noWrap w:val="0"/>
            <w:vAlign w:val="center"/>
          </w:tcPr>
          <w:p w14:paraId="0DADA3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Times New Roman" w:hAnsi="Times New Roman" w:eastAsia="宋体" w:cs="Times New Roman"/>
                <w:color w:val="auto"/>
                <w:szCs w:val="21"/>
                <w:u w:val="none" w:color="auto"/>
                <w:lang w:eastAsia="zh-CN"/>
              </w:rPr>
            </w:pPr>
            <w:r>
              <w:rPr>
                <w:rFonts w:hint="default" w:ascii="Times New Roman" w:hAnsi="Times New Roman" w:cs="Times New Roman"/>
                <w:color w:val="auto"/>
                <w:szCs w:val="21"/>
                <w:u w:val="none" w:color="auto"/>
              </w:rPr>
              <w:t>项目所在地周围没有需要特殊保护的生态环境，本项目的建设不会对周边生态环境造成明显不利影响</w:t>
            </w:r>
            <w:r>
              <w:rPr>
                <w:rFonts w:hint="eastAsia" w:ascii="Times New Roman" w:hAnsi="Times New Roman" w:cs="Times New Roman"/>
                <w:color w:val="auto"/>
                <w:szCs w:val="21"/>
                <w:u w:val="none" w:color="auto"/>
                <w:lang w:eastAsia="zh-CN"/>
              </w:rPr>
              <w:t>。</w:t>
            </w:r>
          </w:p>
        </w:tc>
      </w:tr>
      <w:tr w14:paraId="3BDB5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560" w:type="dxa"/>
            <w:noWrap w:val="0"/>
            <w:vAlign w:val="center"/>
          </w:tcPr>
          <w:p w14:paraId="4B6841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pacing w:val="-8"/>
                <w:szCs w:val="21"/>
                <w:u w:val="none" w:color="auto"/>
              </w:rPr>
            </w:pPr>
            <w:r>
              <w:rPr>
                <w:rFonts w:hint="default" w:ascii="Times New Roman" w:hAnsi="Times New Roman" w:cs="Times New Roman"/>
                <w:color w:val="auto"/>
                <w:spacing w:val="-8"/>
                <w:szCs w:val="21"/>
                <w:u w:val="none" w:color="auto"/>
              </w:rPr>
              <w:t>环境风险防范措施</w:t>
            </w:r>
          </w:p>
        </w:tc>
        <w:tc>
          <w:tcPr>
            <w:tcW w:w="7240" w:type="dxa"/>
            <w:gridSpan w:val="4"/>
            <w:noWrap w:val="0"/>
            <w:vAlign w:val="center"/>
          </w:tcPr>
          <w:p w14:paraId="615832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12" w:firstLineChars="200"/>
              <w:jc w:val="left"/>
              <w:textAlignment w:val="auto"/>
              <w:rPr>
                <w:rFonts w:hint="default" w:ascii="Times New Roman" w:hAnsi="Times New Roman" w:cs="Times New Roman"/>
                <w:color w:val="auto"/>
                <w:szCs w:val="21"/>
                <w:u w:val="none" w:color="auto"/>
              </w:rPr>
            </w:pPr>
            <w:r>
              <w:rPr>
                <w:rFonts w:hint="default" w:ascii="Times New Roman" w:hAnsi="Times New Roman" w:eastAsia="宋体" w:cs="Times New Roman"/>
                <w:color w:val="auto"/>
                <w:spacing w:val="-2"/>
                <w:sz w:val="21"/>
                <w:szCs w:val="21"/>
                <w:u w:val="none" w:color="auto"/>
              </w:rPr>
              <w:t>①严格按照本环评的要求，落实相关的环境风险设施及设备；</w:t>
            </w:r>
          </w:p>
        </w:tc>
      </w:tr>
      <w:tr w14:paraId="01D15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60" w:type="dxa"/>
            <w:noWrap w:val="0"/>
            <w:vAlign w:val="center"/>
          </w:tcPr>
          <w:p w14:paraId="7468C8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pacing w:val="-8"/>
                <w:szCs w:val="21"/>
                <w:u w:val="none" w:color="auto"/>
              </w:rPr>
            </w:pPr>
            <w:r>
              <w:rPr>
                <w:rFonts w:hint="default" w:ascii="Times New Roman" w:hAnsi="Times New Roman" w:cs="Times New Roman"/>
                <w:color w:val="auto"/>
                <w:spacing w:val="-8"/>
                <w:szCs w:val="21"/>
                <w:u w:val="none" w:color="auto"/>
              </w:rPr>
              <w:t>其他环境</w:t>
            </w:r>
          </w:p>
          <w:p w14:paraId="2CBF4F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pacing w:val="-8"/>
                <w:szCs w:val="21"/>
                <w:u w:val="none" w:color="auto"/>
              </w:rPr>
            </w:pPr>
            <w:r>
              <w:rPr>
                <w:rFonts w:hint="default" w:ascii="Times New Roman" w:hAnsi="Times New Roman" w:cs="Times New Roman"/>
                <w:color w:val="auto"/>
                <w:spacing w:val="-8"/>
                <w:szCs w:val="21"/>
                <w:u w:val="none" w:color="auto"/>
              </w:rPr>
              <w:t>管理要求</w:t>
            </w:r>
          </w:p>
        </w:tc>
        <w:tc>
          <w:tcPr>
            <w:tcW w:w="7240" w:type="dxa"/>
            <w:gridSpan w:val="4"/>
            <w:noWrap w:val="0"/>
            <w:vAlign w:val="center"/>
          </w:tcPr>
          <w:p w14:paraId="19B0C7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1.本项目竣工后，需根据《排污许可管理条例》及相关规范的要求，及时进行项目排污许可证的申领，同时应落实表4-5（废气）、表4-14（废水）、表4-18（噪声）制定的监测计划，环境管理制度等；</w:t>
            </w:r>
          </w:p>
          <w:p w14:paraId="62AD82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2.根据国家及省市环境管理部门有关文件精神，项目废气排放口、噪声排放源及固废贮存场所必须实施规范化整治，该项工作是实施污染物总量控制计划的基础工作之一。排污口规范化整治技术要求如下：</w:t>
            </w:r>
          </w:p>
          <w:p w14:paraId="4948BF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①合理设置排污口位置，排污口应按规范设计，并按《污染源监测技术规范》设置采样点，以便环保部门监督管理；</w:t>
            </w:r>
          </w:p>
          <w:p w14:paraId="44B149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②按照《环境保护图形标志》(GB15562.1-1995)及(GB15562.2-1995)的规定，规范化整治的排污口应设置相应的环境图形标志；</w:t>
            </w:r>
          </w:p>
          <w:p w14:paraId="405E86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③按照要求填写由国家环境保护总局（现已更名“中华人民共和国生态环境部”）统一印制的《中华人民共和国规范化排污口标志登记证》；</w:t>
            </w:r>
          </w:p>
          <w:p w14:paraId="6F195E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④规范化整治的排污口有关设施属环境保护设施，应将其纳入本单位设备管理，并选派具有专业知识的专职或兼职人员对排污口进行管理。</w:t>
            </w:r>
          </w:p>
          <w:p w14:paraId="2347A0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本项目环境保护图形符号见表5-</w:t>
            </w:r>
            <w:r>
              <w:rPr>
                <w:rFonts w:hint="eastAsia" w:ascii="Times New Roman" w:hAnsi="Times New Roman" w:eastAsia="宋体" w:cs="Times New Roman"/>
                <w:color w:val="auto"/>
                <w:szCs w:val="21"/>
                <w:u w:val="none" w:color="auto"/>
                <w:lang w:val="en-US" w:eastAsia="zh-CN"/>
              </w:rPr>
              <w:t>1</w:t>
            </w:r>
            <w:r>
              <w:rPr>
                <w:rFonts w:hint="default" w:ascii="Times New Roman" w:hAnsi="Times New Roman" w:eastAsia="宋体" w:cs="Times New Roman"/>
                <w:color w:val="auto"/>
                <w:szCs w:val="21"/>
                <w:u w:val="none" w:color="auto"/>
                <w:lang w:val="en-US" w:eastAsia="zh-CN"/>
              </w:rPr>
              <w:t>。</w:t>
            </w:r>
          </w:p>
          <w:p w14:paraId="40642F3D">
            <w:pPr>
              <w:keepNext w:val="0"/>
              <w:keepLines w:val="0"/>
              <w:widowControl/>
              <w:suppressLineNumbers w:val="0"/>
              <w:spacing w:before="0" w:beforeAutospacing="0" w:after="0" w:afterAutospacing="0"/>
              <w:ind w:left="0" w:right="0"/>
              <w:jc w:val="center"/>
              <w:rPr>
                <w:rFonts w:hint="default" w:ascii="Times New Roman" w:hAnsi="Times New Roman" w:eastAsia="宋体" w:cs="宋体"/>
                <w:b/>
                <w:bCs/>
                <w:color w:val="auto"/>
                <w:kern w:val="0"/>
                <w:sz w:val="21"/>
                <w:szCs w:val="20"/>
                <w:u w:val="none" w:color="auto"/>
                <w:lang w:val="en-US" w:eastAsia="zh-CN" w:bidi="ar"/>
              </w:rPr>
            </w:pPr>
            <w:r>
              <w:rPr>
                <w:rFonts w:hint="default" w:ascii="Times New Roman" w:hAnsi="Times New Roman" w:eastAsia="宋体" w:cs="宋体"/>
                <w:b/>
                <w:bCs/>
                <w:color w:val="auto"/>
                <w:kern w:val="0"/>
                <w:sz w:val="21"/>
                <w:szCs w:val="20"/>
                <w:u w:val="none" w:color="auto"/>
                <w:lang w:val="en-US" w:eastAsia="zh-CN" w:bidi="ar"/>
              </w:rPr>
              <w:t>表5-</w:t>
            </w:r>
            <w:r>
              <w:rPr>
                <w:rFonts w:hint="eastAsia" w:ascii="Times New Roman" w:hAnsi="Times New Roman" w:eastAsia="宋体" w:cs="宋体"/>
                <w:b/>
                <w:bCs/>
                <w:color w:val="auto"/>
                <w:kern w:val="0"/>
                <w:sz w:val="21"/>
                <w:szCs w:val="20"/>
                <w:u w:val="none" w:color="auto"/>
                <w:lang w:val="en-US" w:eastAsia="zh-CN" w:bidi="ar"/>
              </w:rPr>
              <w:t>1</w:t>
            </w:r>
            <w:r>
              <w:rPr>
                <w:rFonts w:hint="default" w:ascii="Times New Roman" w:hAnsi="Times New Roman" w:eastAsia="宋体" w:cs="宋体"/>
                <w:b/>
                <w:bCs/>
                <w:color w:val="auto"/>
                <w:kern w:val="0"/>
                <w:sz w:val="21"/>
                <w:szCs w:val="20"/>
                <w:u w:val="none" w:color="auto"/>
                <w:lang w:val="en-US" w:eastAsia="zh-CN" w:bidi="ar"/>
              </w:rPr>
              <w:t xml:space="preserve">  环境保护图形符号一览表</w:t>
            </w:r>
          </w:p>
          <w:tbl>
            <w:tblPr>
              <w:tblStyle w:val="33"/>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558"/>
              <w:gridCol w:w="1734"/>
              <w:gridCol w:w="1269"/>
              <w:gridCol w:w="1897"/>
            </w:tblGrid>
            <w:tr w14:paraId="4877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tcBorders>
                    <w:tl2br w:val="nil"/>
                    <w:tr2bl w:val="nil"/>
                  </w:tcBorders>
                  <w:noWrap w:val="0"/>
                  <w:vAlign w:val="center"/>
                </w:tcPr>
                <w:p w14:paraId="499879DC">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序号</w:t>
                  </w:r>
                </w:p>
              </w:tc>
              <w:tc>
                <w:tcPr>
                  <w:tcW w:w="1111" w:type="pct"/>
                  <w:tcBorders>
                    <w:tl2br w:val="nil"/>
                    <w:tr2bl w:val="nil"/>
                  </w:tcBorders>
                  <w:noWrap w:val="0"/>
                  <w:vAlign w:val="center"/>
                </w:tcPr>
                <w:p w14:paraId="1945BBD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提示图形符号</w:t>
                  </w:r>
                </w:p>
              </w:tc>
              <w:tc>
                <w:tcPr>
                  <w:tcW w:w="1236" w:type="pct"/>
                  <w:tcBorders>
                    <w:tl2br w:val="nil"/>
                    <w:tr2bl w:val="nil"/>
                  </w:tcBorders>
                  <w:noWrap w:val="0"/>
                  <w:vAlign w:val="center"/>
                </w:tcPr>
                <w:p w14:paraId="5F0EC45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警告图形符号</w:t>
                  </w:r>
                </w:p>
              </w:tc>
              <w:tc>
                <w:tcPr>
                  <w:tcW w:w="905" w:type="pct"/>
                  <w:tcBorders>
                    <w:tl2br w:val="nil"/>
                    <w:tr2bl w:val="nil"/>
                  </w:tcBorders>
                  <w:noWrap w:val="0"/>
                  <w:vAlign w:val="center"/>
                </w:tcPr>
                <w:p w14:paraId="0BB0063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名称</w:t>
                  </w:r>
                </w:p>
              </w:tc>
              <w:tc>
                <w:tcPr>
                  <w:tcW w:w="1353" w:type="pct"/>
                  <w:tcBorders>
                    <w:tl2br w:val="nil"/>
                    <w:tr2bl w:val="nil"/>
                  </w:tcBorders>
                  <w:noWrap w:val="0"/>
                  <w:vAlign w:val="center"/>
                </w:tcPr>
                <w:p w14:paraId="288120C0">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功能</w:t>
                  </w:r>
                </w:p>
              </w:tc>
            </w:tr>
            <w:tr w14:paraId="7489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393" w:type="pct"/>
                  <w:tcBorders>
                    <w:tl2br w:val="nil"/>
                    <w:tr2bl w:val="nil"/>
                  </w:tcBorders>
                  <w:noWrap w:val="0"/>
                  <w:vAlign w:val="center"/>
                </w:tcPr>
                <w:p w14:paraId="4397AC98">
                  <w:pPr>
                    <w:pStyle w:val="143"/>
                    <w:keepNext w:val="0"/>
                    <w:keepLines w:val="0"/>
                    <w:pageBreakBefore w:val="0"/>
                    <w:widowControl w:val="0"/>
                    <w:suppressLineNumbers w:val="0"/>
                    <w:shd w:val="clear" w:color="auto" w:fill="auto"/>
                    <w:kinsoku/>
                    <w:wordWrap/>
                    <w:overflowPunct/>
                    <w:topLinePunct w:val="0"/>
                    <w:autoSpaceDE/>
                    <w:autoSpaceDN/>
                    <w:bidi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1</w:t>
                  </w:r>
                </w:p>
              </w:tc>
              <w:tc>
                <w:tcPr>
                  <w:tcW w:w="1111" w:type="pct"/>
                  <w:tcBorders>
                    <w:tl2br w:val="nil"/>
                    <w:tr2bl w:val="nil"/>
                  </w:tcBorders>
                  <w:noWrap w:val="0"/>
                  <w:vAlign w:val="center"/>
                </w:tcPr>
                <w:p w14:paraId="1E0F8A96">
                  <w:pPr>
                    <w:pStyle w:val="143"/>
                    <w:keepNext w:val="0"/>
                    <w:keepLines w:val="0"/>
                    <w:pageBreakBefore w:val="0"/>
                    <w:widowControl w:val="0"/>
                    <w:suppressLineNumbers w:val="0"/>
                    <w:shd w:val="clear" w:color="auto" w:fill="auto"/>
                    <w:kinsoku/>
                    <w:wordWrap/>
                    <w:overflowPunct/>
                    <w:topLinePunct w:val="0"/>
                    <w:autoSpaceDE/>
                    <w:autoSpaceDN/>
                    <w:bidi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drawing>
                      <wp:inline distT="0" distB="0" distL="114300" distR="114300">
                        <wp:extent cx="846455" cy="777240"/>
                        <wp:effectExtent l="0" t="0" r="10795" b="3810"/>
                        <wp:docPr id="16" name="图片 206"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6" descr="废气排放口"/>
                                <pic:cNvPicPr>
                                  <a:picLocks noChangeAspect="1"/>
                                </pic:cNvPicPr>
                              </pic:nvPicPr>
                              <pic:blipFill>
                                <a:blip r:embed="rId25"/>
                                <a:stretch>
                                  <a:fillRect/>
                                </a:stretch>
                              </pic:blipFill>
                              <pic:spPr>
                                <a:xfrm>
                                  <a:off x="0" y="0"/>
                                  <a:ext cx="846455" cy="777240"/>
                                </a:xfrm>
                                <a:prstGeom prst="rect">
                                  <a:avLst/>
                                </a:prstGeom>
                                <a:noFill/>
                                <a:ln>
                                  <a:noFill/>
                                </a:ln>
                              </pic:spPr>
                            </pic:pic>
                          </a:graphicData>
                        </a:graphic>
                      </wp:inline>
                    </w:drawing>
                  </w:r>
                </w:p>
              </w:tc>
              <w:tc>
                <w:tcPr>
                  <w:tcW w:w="1236" w:type="pct"/>
                  <w:tcBorders>
                    <w:tl2br w:val="nil"/>
                    <w:tr2bl w:val="nil"/>
                  </w:tcBorders>
                  <w:noWrap w:val="0"/>
                  <w:vAlign w:val="center"/>
                </w:tcPr>
                <w:p w14:paraId="218EC1A4">
                  <w:pPr>
                    <w:pStyle w:val="143"/>
                    <w:keepNext w:val="0"/>
                    <w:keepLines w:val="0"/>
                    <w:pageBreakBefore w:val="0"/>
                    <w:widowControl w:val="0"/>
                    <w:suppressLineNumbers w:val="0"/>
                    <w:shd w:val="clear" w:color="auto" w:fill="auto"/>
                    <w:kinsoku/>
                    <w:wordWrap/>
                    <w:overflowPunct/>
                    <w:topLinePunct w:val="0"/>
                    <w:autoSpaceDE/>
                    <w:autoSpaceDN/>
                    <w:bidi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drawing>
                      <wp:inline distT="0" distB="0" distL="114300" distR="114300">
                        <wp:extent cx="866140" cy="771525"/>
                        <wp:effectExtent l="0" t="0" r="10160" b="9525"/>
                        <wp:docPr id="17" name="图片 207"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7" descr="废气排放口"/>
                                <pic:cNvPicPr>
                                  <a:picLocks noChangeAspect="1"/>
                                </pic:cNvPicPr>
                              </pic:nvPicPr>
                              <pic:blipFill>
                                <a:blip r:embed="rId26"/>
                                <a:stretch>
                                  <a:fillRect/>
                                </a:stretch>
                              </pic:blipFill>
                              <pic:spPr>
                                <a:xfrm>
                                  <a:off x="0" y="0"/>
                                  <a:ext cx="866140" cy="771525"/>
                                </a:xfrm>
                                <a:prstGeom prst="rect">
                                  <a:avLst/>
                                </a:prstGeom>
                                <a:noFill/>
                                <a:ln>
                                  <a:noFill/>
                                </a:ln>
                              </pic:spPr>
                            </pic:pic>
                          </a:graphicData>
                        </a:graphic>
                      </wp:inline>
                    </w:drawing>
                  </w:r>
                </w:p>
              </w:tc>
              <w:tc>
                <w:tcPr>
                  <w:tcW w:w="905" w:type="pct"/>
                  <w:tcBorders>
                    <w:tl2br w:val="nil"/>
                    <w:tr2bl w:val="nil"/>
                  </w:tcBorders>
                  <w:noWrap w:val="0"/>
                  <w:vAlign w:val="center"/>
                </w:tcPr>
                <w:p w14:paraId="072AA422">
                  <w:pPr>
                    <w:pStyle w:val="143"/>
                    <w:keepNext w:val="0"/>
                    <w:keepLines w:val="0"/>
                    <w:pageBreakBefore w:val="0"/>
                    <w:widowControl w:val="0"/>
                    <w:suppressLineNumbers w:val="0"/>
                    <w:shd w:val="clear" w:color="auto" w:fill="auto"/>
                    <w:kinsoku/>
                    <w:wordWrap/>
                    <w:overflowPunct/>
                    <w:topLinePunct w:val="0"/>
                    <w:autoSpaceDE/>
                    <w:autoSpaceDN/>
                    <w:bidi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废气排放口</w:t>
                  </w:r>
                </w:p>
              </w:tc>
              <w:tc>
                <w:tcPr>
                  <w:tcW w:w="1353" w:type="pct"/>
                  <w:tcBorders>
                    <w:tl2br w:val="nil"/>
                    <w:tr2bl w:val="nil"/>
                  </w:tcBorders>
                  <w:noWrap w:val="0"/>
                  <w:vAlign w:val="center"/>
                </w:tcPr>
                <w:p w14:paraId="628F23AE">
                  <w:pPr>
                    <w:pStyle w:val="143"/>
                    <w:keepNext w:val="0"/>
                    <w:keepLines w:val="0"/>
                    <w:pageBreakBefore w:val="0"/>
                    <w:widowControl w:val="0"/>
                    <w:suppressLineNumbers w:val="0"/>
                    <w:shd w:val="clear" w:color="auto" w:fill="auto"/>
                    <w:kinsoku/>
                    <w:wordWrap/>
                    <w:overflowPunct/>
                    <w:topLinePunct w:val="0"/>
                    <w:autoSpaceDE/>
                    <w:autoSpaceDN/>
                    <w:bidi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表示废气向大气环境排放</w:t>
                  </w:r>
                </w:p>
              </w:tc>
            </w:tr>
            <w:tr w14:paraId="2C9C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393" w:type="pct"/>
                  <w:tcBorders>
                    <w:tl2br w:val="nil"/>
                    <w:tr2bl w:val="nil"/>
                  </w:tcBorders>
                  <w:noWrap w:val="0"/>
                  <w:vAlign w:val="center"/>
                </w:tcPr>
                <w:p w14:paraId="34EC001F">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2</w:t>
                  </w:r>
                </w:p>
              </w:tc>
              <w:tc>
                <w:tcPr>
                  <w:tcW w:w="1111" w:type="pct"/>
                  <w:tcBorders>
                    <w:tl2br w:val="nil"/>
                    <w:tr2bl w:val="nil"/>
                  </w:tcBorders>
                  <w:noWrap w:val="0"/>
                  <w:vAlign w:val="center"/>
                </w:tcPr>
                <w:p w14:paraId="6A590980">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drawing>
                      <wp:inline distT="0" distB="0" distL="114300" distR="114300">
                        <wp:extent cx="836295" cy="836295"/>
                        <wp:effectExtent l="0" t="0" r="1905" b="1905"/>
                        <wp:docPr id="1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8"/>
                                <pic:cNvPicPr>
                                  <a:picLocks noChangeAspect="1"/>
                                </pic:cNvPicPr>
                              </pic:nvPicPr>
                              <pic:blipFill>
                                <a:blip r:embed="rId27"/>
                                <a:stretch>
                                  <a:fillRect/>
                                </a:stretch>
                              </pic:blipFill>
                              <pic:spPr>
                                <a:xfrm>
                                  <a:off x="0" y="0"/>
                                  <a:ext cx="836295" cy="836295"/>
                                </a:xfrm>
                                <a:prstGeom prst="rect">
                                  <a:avLst/>
                                </a:prstGeom>
                                <a:noFill/>
                                <a:ln>
                                  <a:noFill/>
                                </a:ln>
                              </pic:spPr>
                            </pic:pic>
                          </a:graphicData>
                        </a:graphic>
                      </wp:inline>
                    </w:drawing>
                  </w:r>
                </w:p>
              </w:tc>
              <w:tc>
                <w:tcPr>
                  <w:tcW w:w="1236" w:type="pct"/>
                  <w:tcBorders>
                    <w:tl2br w:val="nil"/>
                    <w:tr2bl w:val="nil"/>
                  </w:tcBorders>
                  <w:noWrap w:val="0"/>
                  <w:vAlign w:val="center"/>
                </w:tcPr>
                <w:p w14:paraId="2F3D212E">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drawing>
                      <wp:inline distT="0" distB="0" distL="114300" distR="114300">
                        <wp:extent cx="849630" cy="754380"/>
                        <wp:effectExtent l="0" t="0" r="7620" b="7620"/>
                        <wp:docPr id="1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9"/>
                                <pic:cNvPicPr>
                                  <a:picLocks noChangeAspect="1"/>
                                </pic:cNvPicPr>
                              </pic:nvPicPr>
                              <pic:blipFill>
                                <a:blip r:embed="rId28"/>
                                <a:stretch>
                                  <a:fillRect/>
                                </a:stretch>
                              </pic:blipFill>
                              <pic:spPr>
                                <a:xfrm>
                                  <a:off x="0" y="0"/>
                                  <a:ext cx="849630" cy="754380"/>
                                </a:xfrm>
                                <a:prstGeom prst="rect">
                                  <a:avLst/>
                                </a:prstGeom>
                                <a:noFill/>
                                <a:ln>
                                  <a:noFill/>
                                </a:ln>
                              </pic:spPr>
                            </pic:pic>
                          </a:graphicData>
                        </a:graphic>
                      </wp:inline>
                    </w:drawing>
                  </w:r>
                </w:p>
              </w:tc>
              <w:tc>
                <w:tcPr>
                  <w:tcW w:w="905" w:type="pct"/>
                  <w:tcBorders>
                    <w:tl2br w:val="nil"/>
                    <w:tr2bl w:val="nil"/>
                  </w:tcBorders>
                  <w:noWrap w:val="0"/>
                  <w:vAlign w:val="center"/>
                </w:tcPr>
                <w:p w14:paraId="181728B2">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噪声排放源</w:t>
                  </w:r>
                </w:p>
              </w:tc>
              <w:tc>
                <w:tcPr>
                  <w:tcW w:w="1353" w:type="pct"/>
                  <w:tcBorders>
                    <w:tl2br w:val="nil"/>
                    <w:tr2bl w:val="nil"/>
                  </w:tcBorders>
                  <w:noWrap w:val="0"/>
                  <w:vAlign w:val="center"/>
                </w:tcPr>
                <w:p w14:paraId="7EC89B2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表示噪声向外环境排放</w:t>
                  </w:r>
                </w:p>
              </w:tc>
            </w:tr>
            <w:tr w14:paraId="7E04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393" w:type="pct"/>
                  <w:tcBorders>
                    <w:tl2br w:val="nil"/>
                    <w:tr2bl w:val="nil"/>
                  </w:tcBorders>
                  <w:noWrap w:val="0"/>
                  <w:vAlign w:val="center"/>
                </w:tcPr>
                <w:p w14:paraId="6B552221">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lang w:val="en-US" w:eastAsia="zh-CN"/>
                    </w:rPr>
                  </w:pPr>
                  <w:r>
                    <w:rPr>
                      <w:rFonts w:hint="default" w:ascii="Times New Roman" w:hAnsi="Times New Roman" w:eastAsia="宋体" w:cs="Times New Roman"/>
                      <w:b w:val="0"/>
                      <w:bCs w:val="0"/>
                      <w:color w:val="auto"/>
                      <w:sz w:val="18"/>
                      <w:szCs w:val="18"/>
                      <w:highlight w:val="none"/>
                      <w:u w:val="none" w:color="auto"/>
                      <w:lang w:val="en-US" w:eastAsia="zh-CN"/>
                    </w:rPr>
                    <w:t>3</w:t>
                  </w:r>
                </w:p>
              </w:tc>
              <w:tc>
                <w:tcPr>
                  <w:tcW w:w="1111" w:type="pct"/>
                  <w:tcBorders>
                    <w:tl2br w:val="nil"/>
                    <w:tr2bl w:val="nil"/>
                  </w:tcBorders>
                  <w:noWrap w:val="0"/>
                  <w:vAlign w:val="center"/>
                </w:tcPr>
                <w:p w14:paraId="2688A7E7">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lang w:eastAsia="zh-CN"/>
                    </w:rPr>
                  </w:pPr>
                  <w:r>
                    <w:rPr>
                      <w:rFonts w:hint="default" w:ascii="Times New Roman" w:hAnsi="Times New Roman" w:eastAsia="宋体" w:cs="Times New Roman"/>
                      <w:b w:val="0"/>
                      <w:bCs w:val="0"/>
                      <w:color w:val="auto"/>
                      <w:sz w:val="18"/>
                      <w:szCs w:val="18"/>
                      <w:highlight w:val="none"/>
                      <w:u w:val="none" w:color="auto"/>
                      <w:lang w:eastAsia="zh-CN"/>
                    </w:rPr>
                    <w:drawing>
                      <wp:inline distT="0" distB="0" distL="114300" distR="114300">
                        <wp:extent cx="808355" cy="775335"/>
                        <wp:effectExtent l="0" t="0" r="10795" b="5715"/>
                        <wp:docPr id="20" name="图片 2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0" descr="111"/>
                                <pic:cNvPicPr>
                                  <a:picLocks noChangeAspect="1"/>
                                </pic:cNvPicPr>
                              </pic:nvPicPr>
                              <pic:blipFill>
                                <a:blip r:embed="rId29"/>
                                <a:stretch>
                                  <a:fillRect/>
                                </a:stretch>
                              </pic:blipFill>
                              <pic:spPr>
                                <a:xfrm>
                                  <a:off x="0" y="0"/>
                                  <a:ext cx="808355" cy="775335"/>
                                </a:xfrm>
                                <a:prstGeom prst="rect">
                                  <a:avLst/>
                                </a:prstGeom>
                                <a:noFill/>
                                <a:ln>
                                  <a:noFill/>
                                </a:ln>
                              </pic:spPr>
                            </pic:pic>
                          </a:graphicData>
                        </a:graphic>
                      </wp:inline>
                    </w:drawing>
                  </w:r>
                </w:p>
              </w:tc>
              <w:tc>
                <w:tcPr>
                  <w:tcW w:w="1236" w:type="pct"/>
                  <w:tcBorders>
                    <w:tl2br w:val="nil"/>
                    <w:tr2bl w:val="nil"/>
                  </w:tcBorders>
                  <w:noWrap w:val="0"/>
                  <w:vAlign w:val="center"/>
                </w:tcPr>
                <w:p w14:paraId="0BA45503">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lang w:eastAsia="zh-CN"/>
                    </w:rPr>
                  </w:pPr>
                  <w:r>
                    <w:rPr>
                      <w:rFonts w:hint="default" w:ascii="Times New Roman" w:hAnsi="Times New Roman" w:eastAsia="宋体" w:cs="Times New Roman"/>
                      <w:b w:val="0"/>
                      <w:bCs w:val="0"/>
                      <w:color w:val="auto"/>
                      <w:sz w:val="18"/>
                      <w:szCs w:val="18"/>
                      <w:highlight w:val="none"/>
                      <w:u w:val="none" w:color="auto"/>
                      <w:lang w:eastAsia="zh-CN"/>
                    </w:rPr>
                    <w:drawing>
                      <wp:inline distT="0" distB="0" distL="114300" distR="114300">
                        <wp:extent cx="888365" cy="758825"/>
                        <wp:effectExtent l="0" t="0" r="6985" b="3175"/>
                        <wp:docPr id="21" name="图片 211"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1" descr="333"/>
                                <pic:cNvPicPr>
                                  <a:picLocks noChangeAspect="1"/>
                                </pic:cNvPicPr>
                              </pic:nvPicPr>
                              <pic:blipFill>
                                <a:blip r:embed="rId30"/>
                                <a:stretch>
                                  <a:fillRect/>
                                </a:stretch>
                              </pic:blipFill>
                              <pic:spPr>
                                <a:xfrm>
                                  <a:off x="0" y="0"/>
                                  <a:ext cx="888365" cy="758825"/>
                                </a:xfrm>
                                <a:prstGeom prst="rect">
                                  <a:avLst/>
                                </a:prstGeom>
                                <a:noFill/>
                                <a:ln>
                                  <a:noFill/>
                                </a:ln>
                              </pic:spPr>
                            </pic:pic>
                          </a:graphicData>
                        </a:graphic>
                      </wp:inline>
                    </w:drawing>
                  </w:r>
                </w:p>
              </w:tc>
              <w:tc>
                <w:tcPr>
                  <w:tcW w:w="905" w:type="pct"/>
                  <w:tcBorders>
                    <w:tl2br w:val="nil"/>
                    <w:tr2bl w:val="nil"/>
                  </w:tcBorders>
                  <w:noWrap w:val="0"/>
                  <w:vAlign w:val="center"/>
                </w:tcPr>
                <w:p w14:paraId="4B57A02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lang w:val="en-US" w:eastAsia="zh-CN"/>
                    </w:rPr>
                  </w:pPr>
                  <w:r>
                    <w:rPr>
                      <w:rFonts w:hint="default" w:ascii="Times New Roman" w:hAnsi="Times New Roman" w:eastAsia="宋体" w:cs="Times New Roman"/>
                      <w:b w:val="0"/>
                      <w:bCs w:val="0"/>
                      <w:color w:val="auto"/>
                      <w:sz w:val="18"/>
                      <w:szCs w:val="18"/>
                      <w:highlight w:val="none"/>
                      <w:u w:val="none" w:color="auto"/>
                      <w:lang w:val="en-US" w:eastAsia="zh-CN"/>
                    </w:rPr>
                    <w:t>污水排放口</w:t>
                  </w:r>
                </w:p>
              </w:tc>
              <w:tc>
                <w:tcPr>
                  <w:tcW w:w="1353" w:type="pct"/>
                  <w:tcBorders>
                    <w:tl2br w:val="nil"/>
                    <w:tr2bl w:val="nil"/>
                  </w:tcBorders>
                  <w:noWrap w:val="0"/>
                  <w:vAlign w:val="center"/>
                </w:tcPr>
                <w:p w14:paraId="193E37A4">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lang w:val="en-US" w:eastAsia="zh-CN"/>
                    </w:rPr>
                  </w:pPr>
                  <w:r>
                    <w:rPr>
                      <w:rFonts w:hint="default" w:ascii="Times New Roman" w:hAnsi="Times New Roman" w:eastAsia="宋体" w:cs="Times New Roman"/>
                      <w:b w:val="0"/>
                      <w:bCs w:val="0"/>
                      <w:color w:val="auto"/>
                      <w:sz w:val="18"/>
                      <w:szCs w:val="18"/>
                      <w:highlight w:val="none"/>
                      <w:u w:val="none" w:color="auto"/>
                      <w:lang w:val="en-US" w:eastAsia="zh-CN"/>
                    </w:rPr>
                    <w:t>表示污水向外环境排放</w:t>
                  </w:r>
                </w:p>
              </w:tc>
            </w:tr>
            <w:tr w14:paraId="254A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93" w:type="pct"/>
                  <w:tcBorders>
                    <w:tl2br w:val="nil"/>
                    <w:tr2bl w:val="nil"/>
                  </w:tcBorders>
                  <w:noWrap w:val="0"/>
                  <w:vAlign w:val="center"/>
                </w:tcPr>
                <w:p w14:paraId="4EEBA93A">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lang w:eastAsia="zh-CN"/>
                    </w:rPr>
                  </w:pPr>
                  <w:r>
                    <w:rPr>
                      <w:rFonts w:hint="default" w:ascii="Times New Roman" w:hAnsi="Times New Roman" w:eastAsia="宋体" w:cs="Times New Roman"/>
                      <w:b w:val="0"/>
                      <w:bCs w:val="0"/>
                      <w:color w:val="auto"/>
                      <w:sz w:val="18"/>
                      <w:szCs w:val="18"/>
                      <w:highlight w:val="none"/>
                      <w:u w:val="none" w:color="auto"/>
                      <w:lang w:val="en-US" w:eastAsia="zh-CN"/>
                    </w:rPr>
                    <w:t>4</w:t>
                  </w:r>
                </w:p>
              </w:tc>
              <w:tc>
                <w:tcPr>
                  <w:tcW w:w="1111" w:type="pct"/>
                  <w:tcBorders>
                    <w:tl2br w:val="nil"/>
                    <w:tr2bl w:val="nil"/>
                  </w:tcBorders>
                  <w:noWrap w:val="0"/>
                  <w:vAlign w:val="center"/>
                </w:tcPr>
                <w:p w14:paraId="152C86A4">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drawing>
                      <wp:inline distT="0" distB="0" distL="114300" distR="114300">
                        <wp:extent cx="847725" cy="854075"/>
                        <wp:effectExtent l="0" t="0" r="9525" b="3175"/>
                        <wp:docPr id="2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2"/>
                                <pic:cNvPicPr>
                                  <a:picLocks noChangeAspect="1"/>
                                </pic:cNvPicPr>
                              </pic:nvPicPr>
                              <pic:blipFill>
                                <a:blip r:embed="rId31"/>
                                <a:stretch>
                                  <a:fillRect/>
                                </a:stretch>
                              </pic:blipFill>
                              <pic:spPr>
                                <a:xfrm>
                                  <a:off x="0" y="0"/>
                                  <a:ext cx="847725" cy="854075"/>
                                </a:xfrm>
                                <a:prstGeom prst="rect">
                                  <a:avLst/>
                                </a:prstGeom>
                                <a:noFill/>
                                <a:ln>
                                  <a:noFill/>
                                </a:ln>
                              </pic:spPr>
                            </pic:pic>
                          </a:graphicData>
                        </a:graphic>
                      </wp:inline>
                    </w:drawing>
                  </w:r>
                </w:p>
              </w:tc>
              <w:tc>
                <w:tcPr>
                  <w:tcW w:w="1236" w:type="pct"/>
                  <w:tcBorders>
                    <w:tl2br w:val="nil"/>
                    <w:tr2bl w:val="nil"/>
                  </w:tcBorders>
                  <w:noWrap w:val="0"/>
                  <w:vAlign w:val="center"/>
                </w:tcPr>
                <w:p w14:paraId="608248CC">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drawing>
                      <wp:inline distT="0" distB="0" distL="114300" distR="114300">
                        <wp:extent cx="735330" cy="626745"/>
                        <wp:effectExtent l="0" t="0" r="7620" b="1905"/>
                        <wp:docPr id="2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3"/>
                                <pic:cNvPicPr>
                                  <a:picLocks noChangeAspect="1"/>
                                </pic:cNvPicPr>
                              </pic:nvPicPr>
                              <pic:blipFill>
                                <a:blip r:embed="rId32"/>
                                <a:srcRect t="4637"/>
                                <a:stretch>
                                  <a:fillRect/>
                                </a:stretch>
                              </pic:blipFill>
                              <pic:spPr>
                                <a:xfrm>
                                  <a:off x="0" y="0"/>
                                  <a:ext cx="735330" cy="626745"/>
                                </a:xfrm>
                                <a:prstGeom prst="rect">
                                  <a:avLst/>
                                </a:prstGeom>
                                <a:noFill/>
                                <a:ln>
                                  <a:noFill/>
                                </a:ln>
                              </pic:spPr>
                            </pic:pic>
                          </a:graphicData>
                        </a:graphic>
                      </wp:inline>
                    </w:drawing>
                  </w:r>
                </w:p>
              </w:tc>
              <w:tc>
                <w:tcPr>
                  <w:tcW w:w="905" w:type="pct"/>
                  <w:tcBorders>
                    <w:tl2br w:val="nil"/>
                    <w:tr2bl w:val="nil"/>
                  </w:tcBorders>
                  <w:noWrap w:val="0"/>
                  <w:vAlign w:val="center"/>
                </w:tcPr>
                <w:p w14:paraId="57684CB1">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一般固体废物</w:t>
                  </w:r>
                </w:p>
              </w:tc>
              <w:tc>
                <w:tcPr>
                  <w:tcW w:w="1353" w:type="pct"/>
                  <w:tcBorders>
                    <w:tl2br w:val="nil"/>
                    <w:tr2bl w:val="nil"/>
                  </w:tcBorders>
                  <w:noWrap w:val="0"/>
                  <w:vAlign w:val="center"/>
                </w:tcPr>
                <w:p w14:paraId="769B9AC1">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u w:val="none" w:color="auto"/>
                    </w:rPr>
                  </w:pPr>
                  <w:r>
                    <w:rPr>
                      <w:rFonts w:hint="default" w:ascii="Times New Roman" w:hAnsi="Times New Roman" w:eastAsia="宋体" w:cs="Times New Roman"/>
                      <w:b w:val="0"/>
                      <w:bCs w:val="0"/>
                      <w:color w:val="auto"/>
                      <w:sz w:val="18"/>
                      <w:szCs w:val="18"/>
                      <w:highlight w:val="none"/>
                      <w:u w:val="none" w:color="auto"/>
                    </w:rPr>
                    <w:t>表示一般固体废物贮存、处置场</w:t>
                  </w:r>
                </w:p>
              </w:tc>
            </w:tr>
            <w:tr w14:paraId="58F8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51" w:type="dxa"/>
                  <w:tcBorders>
                    <w:tl2br w:val="nil"/>
                    <w:tr2bl w:val="nil"/>
                  </w:tcBorders>
                  <w:noWrap w:val="0"/>
                  <w:vAlign w:val="center"/>
                </w:tcPr>
                <w:p w14:paraId="3C9331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u w:val="none" w:color="auto"/>
                      <w:lang w:val="en-US" w:eastAsia="zh-CN"/>
                    </w:rPr>
                  </w:pPr>
                  <w:r>
                    <w:rPr>
                      <w:rFonts w:hint="eastAsia" w:cs="Times New Roman"/>
                      <w:color w:val="000000" w:themeColor="text1"/>
                      <w:sz w:val="21"/>
                      <w:szCs w:val="21"/>
                      <w:u w:val="single"/>
                      <w:lang w:val="en-US" w:eastAsia="zh-CN"/>
                      <w14:textFill>
                        <w14:solidFill>
                          <w14:schemeClr w14:val="tx1"/>
                        </w14:solidFill>
                      </w14:textFill>
                    </w:rPr>
                    <w:t>5</w:t>
                  </w:r>
                </w:p>
              </w:tc>
              <w:tc>
                <w:tcPr>
                  <w:tcW w:w="1558" w:type="dxa"/>
                  <w:tcBorders>
                    <w:tl2br w:val="nil"/>
                    <w:tr2bl w:val="nil"/>
                  </w:tcBorders>
                  <w:noWrap w:val="0"/>
                  <w:vAlign w:val="center"/>
                </w:tcPr>
                <w:p w14:paraId="5E6767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u w:val="none" w:color="auto"/>
                    </w:rPr>
                  </w:pPr>
                  <w:r>
                    <w:rPr>
                      <w:rFonts w:hint="default"/>
                      <w:u w:val="single"/>
                    </w:rPr>
                    <w:drawing>
                      <wp:inline distT="0" distB="0" distL="114300" distR="114300">
                        <wp:extent cx="843280" cy="673100"/>
                        <wp:effectExtent l="0" t="0" r="13970" b="1270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3"/>
                                <a:stretch>
                                  <a:fillRect/>
                                </a:stretch>
                              </pic:blipFill>
                              <pic:spPr>
                                <a:xfrm>
                                  <a:off x="0" y="0"/>
                                  <a:ext cx="843280" cy="673100"/>
                                </a:xfrm>
                                <a:prstGeom prst="rect">
                                  <a:avLst/>
                                </a:prstGeom>
                                <a:noFill/>
                                <a:ln>
                                  <a:noFill/>
                                </a:ln>
                              </pic:spPr>
                            </pic:pic>
                          </a:graphicData>
                        </a:graphic>
                      </wp:inline>
                    </w:drawing>
                  </w:r>
                </w:p>
              </w:tc>
              <w:tc>
                <w:tcPr>
                  <w:tcW w:w="1734" w:type="dxa"/>
                  <w:tcBorders>
                    <w:tl2br w:val="nil"/>
                    <w:tr2bl w:val="nil"/>
                  </w:tcBorders>
                  <w:noWrap w:val="0"/>
                  <w:vAlign w:val="center"/>
                </w:tcPr>
                <w:p w14:paraId="407E85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u w:val="none" w:color="auto"/>
                    </w:rPr>
                  </w:pPr>
                  <w:r>
                    <w:rPr>
                      <w:rFonts w:hint="default"/>
                      <w:u w:val="single"/>
                    </w:rPr>
                    <w:drawing>
                      <wp:inline distT="0" distB="0" distL="114300" distR="114300">
                        <wp:extent cx="929005" cy="855345"/>
                        <wp:effectExtent l="0" t="0" r="4445" b="190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4"/>
                                <a:stretch>
                                  <a:fillRect/>
                                </a:stretch>
                              </pic:blipFill>
                              <pic:spPr>
                                <a:xfrm>
                                  <a:off x="0" y="0"/>
                                  <a:ext cx="929005" cy="855345"/>
                                </a:xfrm>
                                <a:prstGeom prst="rect">
                                  <a:avLst/>
                                </a:prstGeom>
                                <a:noFill/>
                                <a:ln>
                                  <a:noFill/>
                                </a:ln>
                              </pic:spPr>
                            </pic:pic>
                          </a:graphicData>
                        </a:graphic>
                      </wp:inline>
                    </w:drawing>
                  </w:r>
                </w:p>
              </w:tc>
              <w:tc>
                <w:tcPr>
                  <w:tcW w:w="1269" w:type="dxa"/>
                  <w:tcBorders>
                    <w:tl2br w:val="nil"/>
                    <w:tr2bl w:val="nil"/>
                  </w:tcBorders>
                  <w:noWrap w:val="0"/>
                  <w:vAlign w:val="center"/>
                </w:tcPr>
                <w:p w14:paraId="3AE443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u w:val="none" w:color="auto"/>
                    </w:rPr>
                  </w:pPr>
                  <w:r>
                    <w:rPr>
                      <w:rFonts w:hint="eastAsia"/>
                      <w:color w:val="000000" w:themeColor="text1"/>
                      <w:sz w:val="18"/>
                      <w:szCs w:val="18"/>
                      <w:u w:val="single"/>
                      <w14:textFill>
                        <w14:solidFill>
                          <w14:schemeClr w14:val="tx1"/>
                        </w14:solidFill>
                      </w14:textFill>
                    </w:rPr>
                    <w:t>危险固废</w:t>
                  </w:r>
                </w:p>
              </w:tc>
              <w:tc>
                <w:tcPr>
                  <w:tcW w:w="1897" w:type="dxa"/>
                  <w:tcBorders>
                    <w:tl2br w:val="nil"/>
                    <w:tr2bl w:val="nil"/>
                  </w:tcBorders>
                  <w:noWrap w:val="0"/>
                  <w:vAlign w:val="center"/>
                </w:tcPr>
                <w:p w14:paraId="312EF9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u w:val="none" w:color="auto"/>
                    </w:rPr>
                  </w:pPr>
                  <w:r>
                    <w:rPr>
                      <w:rFonts w:hint="eastAsia"/>
                      <w:color w:val="000000" w:themeColor="text1"/>
                      <w:sz w:val="18"/>
                      <w:szCs w:val="18"/>
                      <w:u w:val="single"/>
                      <w14:textFill>
                        <w14:solidFill>
                          <w14:schemeClr w14:val="tx1"/>
                        </w14:solidFill>
                      </w14:textFill>
                    </w:rPr>
                    <w:t>表示危险固废暂存场所</w:t>
                  </w:r>
                </w:p>
              </w:tc>
            </w:tr>
          </w:tbl>
          <w:p w14:paraId="0529ED69">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spacing w:val="0"/>
                <w:kern w:val="2"/>
                <w:sz w:val="22"/>
                <w:szCs w:val="22"/>
                <w:u w:val="none" w:color="auto"/>
                <w:lang w:val="en-US" w:eastAsia="zh-CN" w:bidi="ar-SA"/>
              </w:rPr>
              <w:t>4</w:t>
            </w:r>
            <w:r>
              <w:rPr>
                <w:rFonts w:hint="eastAsia" w:ascii="Times New Roman" w:hAnsi="Times New Roman" w:eastAsia="宋体" w:cs="Times New Roman"/>
                <w:color w:val="auto"/>
                <w:spacing w:val="0"/>
                <w:kern w:val="2"/>
                <w:sz w:val="22"/>
                <w:szCs w:val="22"/>
                <w:u w:val="none" w:color="auto"/>
                <w:lang w:val="en-US" w:eastAsia="zh-CN" w:bidi="ar-SA"/>
              </w:rPr>
              <w:t>.</w:t>
            </w:r>
            <w:r>
              <w:rPr>
                <w:rFonts w:hint="default" w:ascii="Times New Roman" w:hAnsi="Times New Roman" w:eastAsia="宋体" w:cs="Times New Roman"/>
                <w:color w:val="auto"/>
                <w:spacing w:val="0"/>
                <w:kern w:val="2"/>
                <w:sz w:val="22"/>
                <w:szCs w:val="22"/>
                <w:u w:val="none" w:color="auto"/>
                <w:lang w:val="en-US" w:eastAsia="zh-CN" w:bidi="ar-SA"/>
              </w:rPr>
              <w:t>本项目竣工后，建设单位应当按照国务院环境保护行政主管部门规定的标准和程序，对配套建设的环境保护设施进行自主验收，编制验收报告</w:t>
            </w:r>
            <w:r>
              <w:rPr>
                <w:rFonts w:hint="eastAsia" w:ascii="Times New Roman" w:hAnsi="Times New Roman" w:cs="Times New Roman"/>
                <w:color w:val="auto"/>
                <w:spacing w:val="0"/>
                <w:kern w:val="2"/>
                <w:sz w:val="22"/>
                <w:szCs w:val="22"/>
                <w:u w:val="none" w:color="auto"/>
                <w:lang w:val="en-US" w:eastAsia="zh-CN" w:bidi="ar-SA"/>
              </w:rPr>
              <w:t>。</w:t>
            </w:r>
          </w:p>
        </w:tc>
      </w:tr>
    </w:tbl>
    <w:p w14:paraId="1EAAE1CB">
      <w:pPr>
        <w:pStyle w:val="2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sz w:val="21"/>
          <w:szCs w:val="16"/>
          <w:highlight w:val="none"/>
        </w:rPr>
        <w:br w:type="page"/>
      </w:r>
      <w:bookmarkStart w:id="13" w:name="_Toc25015"/>
      <w:r>
        <w:rPr>
          <w:rFonts w:hint="default" w:ascii="Times New Roman" w:hAnsi="Times New Roman" w:eastAsia="黑体" w:cs="Times New Roman"/>
          <w:snapToGrid w:val="0"/>
          <w:color w:val="auto"/>
          <w:sz w:val="30"/>
          <w:szCs w:val="30"/>
          <w:highlight w:val="none"/>
        </w:rPr>
        <w:t>六、结论</w:t>
      </w:r>
      <w:bookmarkEnd w:id="13"/>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7591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9" w:hRule="atLeast"/>
          <w:jc w:val="center"/>
        </w:trPr>
        <w:tc>
          <w:tcPr>
            <w:tcW w:w="8865" w:type="dxa"/>
            <w:noWrap w:val="0"/>
            <w:vAlign w:val="center"/>
          </w:tcPr>
          <w:p w14:paraId="32B52526">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cs="Times New Roman"/>
                <w:color w:val="auto"/>
                <w:highlight w:val="none"/>
              </w:rPr>
            </w:pPr>
            <w:r>
              <w:rPr>
                <w:rFonts w:hint="eastAsia" w:ascii="Times New Roman" w:hAnsi="Times New Roman" w:cs="Times New Roman"/>
                <w:bCs/>
                <w:color w:val="auto"/>
                <w:sz w:val="24"/>
                <w:lang w:val="en-US" w:eastAsia="zh-CN"/>
              </w:rPr>
              <w:t>本</w:t>
            </w:r>
            <w:r>
              <w:rPr>
                <w:rFonts w:hint="eastAsia" w:ascii="Times New Roman" w:hAnsi="Times New Roman" w:cs="Times New Roman"/>
                <w:color w:val="auto"/>
                <w:sz w:val="24"/>
                <w:lang w:val="en-US" w:eastAsia="zh-CN"/>
              </w:rPr>
              <w:t>项目</w:t>
            </w:r>
            <w:r>
              <w:rPr>
                <w:rFonts w:hint="default" w:ascii="Times New Roman" w:hAnsi="Times New Roman" w:cs="Times New Roman"/>
                <w:b w:val="0"/>
                <w:bCs/>
                <w:color w:val="auto"/>
                <w:sz w:val="24"/>
              </w:rPr>
              <w:t>的建设符合国家及地方产业政策，符合用地规划、“三线一单”等相关要求；项目排放的各类污染物均可以做到稳定达标排放，对周边环境影响较小，不会造成区域环境功能的改变；项目环境风险可控。从环保角度分析，建设单位在认真落实本报告提出的各项污染防治措施、风险防范措施以及加强环境管理的基础上，项目的建设是可行的。</w:t>
            </w:r>
          </w:p>
        </w:tc>
      </w:tr>
    </w:tbl>
    <w:p w14:paraId="7F38E057">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DFFA8E8">
      <w:pPr>
        <w:pStyle w:val="29"/>
        <w:keepNext w:val="0"/>
        <w:keepLines w:val="0"/>
        <w:pageBreakBefore w:val="0"/>
        <w:widowControl/>
        <w:kinsoku/>
        <w:wordWrap/>
        <w:overflowPunct/>
        <w:topLinePunct w:val="0"/>
        <w:autoSpaceDE/>
        <w:autoSpaceDN/>
        <w:bidi w:val="0"/>
        <w:adjustRightInd w:val="0"/>
        <w:snapToGrid/>
        <w:spacing w:before="0" w:beforeAutospacing="0" w:after="0" w:afterAutospacing="0"/>
        <w:textAlignment w:val="auto"/>
        <w:outlineLvl w:val="9"/>
        <w:rPr>
          <w:rFonts w:hint="default" w:ascii="Times New Roman" w:hAnsi="Times New Roman" w:eastAsia="黑体" w:cs="Times New Roman"/>
          <w:snapToGrid w:val="0"/>
          <w:color w:val="auto"/>
          <w:sz w:val="28"/>
          <w:szCs w:val="28"/>
          <w:highlight w:val="none"/>
        </w:rPr>
      </w:pPr>
      <w:r>
        <w:rPr>
          <w:rFonts w:hint="default" w:ascii="Times New Roman" w:hAnsi="Times New Roman" w:eastAsia="黑体" w:cs="Times New Roman"/>
          <w:snapToGrid w:val="0"/>
          <w:color w:val="auto"/>
          <w:sz w:val="28"/>
          <w:szCs w:val="28"/>
          <w:highlight w:val="none"/>
        </w:rPr>
        <w:t>附表</w:t>
      </w:r>
    </w:p>
    <w:p w14:paraId="65D85207">
      <w:pPr>
        <w:pStyle w:val="29"/>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hint="default" w:ascii="Times New Roman" w:hAnsi="Times New Roman" w:eastAsia="方正小标宋_GBK" w:cs="Times New Roman"/>
          <w:snapToGrid w:val="0"/>
          <w:color w:val="auto"/>
          <w:sz w:val="28"/>
          <w:szCs w:val="28"/>
          <w:highlight w:val="none"/>
          <w:lang w:val="en-US" w:eastAsia="zh-CN"/>
        </w:rPr>
      </w:pPr>
      <w:r>
        <w:rPr>
          <w:rFonts w:hint="eastAsia" w:ascii="宋体" w:hAnsi="宋体" w:eastAsia="宋体" w:cs="宋体"/>
          <w:b/>
          <w:bCs/>
          <w:snapToGrid w:val="0"/>
          <w:color w:val="auto"/>
          <w:sz w:val="28"/>
          <w:szCs w:val="28"/>
          <w:highlight w:val="none"/>
        </w:rPr>
        <w:t>建设项目污染物排放量汇总表</w:t>
      </w:r>
      <w:r>
        <w:rPr>
          <w:rFonts w:hint="eastAsia" w:ascii="宋体" w:hAnsi="宋体" w:eastAsia="宋体" w:cs="宋体"/>
          <w:b/>
          <w:bCs/>
          <w:snapToGrid w:val="0"/>
          <w:color w:val="auto"/>
          <w:sz w:val="28"/>
          <w:szCs w:val="28"/>
          <w:highlight w:val="none"/>
          <w:lang w:val="en-US" w:eastAsia="zh-CN"/>
        </w:rPr>
        <w:t xml:space="preserve"> </w:t>
      </w:r>
      <w:r>
        <w:rPr>
          <w:rFonts w:hint="default" w:ascii="Times New Roman" w:hAnsi="Times New Roman" w:eastAsia="方正小标宋_GBK" w:cs="Times New Roman"/>
          <w:snapToGrid w:val="0"/>
          <w:color w:val="auto"/>
          <w:sz w:val="28"/>
          <w:szCs w:val="28"/>
          <w:highlight w:val="none"/>
          <w:lang w:val="en-US" w:eastAsia="zh-CN"/>
        </w:rPr>
        <w:t xml:space="preserve">     单位：t/a</w:t>
      </w:r>
    </w:p>
    <w:tbl>
      <w:tblPr>
        <w:tblStyle w:val="33"/>
        <w:tblW w:w="141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850"/>
        <w:gridCol w:w="851"/>
        <w:gridCol w:w="1633"/>
        <w:gridCol w:w="1312"/>
        <w:gridCol w:w="1749"/>
        <w:gridCol w:w="1603"/>
        <w:gridCol w:w="1810"/>
        <w:gridCol w:w="1816"/>
        <w:gridCol w:w="1047"/>
      </w:tblGrid>
      <w:tr w14:paraId="4AFCF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tcBorders>
              <w:tl2br w:val="single" w:color="auto" w:sz="4" w:space="0"/>
            </w:tcBorders>
            <w:noWrap w:val="0"/>
            <w:tcMar>
              <w:left w:w="28" w:type="dxa"/>
              <w:right w:w="28" w:type="dxa"/>
            </w:tcMar>
            <w:vAlign w:val="center"/>
          </w:tcPr>
          <w:p w14:paraId="561AE515">
            <w:pPr>
              <w:pStyle w:val="67"/>
              <w:keepNext w:val="0"/>
              <w:keepLines w:val="0"/>
              <w:suppressLineNumbers w:val="0"/>
              <w:snapToGrid/>
              <w:spacing w:before="0" w:beforeLines="0" w:beforeAutospacing="0" w:after="0" w:afterLines="0" w:afterAutospacing="0" w:line="260" w:lineRule="exact"/>
              <w:ind w:left="0" w:right="0"/>
              <w:jc w:val="right"/>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项目</w:t>
            </w:r>
          </w:p>
          <w:p w14:paraId="5D3D60AC">
            <w:pPr>
              <w:pStyle w:val="67"/>
              <w:keepNext w:val="0"/>
              <w:keepLines w:val="0"/>
              <w:suppressLineNumbers w:val="0"/>
              <w:snapToGrid/>
              <w:spacing w:before="0" w:beforeLines="0" w:beforeAutospacing="0" w:after="0" w:afterLines="0" w:afterAutospacing="0" w:line="260" w:lineRule="exact"/>
              <w:ind w:left="0" w:right="0"/>
              <w:jc w:val="left"/>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分类</w:t>
            </w:r>
          </w:p>
        </w:tc>
        <w:tc>
          <w:tcPr>
            <w:tcW w:w="1701" w:type="dxa"/>
            <w:gridSpan w:val="2"/>
            <w:noWrap w:val="0"/>
            <w:tcMar>
              <w:left w:w="28" w:type="dxa"/>
              <w:right w:w="28" w:type="dxa"/>
            </w:tcMar>
            <w:vAlign w:val="center"/>
          </w:tcPr>
          <w:p w14:paraId="7A85C9CE">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污染物名称</w:t>
            </w:r>
          </w:p>
        </w:tc>
        <w:tc>
          <w:tcPr>
            <w:tcW w:w="1633" w:type="dxa"/>
            <w:noWrap w:val="0"/>
            <w:tcMar>
              <w:left w:w="28" w:type="dxa"/>
              <w:right w:w="28" w:type="dxa"/>
            </w:tcMar>
            <w:vAlign w:val="center"/>
          </w:tcPr>
          <w:p w14:paraId="13ED293C">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现有工程</w:t>
            </w:r>
          </w:p>
          <w:p w14:paraId="151A9D7D">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排放量（固体废物产生量）</w:t>
            </w:r>
            <w:r>
              <w:rPr>
                <w:rFonts w:hint="default" w:ascii="Times New Roman" w:hAnsi="Times New Roman" w:eastAsia="黑体" w:cs="Times New Roman"/>
                <w:snapToGrid w:val="0"/>
                <w:color w:val="auto"/>
                <w:spacing w:val="-6"/>
                <w:kern w:val="21"/>
                <w:szCs w:val="21"/>
                <w:u w:val="none" w:color="auto"/>
              </w:rPr>
              <w:fldChar w:fldCharType="begin"/>
            </w:r>
            <w:r>
              <w:rPr>
                <w:rFonts w:hint="default" w:ascii="Times New Roman" w:hAnsi="Times New Roman" w:eastAsia="黑体" w:cs="Times New Roman"/>
                <w:snapToGrid w:val="0"/>
                <w:color w:val="auto"/>
                <w:spacing w:val="-6"/>
                <w:kern w:val="21"/>
                <w:szCs w:val="21"/>
                <w:u w:val="none" w:color="auto"/>
              </w:rPr>
              <w:instrText xml:space="preserve"> = 1 \* GB3 \* MERGEFORMAT </w:instrText>
            </w:r>
            <w:r>
              <w:rPr>
                <w:rFonts w:hint="default" w:ascii="Times New Roman" w:hAnsi="Times New Roman" w:eastAsia="黑体" w:cs="Times New Roman"/>
                <w:snapToGrid w:val="0"/>
                <w:color w:val="auto"/>
                <w:spacing w:val="-6"/>
                <w:kern w:val="21"/>
                <w:szCs w:val="21"/>
                <w:u w:val="none" w:color="auto"/>
              </w:rPr>
              <w:fldChar w:fldCharType="separate"/>
            </w:r>
            <w:r>
              <w:rPr>
                <w:rFonts w:hint="default" w:ascii="Times New Roman" w:hAnsi="Times New Roman" w:eastAsia="黑体" w:cs="Times New Roman"/>
                <w:color w:val="auto"/>
                <w:kern w:val="2"/>
                <w:szCs w:val="21"/>
                <w:u w:val="none" w:color="auto"/>
              </w:rPr>
              <w:t>①</w:t>
            </w:r>
            <w:r>
              <w:rPr>
                <w:rFonts w:hint="default" w:ascii="Times New Roman" w:hAnsi="Times New Roman" w:eastAsia="黑体" w:cs="Times New Roman"/>
                <w:snapToGrid w:val="0"/>
                <w:color w:val="auto"/>
                <w:spacing w:val="-6"/>
                <w:kern w:val="21"/>
                <w:szCs w:val="21"/>
                <w:u w:val="none" w:color="auto"/>
              </w:rPr>
              <w:fldChar w:fldCharType="end"/>
            </w:r>
          </w:p>
        </w:tc>
        <w:tc>
          <w:tcPr>
            <w:tcW w:w="1312" w:type="dxa"/>
            <w:noWrap w:val="0"/>
            <w:tcMar>
              <w:left w:w="28" w:type="dxa"/>
              <w:right w:w="28" w:type="dxa"/>
            </w:tcMar>
            <w:vAlign w:val="center"/>
          </w:tcPr>
          <w:p w14:paraId="7FF8DDE7">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现有工程</w:t>
            </w:r>
          </w:p>
          <w:p w14:paraId="08860E7C">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许可排放量</w:t>
            </w:r>
          </w:p>
          <w:p w14:paraId="710388E6">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fldChar w:fldCharType="begin"/>
            </w:r>
            <w:r>
              <w:rPr>
                <w:rFonts w:hint="default" w:ascii="Times New Roman" w:hAnsi="Times New Roman" w:eastAsia="黑体" w:cs="Times New Roman"/>
                <w:snapToGrid w:val="0"/>
                <w:color w:val="auto"/>
                <w:spacing w:val="-6"/>
                <w:kern w:val="21"/>
                <w:szCs w:val="21"/>
                <w:u w:val="none" w:color="auto"/>
              </w:rPr>
              <w:instrText xml:space="preserve"> = 2 \* GB3 \* MERGEFORMAT </w:instrText>
            </w:r>
            <w:r>
              <w:rPr>
                <w:rFonts w:hint="default" w:ascii="Times New Roman" w:hAnsi="Times New Roman" w:eastAsia="黑体" w:cs="Times New Roman"/>
                <w:snapToGrid w:val="0"/>
                <w:color w:val="auto"/>
                <w:spacing w:val="-6"/>
                <w:kern w:val="21"/>
                <w:szCs w:val="21"/>
                <w:u w:val="none" w:color="auto"/>
              </w:rPr>
              <w:fldChar w:fldCharType="separate"/>
            </w:r>
            <w:r>
              <w:rPr>
                <w:rFonts w:hint="default" w:ascii="Times New Roman" w:hAnsi="Times New Roman" w:eastAsia="黑体" w:cs="Times New Roman"/>
                <w:snapToGrid w:val="0"/>
                <w:color w:val="auto"/>
                <w:spacing w:val="-6"/>
                <w:kern w:val="21"/>
                <w:szCs w:val="21"/>
                <w:u w:val="none" w:color="auto"/>
              </w:rPr>
              <w:t>②</w:t>
            </w:r>
            <w:r>
              <w:rPr>
                <w:rFonts w:hint="default" w:ascii="Times New Roman" w:hAnsi="Times New Roman" w:eastAsia="黑体" w:cs="Times New Roman"/>
                <w:snapToGrid w:val="0"/>
                <w:color w:val="auto"/>
                <w:spacing w:val="-6"/>
                <w:kern w:val="21"/>
                <w:szCs w:val="21"/>
                <w:u w:val="none" w:color="auto"/>
              </w:rPr>
              <w:fldChar w:fldCharType="end"/>
            </w:r>
          </w:p>
        </w:tc>
        <w:tc>
          <w:tcPr>
            <w:tcW w:w="1749" w:type="dxa"/>
            <w:noWrap w:val="0"/>
            <w:tcMar>
              <w:left w:w="28" w:type="dxa"/>
              <w:right w:w="28" w:type="dxa"/>
            </w:tcMar>
            <w:vAlign w:val="center"/>
          </w:tcPr>
          <w:p w14:paraId="389A32DF">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在建工程</w:t>
            </w:r>
          </w:p>
          <w:p w14:paraId="04637F1F">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排放量（固体废物产生量）</w:t>
            </w:r>
            <w:r>
              <w:rPr>
                <w:rFonts w:hint="default" w:ascii="Times New Roman" w:hAnsi="Times New Roman" w:eastAsia="黑体" w:cs="Times New Roman"/>
                <w:snapToGrid w:val="0"/>
                <w:color w:val="auto"/>
                <w:spacing w:val="-6"/>
                <w:kern w:val="21"/>
                <w:szCs w:val="21"/>
                <w:u w:val="none" w:color="auto"/>
              </w:rPr>
              <w:fldChar w:fldCharType="begin"/>
            </w:r>
            <w:r>
              <w:rPr>
                <w:rFonts w:hint="default" w:ascii="Times New Roman" w:hAnsi="Times New Roman" w:eastAsia="黑体" w:cs="Times New Roman"/>
                <w:snapToGrid w:val="0"/>
                <w:color w:val="auto"/>
                <w:spacing w:val="-6"/>
                <w:kern w:val="21"/>
                <w:szCs w:val="21"/>
                <w:u w:val="none" w:color="auto"/>
              </w:rPr>
              <w:instrText xml:space="preserve"> = 3 \* GB3 \* MERGEFORMAT </w:instrText>
            </w:r>
            <w:r>
              <w:rPr>
                <w:rFonts w:hint="default" w:ascii="Times New Roman" w:hAnsi="Times New Roman" w:eastAsia="黑体" w:cs="Times New Roman"/>
                <w:snapToGrid w:val="0"/>
                <w:color w:val="auto"/>
                <w:spacing w:val="-6"/>
                <w:kern w:val="21"/>
                <w:szCs w:val="21"/>
                <w:u w:val="none" w:color="auto"/>
              </w:rPr>
              <w:fldChar w:fldCharType="separate"/>
            </w:r>
            <w:r>
              <w:rPr>
                <w:rFonts w:hint="default" w:ascii="Times New Roman" w:hAnsi="Times New Roman" w:eastAsia="黑体" w:cs="Times New Roman"/>
                <w:color w:val="auto"/>
                <w:kern w:val="2"/>
                <w:szCs w:val="21"/>
                <w:u w:val="none" w:color="auto"/>
              </w:rPr>
              <w:t>③</w:t>
            </w:r>
            <w:r>
              <w:rPr>
                <w:rFonts w:hint="default" w:ascii="Times New Roman" w:hAnsi="Times New Roman" w:eastAsia="黑体" w:cs="Times New Roman"/>
                <w:snapToGrid w:val="0"/>
                <w:color w:val="auto"/>
                <w:spacing w:val="-6"/>
                <w:kern w:val="21"/>
                <w:szCs w:val="21"/>
                <w:u w:val="none" w:color="auto"/>
              </w:rPr>
              <w:fldChar w:fldCharType="end"/>
            </w:r>
          </w:p>
        </w:tc>
        <w:tc>
          <w:tcPr>
            <w:tcW w:w="1603" w:type="dxa"/>
            <w:noWrap w:val="0"/>
            <w:tcMar>
              <w:left w:w="28" w:type="dxa"/>
              <w:right w:w="28" w:type="dxa"/>
            </w:tcMar>
            <w:vAlign w:val="center"/>
          </w:tcPr>
          <w:p w14:paraId="64CB32E2">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本项目</w:t>
            </w:r>
          </w:p>
          <w:p w14:paraId="357606EF">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排放量（固体废物产生量）</w:t>
            </w:r>
            <w:r>
              <w:rPr>
                <w:rFonts w:hint="default" w:ascii="Times New Roman" w:hAnsi="Times New Roman" w:eastAsia="黑体" w:cs="Times New Roman"/>
                <w:snapToGrid w:val="0"/>
                <w:color w:val="auto"/>
                <w:spacing w:val="-6"/>
                <w:kern w:val="21"/>
                <w:szCs w:val="21"/>
                <w:u w:val="none" w:color="auto"/>
              </w:rPr>
              <w:fldChar w:fldCharType="begin"/>
            </w:r>
            <w:r>
              <w:rPr>
                <w:rFonts w:hint="default" w:ascii="Times New Roman" w:hAnsi="Times New Roman" w:eastAsia="黑体" w:cs="Times New Roman"/>
                <w:snapToGrid w:val="0"/>
                <w:color w:val="auto"/>
                <w:spacing w:val="-6"/>
                <w:kern w:val="21"/>
                <w:szCs w:val="21"/>
                <w:u w:val="none" w:color="auto"/>
              </w:rPr>
              <w:instrText xml:space="preserve"> = 4 \* GB3 \* MERGEFORMAT </w:instrText>
            </w:r>
            <w:r>
              <w:rPr>
                <w:rFonts w:hint="default" w:ascii="Times New Roman" w:hAnsi="Times New Roman" w:eastAsia="黑体" w:cs="Times New Roman"/>
                <w:snapToGrid w:val="0"/>
                <w:color w:val="auto"/>
                <w:spacing w:val="-6"/>
                <w:kern w:val="21"/>
                <w:szCs w:val="21"/>
                <w:u w:val="none" w:color="auto"/>
              </w:rPr>
              <w:fldChar w:fldCharType="separate"/>
            </w:r>
            <w:r>
              <w:rPr>
                <w:rFonts w:hint="default" w:ascii="Times New Roman" w:hAnsi="Times New Roman" w:eastAsia="黑体" w:cs="Times New Roman"/>
                <w:color w:val="auto"/>
                <w:kern w:val="2"/>
                <w:szCs w:val="21"/>
                <w:u w:val="none" w:color="auto"/>
              </w:rPr>
              <w:t>④</w:t>
            </w:r>
            <w:r>
              <w:rPr>
                <w:rFonts w:hint="default" w:ascii="Times New Roman" w:hAnsi="Times New Roman" w:eastAsia="黑体" w:cs="Times New Roman"/>
                <w:snapToGrid w:val="0"/>
                <w:color w:val="auto"/>
                <w:spacing w:val="-6"/>
                <w:kern w:val="21"/>
                <w:szCs w:val="21"/>
                <w:u w:val="none" w:color="auto"/>
              </w:rPr>
              <w:fldChar w:fldCharType="end"/>
            </w:r>
          </w:p>
        </w:tc>
        <w:tc>
          <w:tcPr>
            <w:tcW w:w="1810" w:type="dxa"/>
            <w:noWrap w:val="0"/>
            <w:tcMar>
              <w:left w:w="28" w:type="dxa"/>
              <w:right w:w="28" w:type="dxa"/>
            </w:tcMar>
            <w:vAlign w:val="center"/>
          </w:tcPr>
          <w:p w14:paraId="46CEA069">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16"/>
                <w:kern w:val="21"/>
                <w:szCs w:val="21"/>
                <w:u w:val="none" w:color="auto"/>
              </w:rPr>
            </w:pPr>
            <w:r>
              <w:rPr>
                <w:rFonts w:hint="default" w:ascii="Times New Roman" w:hAnsi="Times New Roman" w:eastAsia="黑体" w:cs="Times New Roman"/>
                <w:snapToGrid w:val="0"/>
                <w:color w:val="auto"/>
                <w:spacing w:val="-16"/>
                <w:kern w:val="21"/>
                <w:szCs w:val="21"/>
                <w:u w:val="none" w:color="auto"/>
              </w:rPr>
              <w:t>以新带老削减量</w:t>
            </w:r>
          </w:p>
          <w:p w14:paraId="5E3111FF">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16"/>
                <w:kern w:val="21"/>
                <w:szCs w:val="21"/>
                <w:u w:val="none" w:color="auto"/>
              </w:rPr>
            </w:pPr>
            <w:r>
              <w:rPr>
                <w:rFonts w:hint="default" w:ascii="Times New Roman" w:hAnsi="Times New Roman" w:eastAsia="黑体" w:cs="Times New Roman"/>
                <w:snapToGrid w:val="0"/>
                <w:color w:val="auto"/>
                <w:spacing w:val="-16"/>
                <w:kern w:val="21"/>
                <w:szCs w:val="21"/>
                <w:u w:val="none" w:color="auto"/>
              </w:rPr>
              <w:t>（新建项目不填）</w:t>
            </w:r>
            <w:r>
              <w:rPr>
                <w:rFonts w:hint="default" w:ascii="Times New Roman" w:hAnsi="Times New Roman" w:eastAsia="黑体" w:cs="Times New Roman"/>
                <w:snapToGrid w:val="0"/>
                <w:color w:val="auto"/>
                <w:spacing w:val="-16"/>
                <w:kern w:val="21"/>
                <w:szCs w:val="21"/>
                <w:u w:val="none" w:color="auto"/>
              </w:rPr>
              <w:fldChar w:fldCharType="begin"/>
            </w:r>
            <w:r>
              <w:rPr>
                <w:rFonts w:hint="default" w:ascii="Times New Roman" w:hAnsi="Times New Roman" w:eastAsia="黑体" w:cs="Times New Roman"/>
                <w:snapToGrid w:val="0"/>
                <w:color w:val="auto"/>
                <w:spacing w:val="-16"/>
                <w:kern w:val="21"/>
                <w:szCs w:val="21"/>
                <w:u w:val="none" w:color="auto"/>
              </w:rPr>
              <w:instrText xml:space="preserve"> = 5 \* GB3 \* MERGEFORMAT </w:instrText>
            </w:r>
            <w:r>
              <w:rPr>
                <w:rFonts w:hint="default" w:ascii="Times New Roman" w:hAnsi="Times New Roman" w:eastAsia="黑体" w:cs="Times New Roman"/>
                <w:snapToGrid w:val="0"/>
                <w:color w:val="auto"/>
                <w:spacing w:val="-16"/>
                <w:kern w:val="21"/>
                <w:szCs w:val="21"/>
                <w:u w:val="none" w:color="auto"/>
              </w:rPr>
              <w:fldChar w:fldCharType="separate"/>
            </w:r>
            <w:r>
              <w:rPr>
                <w:rFonts w:hint="default" w:ascii="Times New Roman" w:hAnsi="Times New Roman" w:eastAsia="黑体" w:cs="Times New Roman"/>
                <w:color w:val="auto"/>
                <w:kern w:val="2"/>
                <w:szCs w:val="21"/>
                <w:u w:val="none" w:color="auto"/>
              </w:rPr>
              <w:t>⑤</w:t>
            </w:r>
            <w:r>
              <w:rPr>
                <w:rFonts w:hint="default" w:ascii="Times New Roman" w:hAnsi="Times New Roman" w:eastAsia="黑体" w:cs="Times New Roman"/>
                <w:snapToGrid w:val="0"/>
                <w:color w:val="auto"/>
                <w:spacing w:val="-16"/>
                <w:kern w:val="21"/>
                <w:szCs w:val="21"/>
                <w:u w:val="none" w:color="auto"/>
              </w:rPr>
              <w:fldChar w:fldCharType="end"/>
            </w:r>
          </w:p>
        </w:tc>
        <w:tc>
          <w:tcPr>
            <w:tcW w:w="1816" w:type="dxa"/>
            <w:noWrap w:val="0"/>
            <w:tcMar>
              <w:left w:w="28" w:type="dxa"/>
              <w:right w:w="28" w:type="dxa"/>
            </w:tcMar>
            <w:vAlign w:val="center"/>
          </w:tcPr>
          <w:p w14:paraId="350F65EA">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16"/>
                <w:kern w:val="21"/>
                <w:szCs w:val="21"/>
                <w:u w:val="none" w:color="auto"/>
              </w:rPr>
            </w:pPr>
            <w:r>
              <w:rPr>
                <w:rFonts w:hint="default" w:ascii="Times New Roman" w:hAnsi="Times New Roman" w:eastAsia="黑体" w:cs="Times New Roman"/>
                <w:snapToGrid w:val="0"/>
                <w:color w:val="auto"/>
                <w:spacing w:val="-16"/>
                <w:kern w:val="21"/>
                <w:szCs w:val="21"/>
                <w:u w:val="none" w:color="auto"/>
              </w:rPr>
              <w:t>本项目建成后</w:t>
            </w:r>
          </w:p>
          <w:p w14:paraId="1AE6FAB5">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16"/>
                <w:kern w:val="21"/>
                <w:szCs w:val="21"/>
                <w:u w:val="none" w:color="auto"/>
              </w:rPr>
            </w:pPr>
            <w:r>
              <w:rPr>
                <w:rFonts w:hint="default" w:ascii="Times New Roman" w:hAnsi="Times New Roman" w:eastAsia="黑体" w:cs="Times New Roman"/>
                <w:snapToGrid w:val="0"/>
                <w:color w:val="auto"/>
                <w:spacing w:val="-16"/>
                <w:kern w:val="21"/>
                <w:szCs w:val="21"/>
                <w:u w:val="none" w:color="auto"/>
              </w:rPr>
              <w:t>全厂排放量（固体废物产生量）</w:t>
            </w:r>
            <w:r>
              <w:rPr>
                <w:rFonts w:hint="default" w:ascii="Times New Roman" w:hAnsi="Times New Roman" w:eastAsia="黑体" w:cs="Times New Roman"/>
                <w:snapToGrid w:val="0"/>
                <w:color w:val="auto"/>
                <w:spacing w:val="-16"/>
                <w:kern w:val="21"/>
                <w:szCs w:val="21"/>
                <w:u w:val="none" w:color="auto"/>
              </w:rPr>
              <w:fldChar w:fldCharType="begin"/>
            </w:r>
            <w:r>
              <w:rPr>
                <w:rFonts w:hint="default" w:ascii="Times New Roman" w:hAnsi="Times New Roman" w:eastAsia="黑体" w:cs="Times New Roman"/>
                <w:snapToGrid w:val="0"/>
                <w:color w:val="auto"/>
                <w:spacing w:val="-16"/>
                <w:kern w:val="21"/>
                <w:szCs w:val="21"/>
                <w:u w:val="none" w:color="auto"/>
              </w:rPr>
              <w:instrText xml:space="preserve"> = 6 \* GB3 \* MERGEFORMAT </w:instrText>
            </w:r>
            <w:r>
              <w:rPr>
                <w:rFonts w:hint="default" w:ascii="Times New Roman" w:hAnsi="Times New Roman" w:eastAsia="黑体" w:cs="Times New Roman"/>
                <w:snapToGrid w:val="0"/>
                <w:color w:val="auto"/>
                <w:spacing w:val="-16"/>
                <w:kern w:val="21"/>
                <w:szCs w:val="21"/>
                <w:u w:val="none" w:color="auto"/>
              </w:rPr>
              <w:fldChar w:fldCharType="separate"/>
            </w:r>
            <w:r>
              <w:rPr>
                <w:rFonts w:hint="default" w:ascii="Times New Roman" w:hAnsi="Times New Roman" w:eastAsia="黑体" w:cs="Times New Roman"/>
                <w:color w:val="auto"/>
                <w:kern w:val="2"/>
                <w:szCs w:val="21"/>
                <w:u w:val="none" w:color="auto"/>
              </w:rPr>
              <w:t>⑥</w:t>
            </w:r>
            <w:r>
              <w:rPr>
                <w:rFonts w:hint="default" w:ascii="Times New Roman" w:hAnsi="Times New Roman" w:eastAsia="黑体" w:cs="Times New Roman"/>
                <w:snapToGrid w:val="0"/>
                <w:color w:val="auto"/>
                <w:spacing w:val="-16"/>
                <w:kern w:val="21"/>
                <w:szCs w:val="21"/>
                <w:u w:val="none" w:color="auto"/>
              </w:rPr>
              <w:fldChar w:fldCharType="end"/>
            </w:r>
          </w:p>
        </w:tc>
        <w:tc>
          <w:tcPr>
            <w:tcW w:w="1047" w:type="dxa"/>
            <w:noWrap w:val="0"/>
            <w:tcMar>
              <w:left w:w="28" w:type="dxa"/>
              <w:right w:w="28" w:type="dxa"/>
            </w:tcMar>
            <w:vAlign w:val="center"/>
          </w:tcPr>
          <w:p w14:paraId="3D9C5E54">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t>变化量</w:t>
            </w:r>
          </w:p>
          <w:p w14:paraId="3242A122">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eastAsia="黑体" w:cs="Times New Roman"/>
                <w:snapToGrid w:val="0"/>
                <w:color w:val="auto"/>
                <w:spacing w:val="-6"/>
                <w:kern w:val="21"/>
                <w:szCs w:val="21"/>
                <w:u w:val="none" w:color="auto"/>
              </w:rPr>
            </w:pPr>
            <w:r>
              <w:rPr>
                <w:rFonts w:hint="default" w:ascii="Times New Roman" w:hAnsi="Times New Roman" w:eastAsia="黑体" w:cs="Times New Roman"/>
                <w:snapToGrid w:val="0"/>
                <w:color w:val="auto"/>
                <w:spacing w:val="-6"/>
                <w:kern w:val="21"/>
                <w:szCs w:val="21"/>
                <w:u w:val="none" w:color="auto"/>
              </w:rPr>
              <w:fldChar w:fldCharType="begin"/>
            </w:r>
            <w:r>
              <w:rPr>
                <w:rFonts w:hint="default" w:ascii="Times New Roman" w:hAnsi="Times New Roman" w:eastAsia="黑体" w:cs="Times New Roman"/>
                <w:snapToGrid w:val="0"/>
                <w:color w:val="auto"/>
                <w:spacing w:val="-6"/>
                <w:kern w:val="21"/>
                <w:szCs w:val="21"/>
                <w:u w:val="none" w:color="auto"/>
              </w:rPr>
              <w:instrText xml:space="preserve"> = 7 \* GB3 \* MERGEFORMAT </w:instrText>
            </w:r>
            <w:r>
              <w:rPr>
                <w:rFonts w:hint="default" w:ascii="Times New Roman" w:hAnsi="Times New Roman" w:eastAsia="黑体" w:cs="Times New Roman"/>
                <w:snapToGrid w:val="0"/>
                <w:color w:val="auto"/>
                <w:spacing w:val="-6"/>
                <w:kern w:val="21"/>
                <w:szCs w:val="21"/>
                <w:u w:val="none" w:color="auto"/>
              </w:rPr>
              <w:fldChar w:fldCharType="separate"/>
            </w:r>
            <w:r>
              <w:rPr>
                <w:rFonts w:hint="default" w:ascii="Times New Roman" w:hAnsi="Times New Roman" w:eastAsia="黑体" w:cs="Times New Roman"/>
                <w:color w:val="auto"/>
                <w:kern w:val="2"/>
                <w:szCs w:val="21"/>
                <w:u w:val="none" w:color="auto"/>
              </w:rPr>
              <w:t>⑦</w:t>
            </w:r>
            <w:r>
              <w:rPr>
                <w:rFonts w:hint="default" w:ascii="Times New Roman" w:hAnsi="Times New Roman" w:eastAsia="黑体" w:cs="Times New Roman"/>
                <w:snapToGrid w:val="0"/>
                <w:color w:val="auto"/>
                <w:spacing w:val="-6"/>
                <w:kern w:val="21"/>
                <w:szCs w:val="21"/>
                <w:u w:val="none" w:color="auto"/>
              </w:rPr>
              <w:fldChar w:fldCharType="end"/>
            </w:r>
          </w:p>
        </w:tc>
      </w:tr>
      <w:tr w14:paraId="796E9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504" w:type="dxa"/>
            <w:vMerge w:val="restart"/>
            <w:noWrap w:val="0"/>
            <w:vAlign w:val="center"/>
          </w:tcPr>
          <w:p w14:paraId="254B4302">
            <w:pPr>
              <w:pStyle w:val="67"/>
              <w:keepNext w:val="0"/>
              <w:keepLines w:val="0"/>
              <w:suppressLineNumbers w:val="0"/>
              <w:snapToGrid/>
              <w:spacing w:before="0" w:beforeLines="0" w:beforeAutospacing="0" w:after="0" w:afterLines="0" w:afterAutospacing="0" w:line="260" w:lineRule="exact"/>
              <w:ind w:left="0" w:right="0"/>
              <w:rPr>
                <w:rFonts w:hint="eastAsia" w:ascii="Times New Roman" w:hAnsi="Times New Roman" w:eastAsia="宋体" w:cs="Times New Roman"/>
                <w:snapToGrid w:val="0"/>
                <w:color w:val="auto"/>
                <w:kern w:val="21"/>
                <w:szCs w:val="21"/>
                <w:u w:val="none" w:color="auto"/>
                <w:lang w:eastAsia="zh-CN"/>
              </w:rPr>
            </w:pPr>
            <w:r>
              <w:rPr>
                <w:rFonts w:hint="eastAsia" w:ascii="Times New Roman" w:cs="Times New Roman"/>
                <w:snapToGrid w:val="0"/>
                <w:color w:val="auto"/>
                <w:kern w:val="21"/>
                <w:szCs w:val="21"/>
                <w:u w:val="none" w:color="auto"/>
                <w:lang w:val="en-US" w:eastAsia="zh-CN"/>
              </w:rPr>
              <w:t>废气</w:t>
            </w:r>
          </w:p>
        </w:tc>
        <w:tc>
          <w:tcPr>
            <w:tcW w:w="850" w:type="dxa"/>
            <w:noWrap w:val="0"/>
            <w:vAlign w:val="center"/>
          </w:tcPr>
          <w:p w14:paraId="4FA75874">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有组织</w:t>
            </w:r>
          </w:p>
        </w:tc>
        <w:tc>
          <w:tcPr>
            <w:tcW w:w="851" w:type="dxa"/>
            <w:shd w:val="clear" w:color="auto" w:fill="auto"/>
            <w:noWrap w:val="0"/>
            <w:vAlign w:val="center"/>
          </w:tcPr>
          <w:p w14:paraId="0255CA10">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Cs w:val="21"/>
                <w:u w:val="none" w:color="auto"/>
                <w:lang w:val="en-US" w:eastAsia="zh-CN"/>
              </w:rPr>
              <w:t>颗粒物</w:t>
            </w:r>
          </w:p>
        </w:tc>
        <w:tc>
          <w:tcPr>
            <w:tcW w:w="1633" w:type="dxa"/>
            <w:shd w:val="clear" w:color="auto" w:fill="auto"/>
            <w:noWrap w:val="0"/>
            <w:vAlign w:val="center"/>
          </w:tcPr>
          <w:p w14:paraId="0F336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0.69</w:t>
            </w:r>
          </w:p>
        </w:tc>
        <w:tc>
          <w:tcPr>
            <w:tcW w:w="1312" w:type="dxa"/>
            <w:noWrap w:val="0"/>
            <w:vAlign w:val="center"/>
          </w:tcPr>
          <w:p w14:paraId="5E4106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49" w:type="dxa"/>
            <w:noWrap w:val="0"/>
            <w:vAlign w:val="center"/>
          </w:tcPr>
          <w:p w14:paraId="1FA65A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noWrap w:val="0"/>
            <w:vAlign w:val="center"/>
          </w:tcPr>
          <w:p w14:paraId="1213E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bCs/>
                <w:color w:val="auto"/>
                <w:kern w:val="2"/>
                <w:sz w:val="21"/>
                <w:szCs w:val="21"/>
                <w:u w:val="single" w:color="auto"/>
                <w:vertAlign w:val="baseline"/>
                <w:lang w:val="en-US" w:eastAsia="zh-CN" w:bidi="ar-SA"/>
              </w:rPr>
              <w:t>1.43</w:t>
            </w:r>
          </w:p>
        </w:tc>
        <w:tc>
          <w:tcPr>
            <w:tcW w:w="1810" w:type="dxa"/>
            <w:noWrap w:val="0"/>
            <w:vAlign w:val="center"/>
          </w:tcPr>
          <w:p w14:paraId="71CE5B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6B90F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bCs/>
                <w:color w:val="auto"/>
                <w:kern w:val="2"/>
                <w:sz w:val="21"/>
                <w:szCs w:val="21"/>
                <w:u w:val="single" w:color="auto"/>
                <w:vertAlign w:val="baseline"/>
                <w:lang w:val="en-US" w:eastAsia="zh-CN" w:bidi="ar-SA"/>
              </w:rPr>
              <w:t>1.43</w:t>
            </w:r>
          </w:p>
        </w:tc>
        <w:tc>
          <w:tcPr>
            <w:tcW w:w="1047" w:type="dxa"/>
            <w:shd w:val="clear" w:color="auto" w:fill="auto"/>
            <w:noWrap w:val="0"/>
            <w:vAlign w:val="center"/>
          </w:tcPr>
          <w:p w14:paraId="3B6C5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bCs/>
                <w:color w:val="auto"/>
                <w:sz w:val="21"/>
                <w:szCs w:val="21"/>
                <w:u w:val="single" w:color="auto"/>
                <w:vertAlign w:val="baseline"/>
                <w:lang w:val="en-US" w:eastAsia="zh-CN"/>
              </w:rPr>
              <w:t>+0.74</w:t>
            </w:r>
          </w:p>
        </w:tc>
      </w:tr>
      <w:tr w14:paraId="3CA49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504" w:type="dxa"/>
            <w:vMerge w:val="continue"/>
            <w:noWrap w:val="0"/>
            <w:vAlign w:val="center"/>
          </w:tcPr>
          <w:p w14:paraId="0F021F2C">
            <w:pPr>
              <w:pStyle w:val="67"/>
              <w:keepNext w:val="0"/>
              <w:keepLines w:val="0"/>
              <w:suppressLineNumbers w:val="0"/>
              <w:snapToGrid/>
              <w:spacing w:before="0" w:beforeLines="0" w:beforeAutospacing="0" w:after="0" w:afterLines="0" w:afterAutospacing="0" w:line="260" w:lineRule="exact"/>
              <w:ind w:left="0" w:right="0"/>
              <w:rPr>
                <w:rFonts w:hint="eastAsia" w:ascii="Times New Roman" w:cs="Times New Roman"/>
                <w:snapToGrid w:val="0"/>
                <w:color w:val="auto"/>
                <w:kern w:val="21"/>
                <w:szCs w:val="21"/>
                <w:u w:val="none" w:color="auto"/>
                <w:lang w:val="en-US" w:eastAsia="zh-CN"/>
              </w:rPr>
            </w:pPr>
          </w:p>
        </w:tc>
        <w:tc>
          <w:tcPr>
            <w:tcW w:w="850" w:type="dxa"/>
            <w:vMerge w:val="restart"/>
            <w:noWrap w:val="0"/>
            <w:vAlign w:val="center"/>
          </w:tcPr>
          <w:p w14:paraId="5FB0D3D6">
            <w:pPr>
              <w:keepNext w:val="0"/>
              <w:keepLines w:val="0"/>
              <w:widowControl/>
              <w:suppressLineNumbers w:val="0"/>
              <w:spacing w:before="0" w:beforeAutospacing="0" w:after="0" w:afterAutospacing="0" w:line="260" w:lineRule="exact"/>
              <w:ind w:left="0" w:right="0"/>
              <w:jc w:val="center"/>
              <w:rPr>
                <w:rFonts w:hint="default" w:cs="Times New Roman"/>
                <w:color w:val="auto"/>
                <w:szCs w:val="21"/>
                <w:u w:val="none" w:color="auto"/>
                <w:lang w:val="en-US" w:eastAsia="zh-CN"/>
              </w:rPr>
            </w:pPr>
            <w:r>
              <w:rPr>
                <w:rFonts w:hint="eastAsia" w:cs="Times New Roman"/>
                <w:color w:val="auto"/>
                <w:szCs w:val="21"/>
                <w:u w:val="none" w:color="auto"/>
                <w:lang w:val="en-US" w:eastAsia="zh-CN"/>
              </w:rPr>
              <w:t>无组织</w:t>
            </w:r>
          </w:p>
        </w:tc>
        <w:tc>
          <w:tcPr>
            <w:tcW w:w="851" w:type="dxa"/>
            <w:shd w:val="clear" w:color="auto" w:fill="auto"/>
            <w:noWrap w:val="0"/>
            <w:vAlign w:val="center"/>
          </w:tcPr>
          <w:p w14:paraId="13DDAD97">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Cs w:val="21"/>
                <w:u w:val="none" w:color="auto"/>
                <w:lang w:val="en-US" w:eastAsia="zh-CN"/>
              </w:rPr>
              <w:t>颗粒物</w:t>
            </w:r>
          </w:p>
        </w:tc>
        <w:tc>
          <w:tcPr>
            <w:tcW w:w="1633" w:type="dxa"/>
            <w:shd w:val="clear" w:color="auto" w:fill="auto"/>
            <w:noWrap w:val="0"/>
            <w:vAlign w:val="center"/>
          </w:tcPr>
          <w:p w14:paraId="44EB8C88">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szCs w:val="21"/>
                <w:u w:val="single" w:color="auto"/>
                <w:lang w:val="en-US" w:eastAsia="zh-CN"/>
              </w:rPr>
              <w:t>0.</w:t>
            </w:r>
            <w:r>
              <w:rPr>
                <w:rFonts w:hint="eastAsia"/>
                <w:szCs w:val="21"/>
                <w:u w:val="single" w:color="auto"/>
                <w:lang w:val="en-US" w:eastAsia="zh-CN"/>
              </w:rPr>
              <w:t>2032</w:t>
            </w:r>
          </w:p>
        </w:tc>
        <w:tc>
          <w:tcPr>
            <w:tcW w:w="1312" w:type="dxa"/>
            <w:noWrap w:val="0"/>
            <w:vAlign w:val="center"/>
          </w:tcPr>
          <w:p w14:paraId="03C2A7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49" w:type="dxa"/>
            <w:noWrap w:val="0"/>
            <w:vAlign w:val="center"/>
          </w:tcPr>
          <w:p w14:paraId="7566D5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noWrap w:val="0"/>
            <w:vAlign w:val="center"/>
          </w:tcPr>
          <w:p w14:paraId="0C475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vertAlign w:val="baseline"/>
                <w:lang w:val="en-US" w:eastAsia="zh-CN"/>
              </w:rPr>
            </w:pPr>
            <w:r>
              <w:rPr>
                <w:rFonts w:hint="eastAsia" w:cs="Times New Roman"/>
                <w:bCs/>
                <w:color w:val="auto"/>
                <w:kern w:val="2"/>
                <w:sz w:val="21"/>
                <w:szCs w:val="21"/>
                <w:u w:val="single" w:color="auto"/>
                <w:vertAlign w:val="baseline"/>
                <w:lang w:val="en-US" w:eastAsia="zh-CN" w:bidi="ar-SA"/>
              </w:rPr>
              <w:t>0.402</w:t>
            </w:r>
          </w:p>
        </w:tc>
        <w:tc>
          <w:tcPr>
            <w:tcW w:w="1810" w:type="dxa"/>
            <w:noWrap w:val="0"/>
            <w:vAlign w:val="center"/>
          </w:tcPr>
          <w:p w14:paraId="09DB74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3525A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vertAlign w:val="baseline"/>
                <w:lang w:val="en-US" w:eastAsia="zh-CN"/>
              </w:rPr>
            </w:pPr>
            <w:r>
              <w:rPr>
                <w:rFonts w:hint="eastAsia" w:cs="Times New Roman"/>
                <w:bCs/>
                <w:color w:val="auto"/>
                <w:kern w:val="2"/>
                <w:sz w:val="21"/>
                <w:szCs w:val="21"/>
                <w:u w:val="single" w:color="auto"/>
                <w:vertAlign w:val="baseline"/>
                <w:lang w:val="en-US" w:eastAsia="zh-CN" w:bidi="ar-SA"/>
              </w:rPr>
              <w:t>0.402</w:t>
            </w:r>
          </w:p>
        </w:tc>
        <w:tc>
          <w:tcPr>
            <w:tcW w:w="1047" w:type="dxa"/>
            <w:shd w:val="clear" w:color="auto" w:fill="auto"/>
            <w:noWrap w:val="0"/>
            <w:vAlign w:val="center"/>
          </w:tcPr>
          <w:p w14:paraId="107458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vertAlign w:val="baseline"/>
                <w:lang w:val="en-US" w:eastAsia="zh-CN"/>
              </w:rPr>
            </w:pPr>
            <w:r>
              <w:rPr>
                <w:rFonts w:hint="eastAsia" w:cs="Times New Roman"/>
                <w:bCs/>
                <w:color w:val="auto"/>
                <w:sz w:val="21"/>
                <w:szCs w:val="21"/>
                <w:u w:val="single" w:color="auto"/>
                <w:vertAlign w:val="baseline"/>
                <w:lang w:val="en-US" w:eastAsia="zh-CN"/>
              </w:rPr>
              <w:t>+0.1988</w:t>
            </w:r>
          </w:p>
        </w:tc>
      </w:tr>
      <w:tr w14:paraId="77BBF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noWrap w:val="0"/>
            <w:vAlign w:val="center"/>
          </w:tcPr>
          <w:p w14:paraId="64B55403">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850" w:type="dxa"/>
            <w:vMerge w:val="continue"/>
            <w:noWrap w:val="0"/>
            <w:vAlign w:val="center"/>
          </w:tcPr>
          <w:p w14:paraId="3A7FB3AC">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color w:val="auto"/>
                <w:szCs w:val="22"/>
                <w:u w:val="none" w:color="auto"/>
                <w:lang w:val="en-US" w:eastAsia="zh-CN"/>
              </w:rPr>
            </w:pPr>
          </w:p>
        </w:tc>
        <w:tc>
          <w:tcPr>
            <w:tcW w:w="851" w:type="dxa"/>
            <w:shd w:val="clear" w:color="auto" w:fill="auto"/>
            <w:noWrap w:val="0"/>
            <w:vAlign w:val="center"/>
          </w:tcPr>
          <w:p w14:paraId="45D07D40">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auto"/>
                <w:kern w:val="2"/>
                <w:sz w:val="21"/>
                <w:szCs w:val="22"/>
                <w:u w:val="none" w:color="auto"/>
                <w:lang w:val="en-US" w:eastAsia="zh-CN" w:bidi="ar-SA"/>
              </w:rPr>
            </w:pPr>
            <w:r>
              <w:rPr>
                <w:rFonts w:hint="eastAsia" w:cs="Times New Roman"/>
                <w:color w:val="auto"/>
                <w:szCs w:val="22"/>
                <w:u w:val="none" w:color="auto"/>
                <w:lang w:val="en-US" w:eastAsia="zh-CN"/>
              </w:rPr>
              <w:t>非甲烷总烃</w:t>
            </w:r>
          </w:p>
        </w:tc>
        <w:tc>
          <w:tcPr>
            <w:tcW w:w="1633" w:type="dxa"/>
            <w:shd w:val="clear" w:color="auto" w:fill="auto"/>
            <w:noWrap w:val="0"/>
            <w:vAlign w:val="center"/>
          </w:tcPr>
          <w:p w14:paraId="0F8B84FF">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szCs w:val="21"/>
                <w:u w:val="single" w:color="auto"/>
                <w:lang w:val="en-US" w:eastAsia="zh-CN"/>
              </w:rPr>
              <w:t>0.0126</w:t>
            </w:r>
          </w:p>
        </w:tc>
        <w:tc>
          <w:tcPr>
            <w:tcW w:w="1312" w:type="dxa"/>
            <w:noWrap w:val="0"/>
            <w:vAlign w:val="center"/>
          </w:tcPr>
          <w:p w14:paraId="48B3CF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49" w:type="dxa"/>
            <w:noWrap w:val="0"/>
            <w:vAlign w:val="center"/>
          </w:tcPr>
          <w:p w14:paraId="48A4C3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noWrap w:val="0"/>
            <w:vAlign w:val="center"/>
          </w:tcPr>
          <w:p w14:paraId="36C2F9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bCs/>
                <w:color w:val="auto"/>
                <w:sz w:val="21"/>
                <w:szCs w:val="21"/>
                <w:u w:val="single" w:color="auto"/>
                <w:vertAlign w:val="baseline"/>
                <w:lang w:val="en-US" w:eastAsia="zh-CN"/>
              </w:rPr>
              <w:t>0.0281</w:t>
            </w:r>
          </w:p>
        </w:tc>
        <w:tc>
          <w:tcPr>
            <w:tcW w:w="1810" w:type="dxa"/>
            <w:noWrap w:val="0"/>
            <w:vAlign w:val="center"/>
          </w:tcPr>
          <w:p w14:paraId="4058DA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577E52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bCs/>
                <w:color w:val="auto"/>
                <w:sz w:val="21"/>
                <w:szCs w:val="21"/>
                <w:u w:val="single" w:color="auto"/>
                <w:vertAlign w:val="baseline"/>
                <w:lang w:val="en-US" w:eastAsia="zh-CN"/>
              </w:rPr>
              <w:t>0.0281</w:t>
            </w:r>
          </w:p>
        </w:tc>
        <w:tc>
          <w:tcPr>
            <w:tcW w:w="1047" w:type="dxa"/>
            <w:shd w:val="clear" w:color="auto" w:fill="auto"/>
            <w:noWrap w:val="0"/>
            <w:vAlign w:val="center"/>
          </w:tcPr>
          <w:p w14:paraId="008784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bCs/>
                <w:color w:val="auto"/>
                <w:sz w:val="21"/>
                <w:szCs w:val="21"/>
                <w:u w:val="single" w:color="auto"/>
                <w:vertAlign w:val="baseline"/>
                <w:lang w:val="en-US" w:eastAsia="zh-CN"/>
              </w:rPr>
              <w:t>+0.0155</w:t>
            </w:r>
          </w:p>
        </w:tc>
      </w:tr>
      <w:tr w14:paraId="32288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restart"/>
            <w:noWrap w:val="0"/>
            <w:vAlign w:val="center"/>
          </w:tcPr>
          <w:p w14:paraId="3455C7A9">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r>
              <w:rPr>
                <w:rFonts w:hint="default" w:ascii="Times New Roman" w:hAnsi="Times New Roman" w:cs="Times New Roman"/>
                <w:snapToGrid w:val="0"/>
                <w:color w:val="auto"/>
                <w:kern w:val="21"/>
                <w:szCs w:val="21"/>
                <w:u w:val="none" w:color="auto"/>
              </w:rPr>
              <w:t>废水</w:t>
            </w:r>
          </w:p>
        </w:tc>
        <w:tc>
          <w:tcPr>
            <w:tcW w:w="1701" w:type="dxa"/>
            <w:gridSpan w:val="2"/>
            <w:shd w:val="clear" w:color="auto" w:fill="auto"/>
            <w:noWrap w:val="0"/>
            <w:vAlign w:val="center"/>
          </w:tcPr>
          <w:p w14:paraId="57D893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color="auto"/>
                <w:lang w:val="en-US" w:eastAsia="zh-CN" w:bidi="ar"/>
              </w:rPr>
              <w:t>COD</w:t>
            </w:r>
          </w:p>
        </w:tc>
        <w:tc>
          <w:tcPr>
            <w:tcW w:w="1633" w:type="dxa"/>
            <w:shd w:val="clear" w:color="auto" w:fill="auto"/>
            <w:noWrap w:val="0"/>
            <w:vAlign w:val="center"/>
          </w:tcPr>
          <w:p w14:paraId="08BAD2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1.8868</w:t>
            </w:r>
          </w:p>
        </w:tc>
        <w:tc>
          <w:tcPr>
            <w:tcW w:w="1312" w:type="dxa"/>
            <w:shd w:val="clear" w:color="auto" w:fill="auto"/>
            <w:noWrap w:val="0"/>
            <w:vAlign w:val="center"/>
          </w:tcPr>
          <w:p w14:paraId="41B466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p>
        </w:tc>
        <w:tc>
          <w:tcPr>
            <w:tcW w:w="1749" w:type="dxa"/>
            <w:noWrap w:val="0"/>
            <w:vAlign w:val="center"/>
          </w:tcPr>
          <w:p w14:paraId="3D28C6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4235C6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2.5157</w:t>
            </w:r>
          </w:p>
        </w:tc>
        <w:tc>
          <w:tcPr>
            <w:tcW w:w="1810" w:type="dxa"/>
            <w:noWrap w:val="0"/>
            <w:vAlign w:val="center"/>
          </w:tcPr>
          <w:p w14:paraId="395501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3CB8B8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2.5157</w:t>
            </w:r>
          </w:p>
        </w:tc>
        <w:tc>
          <w:tcPr>
            <w:tcW w:w="1047" w:type="dxa"/>
            <w:shd w:val="clear" w:color="auto" w:fill="auto"/>
            <w:noWrap w:val="0"/>
            <w:vAlign w:val="center"/>
          </w:tcPr>
          <w:p w14:paraId="309632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2"/>
                <w:sz w:val="21"/>
                <w:szCs w:val="21"/>
                <w:u w:val="single" w:color="auto"/>
                <w:lang w:val="en-US" w:eastAsia="zh-CN" w:bidi="ar-SA"/>
              </w:rPr>
              <w:t>+0.6289</w:t>
            </w:r>
          </w:p>
        </w:tc>
      </w:tr>
      <w:tr w14:paraId="5F493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noWrap w:val="0"/>
            <w:vAlign w:val="center"/>
          </w:tcPr>
          <w:p w14:paraId="26AF8B88">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1C4035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color="auto"/>
                <w:lang w:val="en-US" w:eastAsia="zh-CN" w:bidi="ar"/>
              </w:rPr>
              <w:t>NH</w:t>
            </w:r>
            <w:r>
              <w:rPr>
                <w:rFonts w:hint="default" w:ascii="Times New Roman" w:hAnsi="Times New Roman" w:eastAsia="宋体" w:cs="Times New Roman"/>
                <w:i w:val="0"/>
                <w:iCs w:val="0"/>
                <w:color w:val="000000"/>
                <w:kern w:val="0"/>
                <w:sz w:val="21"/>
                <w:szCs w:val="21"/>
                <w:u w:val="none" w:color="auto"/>
                <w:vertAlign w:val="subscript"/>
                <w:lang w:val="en-US" w:eastAsia="zh-CN" w:bidi="ar"/>
              </w:rPr>
              <w:t>3</w:t>
            </w:r>
            <w:r>
              <w:rPr>
                <w:rFonts w:hint="default" w:ascii="Times New Roman" w:hAnsi="Times New Roman" w:eastAsia="宋体" w:cs="Times New Roman"/>
                <w:i w:val="0"/>
                <w:iCs w:val="0"/>
                <w:color w:val="000000"/>
                <w:kern w:val="0"/>
                <w:sz w:val="21"/>
                <w:szCs w:val="21"/>
                <w:u w:val="none" w:color="auto"/>
                <w:lang w:val="en-US" w:eastAsia="zh-CN" w:bidi="ar"/>
              </w:rPr>
              <w:t>-N</w:t>
            </w:r>
          </w:p>
        </w:tc>
        <w:tc>
          <w:tcPr>
            <w:tcW w:w="1633" w:type="dxa"/>
            <w:shd w:val="clear" w:color="auto" w:fill="auto"/>
            <w:noWrap w:val="0"/>
            <w:vAlign w:val="center"/>
          </w:tcPr>
          <w:p w14:paraId="4CBC57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0.2383</w:t>
            </w:r>
          </w:p>
        </w:tc>
        <w:tc>
          <w:tcPr>
            <w:tcW w:w="1312" w:type="dxa"/>
            <w:shd w:val="clear" w:color="auto" w:fill="auto"/>
            <w:noWrap w:val="0"/>
            <w:vAlign w:val="center"/>
          </w:tcPr>
          <w:p w14:paraId="7FB48C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p>
        </w:tc>
        <w:tc>
          <w:tcPr>
            <w:tcW w:w="1749" w:type="dxa"/>
            <w:noWrap w:val="0"/>
            <w:vAlign w:val="center"/>
          </w:tcPr>
          <w:p w14:paraId="4DD67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248BE2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0.3177</w:t>
            </w:r>
          </w:p>
        </w:tc>
        <w:tc>
          <w:tcPr>
            <w:tcW w:w="1810" w:type="dxa"/>
            <w:noWrap w:val="0"/>
            <w:vAlign w:val="center"/>
          </w:tcPr>
          <w:p w14:paraId="429E8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16EEFA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0.3177</w:t>
            </w:r>
          </w:p>
        </w:tc>
        <w:tc>
          <w:tcPr>
            <w:tcW w:w="1047" w:type="dxa"/>
            <w:shd w:val="clear" w:color="auto" w:fill="auto"/>
            <w:noWrap w:val="0"/>
            <w:vAlign w:val="center"/>
          </w:tcPr>
          <w:p w14:paraId="5B1F99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2"/>
                <w:sz w:val="21"/>
                <w:szCs w:val="21"/>
                <w:u w:val="single" w:color="auto"/>
                <w:lang w:val="en-US" w:eastAsia="zh-CN" w:bidi="ar-SA"/>
              </w:rPr>
              <w:t>+0.0794</w:t>
            </w:r>
          </w:p>
        </w:tc>
      </w:tr>
      <w:tr w14:paraId="520FA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noWrap w:val="0"/>
            <w:vAlign w:val="center"/>
          </w:tcPr>
          <w:p w14:paraId="08F9C751">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4F93D3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color="auto"/>
                <w:lang w:val="en-US" w:eastAsia="zh-CN" w:bidi="ar"/>
              </w:rPr>
              <w:t>TN</w:t>
            </w:r>
          </w:p>
        </w:tc>
        <w:tc>
          <w:tcPr>
            <w:tcW w:w="1633" w:type="dxa"/>
            <w:shd w:val="clear" w:color="auto" w:fill="auto"/>
            <w:noWrap w:val="0"/>
            <w:vAlign w:val="center"/>
          </w:tcPr>
          <w:p w14:paraId="6AC712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0.3890</w:t>
            </w:r>
          </w:p>
        </w:tc>
        <w:tc>
          <w:tcPr>
            <w:tcW w:w="1312" w:type="dxa"/>
            <w:shd w:val="clear" w:color="auto" w:fill="auto"/>
            <w:noWrap w:val="0"/>
            <w:vAlign w:val="center"/>
          </w:tcPr>
          <w:p w14:paraId="3D4277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p>
        </w:tc>
        <w:tc>
          <w:tcPr>
            <w:tcW w:w="1749" w:type="dxa"/>
            <w:noWrap w:val="0"/>
            <w:vAlign w:val="center"/>
          </w:tcPr>
          <w:p w14:paraId="5FBA52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4F11D0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0.5186</w:t>
            </w:r>
          </w:p>
        </w:tc>
        <w:tc>
          <w:tcPr>
            <w:tcW w:w="1810" w:type="dxa"/>
            <w:noWrap w:val="0"/>
            <w:vAlign w:val="center"/>
          </w:tcPr>
          <w:p w14:paraId="665D5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41EAA1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0.5186</w:t>
            </w:r>
          </w:p>
        </w:tc>
        <w:tc>
          <w:tcPr>
            <w:tcW w:w="1047" w:type="dxa"/>
            <w:shd w:val="clear" w:color="auto" w:fill="auto"/>
            <w:noWrap w:val="0"/>
            <w:vAlign w:val="center"/>
          </w:tcPr>
          <w:p w14:paraId="5CD980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eastAsia" w:ascii="Times New Roman" w:hAnsi="Times New Roman" w:eastAsia="宋体" w:cs="Times New Roman"/>
                <w:i w:val="0"/>
                <w:iCs w:val="0"/>
                <w:color w:val="000000"/>
                <w:kern w:val="2"/>
                <w:sz w:val="21"/>
                <w:szCs w:val="21"/>
                <w:u w:val="single" w:color="auto"/>
                <w:lang w:val="en-US" w:eastAsia="zh-CN" w:bidi="ar-SA"/>
              </w:rPr>
              <w:t>+0.1296</w:t>
            </w:r>
          </w:p>
        </w:tc>
      </w:tr>
      <w:tr w14:paraId="09DAF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noWrap w:val="0"/>
            <w:vAlign w:val="center"/>
          </w:tcPr>
          <w:p w14:paraId="4B246BCC">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73A4E7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color="auto"/>
                <w:lang w:val="en-US" w:eastAsia="zh-CN" w:bidi="ar"/>
              </w:rPr>
              <w:t>TP</w:t>
            </w:r>
          </w:p>
        </w:tc>
        <w:tc>
          <w:tcPr>
            <w:tcW w:w="1633" w:type="dxa"/>
            <w:shd w:val="clear" w:color="auto" w:fill="auto"/>
            <w:noWrap w:val="0"/>
            <w:vAlign w:val="center"/>
          </w:tcPr>
          <w:p w14:paraId="45F1C3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0.0345</w:t>
            </w:r>
          </w:p>
        </w:tc>
        <w:tc>
          <w:tcPr>
            <w:tcW w:w="1312" w:type="dxa"/>
            <w:shd w:val="clear" w:color="auto" w:fill="auto"/>
            <w:noWrap w:val="0"/>
            <w:vAlign w:val="center"/>
          </w:tcPr>
          <w:p w14:paraId="217AF0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p>
        </w:tc>
        <w:tc>
          <w:tcPr>
            <w:tcW w:w="1749" w:type="dxa"/>
            <w:noWrap w:val="0"/>
            <w:vAlign w:val="center"/>
          </w:tcPr>
          <w:p w14:paraId="011C5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603EB5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0.0460</w:t>
            </w:r>
          </w:p>
        </w:tc>
        <w:tc>
          <w:tcPr>
            <w:tcW w:w="1810" w:type="dxa"/>
            <w:noWrap w:val="0"/>
            <w:vAlign w:val="center"/>
          </w:tcPr>
          <w:p w14:paraId="7E1E93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4C47E7F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0.0460</w:t>
            </w:r>
          </w:p>
        </w:tc>
        <w:tc>
          <w:tcPr>
            <w:tcW w:w="1047" w:type="dxa"/>
            <w:shd w:val="clear" w:color="auto" w:fill="auto"/>
            <w:noWrap w:val="0"/>
            <w:vAlign w:val="center"/>
          </w:tcPr>
          <w:p w14:paraId="7D8B337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eastAsia" w:ascii="Times New Roman" w:hAnsi="Times New Roman" w:eastAsia="宋体" w:cs="Times New Roman"/>
                <w:i w:val="0"/>
                <w:iCs w:val="0"/>
                <w:color w:val="000000"/>
                <w:kern w:val="2"/>
                <w:sz w:val="21"/>
                <w:szCs w:val="21"/>
                <w:u w:val="single" w:color="auto"/>
                <w:lang w:val="en-US" w:eastAsia="zh-CN" w:bidi="ar-SA"/>
              </w:rPr>
              <w:t>+0.0115</w:t>
            </w:r>
          </w:p>
        </w:tc>
      </w:tr>
      <w:tr w14:paraId="4EE19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restart"/>
            <w:noWrap w:val="0"/>
            <w:vAlign w:val="center"/>
          </w:tcPr>
          <w:p w14:paraId="10BEAFED">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r>
              <w:rPr>
                <w:rFonts w:hint="default" w:ascii="Times New Roman" w:hAnsi="Times New Roman" w:cs="Times New Roman"/>
                <w:snapToGrid w:val="0"/>
                <w:color w:val="auto"/>
                <w:kern w:val="21"/>
                <w:szCs w:val="21"/>
                <w:u w:val="none" w:color="auto"/>
              </w:rPr>
              <w:t>一般工业</w:t>
            </w:r>
          </w:p>
          <w:p w14:paraId="129BDE6D">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r>
              <w:rPr>
                <w:rFonts w:hint="default" w:ascii="Times New Roman" w:hAnsi="Times New Roman" w:cs="Times New Roman"/>
                <w:snapToGrid w:val="0"/>
                <w:color w:val="auto"/>
                <w:kern w:val="21"/>
                <w:szCs w:val="21"/>
                <w:u w:val="none" w:color="auto"/>
              </w:rPr>
              <w:t>固体废物</w:t>
            </w:r>
          </w:p>
        </w:tc>
        <w:tc>
          <w:tcPr>
            <w:tcW w:w="1701" w:type="dxa"/>
            <w:gridSpan w:val="2"/>
            <w:shd w:val="clear" w:color="auto" w:fill="auto"/>
            <w:noWrap w:val="0"/>
            <w:vAlign w:val="center"/>
          </w:tcPr>
          <w:p w14:paraId="3ADFA85A">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color="auto"/>
                <w:lang w:val="en-US" w:eastAsia="zh-CN" w:bidi="ar-SA"/>
              </w:rPr>
            </w:pPr>
            <w:r>
              <w:rPr>
                <w:rFonts w:hint="eastAsia" w:ascii="Times New Roman" w:hAnsi="Times New Roman" w:eastAsia="宋体" w:cs="Times New Roman"/>
                <w:b w:val="0"/>
                <w:bCs w:val="0"/>
                <w:color w:val="auto"/>
                <w:kern w:val="2"/>
                <w:sz w:val="21"/>
                <w:szCs w:val="24"/>
                <w:u w:val="none" w:color="auto"/>
                <w:lang w:val="en-US" w:eastAsia="zh-CN" w:bidi="ar-SA"/>
              </w:rPr>
              <w:t>生活垃圾</w:t>
            </w:r>
          </w:p>
        </w:tc>
        <w:tc>
          <w:tcPr>
            <w:tcW w:w="1633" w:type="dxa"/>
            <w:shd w:val="clear" w:color="auto" w:fill="auto"/>
            <w:noWrap w:val="0"/>
            <w:vAlign w:val="center"/>
          </w:tcPr>
          <w:p w14:paraId="698DBFB8">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45</w:t>
            </w:r>
          </w:p>
        </w:tc>
        <w:tc>
          <w:tcPr>
            <w:tcW w:w="1312" w:type="dxa"/>
            <w:shd w:val="clear" w:color="auto" w:fill="auto"/>
            <w:noWrap w:val="0"/>
            <w:vAlign w:val="center"/>
          </w:tcPr>
          <w:p w14:paraId="4F4D9B38">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p>
        </w:tc>
        <w:tc>
          <w:tcPr>
            <w:tcW w:w="1749" w:type="dxa"/>
            <w:noWrap w:val="0"/>
            <w:vAlign w:val="center"/>
          </w:tcPr>
          <w:p w14:paraId="3D7709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08E6D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60</w:t>
            </w:r>
          </w:p>
        </w:tc>
        <w:tc>
          <w:tcPr>
            <w:tcW w:w="1810" w:type="dxa"/>
            <w:noWrap w:val="0"/>
            <w:vAlign w:val="center"/>
          </w:tcPr>
          <w:p w14:paraId="3CF104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6022E9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60</w:t>
            </w:r>
          </w:p>
        </w:tc>
        <w:tc>
          <w:tcPr>
            <w:tcW w:w="1047" w:type="dxa"/>
            <w:shd w:val="clear" w:color="auto" w:fill="auto"/>
            <w:noWrap w:val="0"/>
            <w:vAlign w:val="center"/>
          </w:tcPr>
          <w:p w14:paraId="5F88C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Cs/>
                <w:color w:val="auto"/>
                <w:kern w:val="2"/>
                <w:sz w:val="21"/>
                <w:szCs w:val="21"/>
                <w:u w:val="single" w:color="auto"/>
                <w:vertAlign w:val="baseline"/>
                <w:lang w:val="en-US" w:eastAsia="zh-CN" w:bidi="ar-SA"/>
              </w:rPr>
              <w:t>+15</w:t>
            </w:r>
          </w:p>
        </w:tc>
      </w:tr>
      <w:tr w14:paraId="220A9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noWrap w:val="0"/>
            <w:vAlign w:val="center"/>
          </w:tcPr>
          <w:p w14:paraId="3EDF91A7">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7CAC85B7">
            <w:pPr>
              <w:pStyle w:val="4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4"/>
                <w:u w:val="none" w:color="auto"/>
                <w:lang w:val="en-US" w:eastAsia="zh-CN" w:bidi="ar-SA"/>
              </w:rPr>
            </w:pPr>
            <w:r>
              <w:rPr>
                <w:rFonts w:hint="eastAsia" w:ascii="Times New Roman" w:hAnsi="Times New Roman" w:eastAsia="宋体" w:cs="Times New Roman"/>
                <w:b w:val="0"/>
                <w:bCs w:val="0"/>
                <w:color w:val="auto"/>
                <w:kern w:val="2"/>
                <w:sz w:val="21"/>
                <w:szCs w:val="24"/>
                <w:u w:val="none" w:color="auto"/>
                <w:lang w:val="en-US" w:eastAsia="zh-CN" w:bidi="ar-SA"/>
              </w:rPr>
              <w:t>废包装</w:t>
            </w:r>
            <w:r>
              <w:rPr>
                <w:rFonts w:hint="eastAsia" w:cs="Times New Roman"/>
                <w:b w:val="0"/>
                <w:bCs w:val="0"/>
                <w:color w:val="auto"/>
                <w:kern w:val="2"/>
                <w:sz w:val="21"/>
                <w:szCs w:val="24"/>
                <w:u w:val="none" w:color="auto"/>
                <w:lang w:val="en-US" w:eastAsia="zh-CN" w:bidi="ar-SA"/>
              </w:rPr>
              <w:t>材料</w:t>
            </w:r>
          </w:p>
        </w:tc>
        <w:tc>
          <w:tcPr>
            <w:tcW w:w="1633" w:type="dxa"/>
            <w:shd w:val="clear" w:color="auto" w:fill="auto"/>
            <w:noWrap w:val="0"/>
            <w:vAlign w:val="center"/>
          </w:tcPr>
          <w:p w14:paraId="4460F46E">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5</w:t>
            </w:r>
          </w:p>
        </w:tc>
        <w:tc>
          <w:tcPr>
            <w:tcW w:w="1312" w:type="dxa"/>
            <w:shd w:val="clear" w:color="auto" w:fill="auto"/>
            <w:noWrap w:val="0"/>
            <w:vAlign w:val="center"/>
          </w:tcPr>
          <w:p w14:paraId="34973A1F">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p>
        </w:tc>
        <w:tc>
          <w:tcPr>
            <w:tcW w:w="1749" w:type="dxa"/>
            <w:noWrap w:val="0"/>
            <w:vAlign w:val="center"/>
          </w:tcPr>
          <w:p w14:paraId="372405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652C41B9">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10</w:t>
            </w:r>
          </w:p>
        </w:tc>
        <w:tc>
          <w:tcPr>
            <w:tcW w:w="1810" w:type="dxa"/>
            <w:noWrap w:val="0"/>
            <w:vAlign w:val="center"/>
          </w:tcPr>
          <w:p w14:paraId="71B63E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4094CC5B">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10</w:t>
            </w:r>
          </w:p>
        </w:tc>
        <w:tc>
          <w:tcPr>
            <w:tcW w:w="1047" w:type="dxa"/>
            <w:shd w:val="clear" w:color="auto" w:fill="auto"/>
            <w:noWrap w:val="0"/>
            <w:vAlign w:val="center"/>
          </w:tcPr>
          <w:p w14:paraId="3209676F">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+5</w:t>
            </w:r>
          </w:p>
        </w:tc>
      </w:tr>
      <w:tr w14:paraId="3D8F2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04" w:type="dxa"/>
            <w:vMerge w:val="continue"/>
            <w:noWrap w:val="0"/>
            <w:vAlign w:val="center"/>
          </w:tcPr>
          <w:p w14:paraId="7AE90119">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3CFC23D0">
            <w:pPr>
              <w:pStyle w:val="4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4"/>
                <w:u w:val="none" w:color="auto"/>
                <w:lang w:val="en-US" w:eastAsia="zh-CN" w:bidi="ar-SA"/>
              </w:rPr>
            </w:pPr>
            <w:r>
              <w:rPr>
                <w:rFonts w:hint="eastAsia" w:ascii="Times New Roman" w:hAnsi="Times New Roman" w:eastAsia="宋体" w:cs="Times New Roman"/>
                <w:b w:val="0"/>
                <w:bCs w:val="0"/>
                <w:color w:val="auto"/>
                <w:kern w:val="2"/>
                <w:sz w:val="21"/>
                <w:szCs w:val="24"/>
                <w:u w:val="none" w:color="auto"/>
                <w:lang w:val="en-US" w:eastAsia="zh-CN" w:bidi="ar-SA"/>
              </w:rPr>
              <w:t>废</w:t>
            </w:r>
            <w:r>
              <w:rPr>
                <w:rFonts w:hint="eastAsia" w:cs="Times New Roman"/>
                <w:b w:val="0"/>
                <w:bCs w:val="0"/>
                <w:color w:val="auto"/>
                <w:kern w:val="2"/>
                <w:sz w:val="21"/>
                <w:szCs w:val="24"/>
                <w:u w:val="none" w:color="auto"/>
                <w:lang w:val="en-US" w:eastAsia="zh-CN" w:bidi="ar-SA"/>
              </w:rPr>
              <w:t>水性淬火剂桶</w:t>
            </w:r>
          </w:p>
        </w:tc>
        <w:tc>
          <w:tcPr>
            <w:tcW w:w="1633" w:type="dxa"/>
            <w:shd w:val="clear" w:color="auto" w:fill="auto"/>
            <w:noWrap w:val="0"/>
            <w:vAlign w:val="center"/>
          </w:tcPr>
          <w:p w14:paraId="4D6C4E91">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0.18</w:t>
            </w:r>
          </w:p>
        </w:tc>
        <w:tc>
          <w:tcPr>
            <w:tcW w:w="1312" w:type="dxa"/>
            <w:shd w:val="clear" w:color="auto" w:fill="auto"/>
            <w:noWrap w:val="0"/>
            <w:vAlign w:val="center"/>
          </w:tcPr>
          <w:p w14:paraId="6D6D894C">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p>
        </w:tc>
        <w:tc>
          <w:tcPr>
            <w:tcW w:w="1749" w:type="dxa"/>
            <w:noWrap w:val="0"/>
            <w:vAlign w:val="center"/>
          </w:tcPr>
          <w:p w14:paraId="666CA2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5F50C8DF">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0.36</w:t>
            </w:r>
          </w:p>
        </w:tc>
        <w:tc>
          <w:tcPr>
            <w:tcW w:w="1810" w:type="dxa"/>
            <w:noWrap w:val="0"/>
            <w:vAlign w:val="center"/>
          </w:tcPr>
          <w:p w14:paraId="5868C3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3D08264A">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0.36</w:t>
            </w:r>
          </w:p>
        </w:tc>
        <w:tc>
          <w:tcPr>
            <w:tcW w:w="1047" w:type="dxa"/>
            <w:shd w:val="clear" w:color="auto" w:fill="auto"/>
            <w:noWrap w:val="0"/>
            <w:vAlign w:val="center"/>
          </w:tcPr>
          <w:p w14:paraId="19BE4C91">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+0.18</w:t>
            </w:r>
          </w:p>
        </w:tc>
      </w:tr>
      <w:tr w14:paraId="0675BF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504" w:type="dxa"/>
            <w:vMerge w:val="restart"/>
            <w:noWrap w:val="0"/>
            <w:vAlign w:val="center"/>
          </w:tcPr>
          <w:p w14:paraId="540F8591">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r>
              <w:rPr>
                <w:rFonts w:hint="default" w:ascii="Times New Roman" w:hAnsi="Times New Roman" w:cs="Times New Roman"/>
                <w:snapToGrid w:val="0"/>
                <w:color w:val="auto"/>
                <w:kern w:val="21"/>
                <w:szCs w:val="21"/>
                <w:u w:val="none" w:color="auto"/>
              </w:rPr>
              <w:t>危险废物</w:t>
            </w:r>
          </w:p>
        </w:tc>
        <w:tc>
          <w:tcPr>
            <w:tcW w:w="1701" w:type="dxa"/>
            <w:gridSpan w:val="2"/>
            <w:shd w:val="clear" w:color="auto" w:fill="auto"/>
            <w:noWrap w:val="0"/>
            <w:vAlign w:val="center"/>
          </w:tcPr>
          <w:p w14:paraId="25212AA3">
            <w:pPr>
              <w:pStyle w:val="4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4"/>
                <w:u w:val="none" w:color="auto"/>
                <w:lang w:val="en-US" w:eastAsia="zh-CN" w:bidi="ar-SA"/>
              </w:rPr>
            </w:pPr>
            <w:r>
              <w:rPr>
                <w:rFonts w:hint="eastAsia" w:cs="Times New Roman"/>
                <w:b w:val="0"/>
                <w:bCs w:val="0"/>
                <w:color w:val="auto"/>
                <w:kern w:val="2"/>
                <w:sz w:val="21"/>
                <w:szCs w:val="24"/>
                <w:u w:val="none" w:color="auto"/>
                <w:lang w:val="en-US" w:eastAsia="zh-CN" w:bidi="ar-SA"/>
              </w:rPr>
              <w:t>废铁屑</w:t>
            </w:r>
          </w:p>
        </w:tc>
        <w:tc>
          <w:tcPr>
            <w:tcW w:w="1633" w:type="dxa"/>
            <w:shd w:val="clear" w:color="auto" w:fill="auto"/>
            <w:noWrap w:val="0"/>
            <w:vAlign w:val="center"/>
          </w:tcPr>
          <w:p w14:paraId="6B2A4E7E">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16.16</w:t>
            </w:r>
          </w:p>
        </w:tc>
        <w:tc>
          <w:tcPr>
            <w:tcW w:w="1312" w:type="dxa"/>
            <w:shd w:val="clear" w:color="auto" w:fill="auto"/>
            <w:noWrap w:val="0"/>
            <w:vAlign w:val="center"/>
          </w:tcPr>
          <w:p w14:paraId="095C29AF">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p>
        </w:tc>
        <w:tc>
          <w:tcPr>
            <w:tcW w:w="1749" w:type="dxa"/>
            <w:noWrap w:val="0"/>
            <w:vAlign w:val="center"/>
          </w:tcPr>
          <w:p w14:paraId="57973F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3C7A5C23">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33.31</w:t>
            </w:r>
          </w:p>
        </w:tc>
        <w:tc>
          <w:tcPr>
            <w:tcW w:w="1810" w:type="dxa"/>
            <w:noWrap w:val="0"/>
            <w:vAlign w:val="center"/>
          </w:tcPr>
          <w:p w14:paraId="0135F5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14540CE7">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33.31</w:t>
            </w:r>
          </w:p>
        </w:tc>
        <w:tc>
          <w:tcPr>
            <w:tcW w:w="1047" w:type="dxa"/>
            <w:shd w:val="clear" w:color="auto" w:fill="auto"/>
            <w:noWrap w:val="0"/>
            <w:vAlign w:val="center"/>
          </w:tcPr>
          <w:p w14:paraId="28DF4DC5">
            <w:pPr>
              <w:pStyle w:val="4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+17.15</w:t>
            </w:r>
          </w:p>
        </w:tc>
      </w:tr>
      <w:tr w14:paraId="03B9CE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504" w:type="dxa"/>
            <w:vMerge w:val="continue"/>
            <w:noWrap w:val="0"/>
            <w:vAlign w:val="center"/>
          </w:tcPr>
          <w:p w14:paraId="5F7C92FF">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1CE8A5A7">
            <w:pPr>
              <w:pStyle w:val="42"/>
              <w:keepNext w:val="0"/>
              <w:keepLines w:val="0"/>
              <w:suppressLineNumbers w:val="0"/>
              <w:spacing w:before="0" w:beforeAutospacing="0" w:after="0" w:afterAutospacing="0"/>
              <w:ind w:left="0" w:leftChars="0" w:right="0" w:rightChars="0" w:firstLine="0" w:firstLineChars="0"/>
              <w:rPr>
                <w:rFonts w:hint="default" w:cs="Times New Roman"/>
                <w:b w:val="0"/>
                <w:bCs w:val="0"/>
                <w:color w:val="auto"/>
                <w:kern w:val="2"/>
                <w:sz w:val="21"/>
                <w:szCs w:val="24"/>
                <w:u w:val="none" w:color="auto"/>
                <w:lang w:val="en-US" w:eastAsia="zh-CN" w:bidi="ar-SA"/>
              </w:rPr>
            </w:pPr>
            <w:r>
              <w:rPr>
                <w:rFonts w:hint="eastAsia" w:cs="Times New Roman"/>
                <w:b w:val="0"/>
                <w:bCs w:val="0"/>
                <w:color w:val="auto"/>
                <w:kern w:val="2"/>
                <w:sz w:val="21"/>
                <w:szCs w:val="24"/>
                <w:u w:val="none" w:color="auto"/>
                <w:lang w:val="en-US" w:eastAsia="zh-CN" w:bidi="ar-SA"/>
              </w:rPr>
              <w:t>清洗废液</w:t>
            </w:r>
          </w:p>
        </w:tc>
        <w:tc>
          <w:tcPr>
            <w:tcW w:w="1633" w:type="dxa"/>
            <w:shd w:val="clear" w:color="auto" w:fill="auto"/>
            <w:noWrap w:val="0"/>
            <w:vAlign w:val="center"/>
          </w:tcPr>
          <w:p w14:paraId="32924A70">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w:t>
            </w:r>
          </w:p>
        </w:tc>
        <w:tc>
          <w:tcPr>
            <w:tcW w:w="1312" w:type="dxa"/>
            <w:shd w:val="clear" w:color="auto" w:fill="auto"/>
            <w:noWrap w:val="0"/>
            <w:vAlign w:val="center"/>
          </w:tcPr>
          <w:p w14:paraId="4F43AC11">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p>
        </w:tc>
        <w:tc>
          <w:tcPr>
            <w:tcW w:w="1749" w:type="dxa"/>
            <w:noWrap w:val="0"/>
            <w:vAlign w:val="center"/>
          </w:tcPr>
          <w:p w14:paraId="0D1833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4EA75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24</w:t>
            </w:r>
          </w:p>
        </w:tc>
        <w:tc>
          <w:tcPr>
            <w:tcW w:w="1810" w:type="dxa"/>
            <w:noWrap w:val="0"/>
            <w:vAlign w:val="center"/>
          </w:tcPr>
          <w:p w14:paraId="244DCE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01A7E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24</w:t>
            </w:r>
          </w:p>
        </w:tc>
        <w:tc>
          <w:tcPr>
            <w:tcW w:w="1047" w:type="dxa"/>
            <w:shd w:val="clear" w:color="auto" w:fill="auto"/>
            <w:noWrap w:val="0"/>
            <w:vAlign w:val="center"/>
          </w:tcPr>
          <w:p w14:paraId="3883C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 w:val="0"/>
                <w:bCs w:val="0"/>
                <w:color w:val="auto"/>
                <w:kern w:val="2"/>
                <w:sz w:val="21"/>
                <w:szCs w:val="24"/>
                <w:u w:val="none"/>
                <w:lang w:val="en-US" w:eastAsia="zh-CN" w:bidi="ar-SA"/>
              </w:rPr>
            </w:pPr>
            <w:r>
              <w:rPr>
                <w:rFonts w:hint="eastAsia" w:ascii="Times New Roman" w:hAnsi="Times New Roman" w:eastAsia="宋体" w:cs="Times New Roman"/>
                <w:bCs/>
                <w:color w:val="auto"/>
                <w:kern w:val="2"/>
                <w:sz w:val="21"/>
                <w:szCs w:val="21"/>
                <w:u w:val="single" w:color="auto"/>
                <w:vertAlign w:val="baseline"/>
                <w:lang w:val="en-US" w:eastAsia="zh-CN" w:bidi="ar-SA"/>
              </w:rPr>
              <w:t>+24</w:t>
            </w:r>
          </w:p>
        </w:tc>
      </w:tr>
      <w:tr w14:paraId="140C0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504" w:type="dxa"/>
            <w:vMerge w:val="continue"/>
            <w:noWrap w:val="0"/>
            <w:vAlign w:val="center"/>
          </w:tcPr>
          <w:p w14:paraId="42683B26">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084F65AE">
            <w:pPr>
              <w:pStyle w:val="42"/>
              <w:keepNext w:val="0"/>
              <w:keepLines w:val="0"/>
              <w:suppressLineNumbers w:val="0"/>
              <w:spacing w:before="0" w:beforeAutospacing="0" w:after="0" w:afterAutospacing="0"/>
              <w:ind w:left="0" w:leftChars="0" w:right="0" w:rightChars="0" w:firstLine="0" w:firstLineChars="0"/>
              <w:rPr>
                <w:rFonts w:hint="default" w:cs="Times New Roman"/>
                <w:b w:val="0"/>
                <w:bCs w:val="0"/>
                <w:color w:val="auto"/>
                <w:kern w:val="2"/>
                <w:sz w:val="21"/>
                <w:szCs w:val="24"/>
                <w:u w:val="none" w:color="auto"/>
                <w:lang w:val="en-US" w:eastAsia="zh-CN" w:bidi="ar-SA"/>
              </w:rPr>
            </w:pPr>
            <w:r>
              <w:rPr>
                <w:rFonts w:hint="eastAsia" w:cs="Times New Roman"/>
                <w:b w:val="0"/>
                <w:bCs w:val="0"/>
                <w:color w:val="auto"/>
                <w:kern w:val="2"/>
                <w:sz w:val="21"/>
                <w:szCs w:val="24"/>
                <w:u w:val="none" w:color="auto"/>
                <w:lang w:val="en-US" w:eastAsia="zh-CN" w:bidi="ar-SA"/>
              </w:rPr>
              <w:t>隔油渣</w:t>
            </w:r>
          </w:p>
        </w:tc>
        <w:tc>
          <w:tcPr>
            <w:tcW w:w="1633" w:type="dxa"/>
            <w:shd w:val="clear" w:color="auto" w:fill="auto"/>
            <w:noWrap w:val="0"/>
            <w:vAlign w:val="center"/>
          </w:tcPr>
          <w:p w14:paraId="2BE53C5F">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w:t>
            </w:r>
          </w:p>
        </w:tc>
        <w:tc>
          <w:tcPr>
            <w:tcW w:w="1312" w:type="dxa"/>
            <w:shd w:val="clear" w:color="auto" w:fill="auto"/>
            <w:noWrap w:val="0"/>
            <w:vAlign w:val="center"/>
          </w:tcPr>
          <w:p w14:paraId="603290A4">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p>
        </w:tc>
        <w:tc>
          <w:tcPr>
            <w:tcW w:w="1749" w:type="dxa"/>
            <w:noWrap w:val="0"/>
            <w:vAlign w:val="center"/>
          </w:tcPr>
          <w:p w14:paraId="098CF2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21B034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0.2</w:t>
            </w:r>
          </w:p>
        </w:tc>
        <w:tc>
          <w:tcPr>
            <w:tcW w:w="1810" w:type="dxa"/>
            <w:noWrap w:val="0"/>
            <w:vAlign w:val="center"/>
          </w:tcPr>
          <w:p w14:paraId="04A2FE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458CF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0.2</w:t>
            </w:r>
          </w:p>
        </w:tc>
        <w:tc>
          <w:tcPr>
            <w:tcW w:w="1047" w:type="dxa"/>
            <w:shd w:val="clear" w:color="auto" w:fill="auto"/>
            <w:noWrap w:val="0"/>
            <w:vAlign w:val="center"/>
          </w:tcPr>
          <w:p w14:paraId="7C74DE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u w:val="single" w:color="auto"/>
                <w:vertAlign w:val="baseline"/>
                <w:lang w:val="en-US" w:eastAsia="zh-CN" w:bidi="ar-SA"/>
              </w:rPr>
            </w:pPr>
            <w:r>
              <w:rPr>
                <w:rFonts w:hint="eastAsia" w:cs="Times New Roman"/>
                <w:bCs/>
                <w:color w:val="auto"/>
                <w:kern w:val="2"/>
                <w:sz w:val="21"/>
                <w:szCs w:val="21"/>
                <w:u w:val="single" w:color="auto"/>
                <w:vertAlign w:val="baseline"/>
                <w:lang w:val="en-US" w:eastAsia="zh-CN" w:bidi="ar-SA"/>
              </w:rPr>
              <w:t>+0.2</w:t>
            </w:r>
          </w:p>
        </w:tc>
      </w:tr>
      <w:tr w14:paraId="0BDBE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504" w:type="dxa"/>
            <w:vMerge w:val="continue"/>
            <w:noWrap w:val="0"/>
            <w:vAlign w:val="center"/>
          </w:tcPr>
          <w:p w14:paraId="3ADD0768">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5EC03D1D">
            <w:pPr>
              <w:pStyle w:val="42"/>
              <w:keepNext w:val="0"/>
              <w:keepLines w:val="0"/>
              <w:suppressLineNumbers w:val="0"/>
              <w:spacing w:before="0" w:beforeAutospacing="0" w:after="0" w:afterAutospacing="0"/>
              <w:ind w:left="0" w:leftChars="0" w:right="0" w:rightChars="0" w:firstLine="0" w:firstLineChars="0"/>
              <w:rPr>
                <w:rFonts w:hint="default" w:cs="Times New Roman"/>
                <w:b w:val="0"/>
                <w:bCs w:val="0"/>
                <w:color w:val="auto"/>
                <w:kern w:val="2"/>
                <w:sz w:val="21"/>
                <w:szCs w:val="24"/>
                <w:u w:val="none" w:color="auto"/>
                <w:lang w:val="en-US" w:eastAsia="zh-CN" w:bidi="ar-SA"/>
              </w:rPr>
            </w:pPr>
            <w:r>
              <w:rPr>
                <w:rFonts w:hint="eastAsia" w:cs="Times New Roman"/>
                <w:b w:val="0"/>
                <w:bCs w:val="0"/>
                <w:color w:val="auto"/>
                <w:kern w:val="2"/>
                <w:sz w:val="21"/>
                <w:szCs w:val="24"/>
                <w:u w:val="none" w:color="auto"/>
                <w:lang w:val="en-US" w:eastAsia="zh-CN" w:bidi="ar-SA"/>
              </w:rPr>
              <w:t>废滤芯</w:t>
            </w:r>
          </w:p>
        </w:tc>
        <w:tc>
          <w:tcPr>
            <w:tcW w:w="1633" w:type="dxa"/>
            <w:shd w:val="clear" w:color="auto" w:fill="auto"/>
            <w:noWrap w:val="0"/>
            <w:vAlign w:val="center"/>
          </w:tcPr>
          <w:p w14:paraId="7AF3BF52">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2.809</w:t>
            </w:r>
          </w:p>
        </w:tc>
        <w:tc>
          <w:tcPr>
            <w:tcW w:w="1312" w:type="dxa"/>
            <w:shd w:val="clear" w:color="auto" w:fill="auto"/>
            <w:noWrap w:val="0"/>
            <w:vAlign w:val="center"/>
          </w:tcPr>
          <w:p w14:paraId="09935A1C">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p>
        </w:tc>
        <w:tc>
          <w:tcPr>
            <w:tcW w:w="1749" w:type="dxa"/>
            <w:noWrap w:val="0"/>
            <w:vAlign w:val="center"/>
          </w:tcPr>
          <w:p w14:paraId="45A96C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1D5B11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2.809</w:t>
            </w:r>
          </w:p>
        </w:tc>
        <w:tc>
          <w:tcPr>
            <w:tcW w:w="1810" w:type="dxa"/>
            <w:noWrap w:val="0"/>
            <w:vAlign w:val="center"/>
          </w:tcPr>
          <w:p w14:paraId="34AB30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6672B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2.809</w:t>
            </w:r>
          </w:p>
        </w:tc>
        <w:tc>
          <w:tcPr>
            <w:tcW w:w="1047" w:type="dxa"/>
            <w:shd w:val="clear" w:color="auto" w:fill="auto"/>
            <w:noWrap w:val="0"/>
            <w:vAlign w:val="center"/>
          </w:tcPr>
          <w:p w14:paraId="62A76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Cs/>
                <w:color w:val="auto"/>
                <w:kern w:val="2"/>
                <w:sz w:val="21"/>
                <w:szCs w:val="21"/>
                <w:u w:val="single" w:color="auto"/>
                <w:vertAlign w:val="baseline"/>
                <w:lang w:val="en-US" w:eastAsia="zh-CN" w:bidi="ar-SA"/>
              </w:rPr>
            </w:pPr>
            <w:r>
              <w:rPr>
                <w:rFonts w:hint="eastAsia" w:cs="Times New Roman"/>
                <w:bCs/>
                <w:color w:val="auto"/>
                <w:kern w:val="2"/>
                <w:sz w:val="21"/>
                <w:szCs w:val="21"/>
                <w:u w:val="single" w:color="auto"/>
                <w:vertAlign w:val="baseline"/>
                <w:lang w:val="en-US" w:eastAsia="zh-CN" w:bidi="ar-SA"/>
              </w:rPr>
              <w:t>/</w:t>
            </w:r>
          </w:p>
        </w:tc>
      </w:tr>
      <w:tr w14:paraId="72604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noWrap w:val="0"/>
            <w:vAlign w:val="center"/>
          </w:tcPr>
          <w:p w14:paraId="3AAE0EFA">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386346D9">
            <w:pPr>
              <w:pStyle w:val="4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4"/>
                <w:u w:val="none" w:color="auto"/>
                <w:lang w:val="en-US" w:eastAsia="zh-CN" w:bidi="ar-SA"/>
              </w:rPr>
            </w:pPr>
            <w:r>
              <w:rPr>
                <w:rFonts w:hint="eastAsia" w:ascii="Times New Roman" w:hAnsi="Times New Roman" w:eastAsia="宋体" w:cs="Times New Roman"/>
                <w:b w:val="0"/>
                <w:bCs w:val="0"/>
                <w:color w:val="auto"/>
                <w:kern w:val="2"/>
                <w:sz w:val="21"/>
                <w:szCs w:val="24"/>
                <w:u w:val="none" w:color="auto"/>
                <w:lang w:val="en-US" w:eastAsia="zh-CN" w:bidi="ar-SA"/>
              </w:rPr>
              <w:t>废润滑油</w:t>
            </w:r>
          </w:p>
        </w:tc>
        <w:tc>
          <w:tcPr>
            <w:tcW w:w="1633" w:type="dxa"/>
            <w:shd w:val="clear" w:color="auto" w:fill="auto"/>
            <w:noWrap w:val="0"/>
            <w:vAlign w:val="center"/>
          </w:tcPr>
          <w:p w14:paraId="16DD821A">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1.5</w:t>
            </w:r>
          </w:p>
        </w:tc>
        <w:tc>
          <w:tcPr>
            <w:tcW w:w="1312" w:type="dxa"/>
            <w:shd w:val="clear" w:color="auto" w:fill="auto"/>
            <w:noWrap w:val="0"/>
            <w:vAlign w:val="center"/>
          </w:tcPr>
          <w:p w14:paraId="3E277885">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p>
        </w:tc>
        <w:tc>
          <w:tcPr>
            <w:tcW w:w="1749" w:type="dxa"/>
            <w:noWrap w:val="0"/>
            <w:vAlign w:val="center"/>
          </w:tcPr>
          <w:p w14:paraId="71EEFD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154F88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3.0</w:t>
            </w:r>
          </w:p>
        </w:tc>
        <w:tc>
          <w:tcPr>
            <w:tcW w:w="1810" w:type="dxa"/>
            <w:noWrap w:val="0"/>
            <w:vAlign w:val="center"/>
          </w:tcPr>
          <w:p w14:paraId="68E6AA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15CE5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3.0</w:t>
            </w:r>
          </w:p>
        </w:tc>
        <w:tc>
          <w:tcPr>
            <w:tcW w:w="1047" w:type="dxa"/>
            <w:shd w:val="clear" w:color="auto" w:fill="auto"/>
            <w:noWrap w:val="0"/>
            <w:vAlign w:val="center"/>
          </w:tcPr>
          <w:p w14:paraId="58472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Cs/>
                <w:color w:val="auto"/>
                <w:kern w:val="2"/>
                <w:sz w:val="21"/>
                <w:szCs w:val="21"/>
                <w:u w:val="single" w:color="auto"/>
                <w:vertAlign w:val="baseline"/>
                <w:lang w:val="en-US" w:eastAsia="zh-CN" w:bidi="ar-SA"/>
              </w:rPr>
              <w:t>+1.5</w:t>
            </w:r>
          </w:p>
        </w:tc>
      </w:tr>
      <w:tr w14:paraId="45226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noWrap w:val="0"/>
            <w:vAlign w:val="center"/>
          </w:tcPr>
          <w:p w14:paraId="2B7B2C37">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465B3BF3">
            <w:pPr>
              <w:pStyle w:val="4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4"/>
                <w:u w:val="none" w:color="auto"/>
                <w:lang w:val="en-US" w:eastAsia="zh-CN" w:bidi="ar-SA"/>
              </w:rPr>
            </w:pPr>
            <w:r>
              <w:rPr>
                <w:rFonts w:hint="eastAsia" w:ascii="Times New Roman" w:hAnsi="Times New Roman" w:eastAsia="宋体" w:cs="Times New Roman"/>
                <w:b w:val="0"/>
                <w:bCs w:val="0"/>
                <w:color w:val="auto"/>
                <w:kern w:val="2"/>
                <w:sz w:val="21"/>
                <w:szCs w:val="24"/>
                <w:u w:val="none" w:color="auto"/>
                <w:lang w:val="en-US" w:eastAsia="zh-CN" w:bidi="ar-SA"/>
              </w:rPr>
              <w:t>废含油抹布</w:t>
            </w:r>
          </w:p>
        </w:tc>
        <w:tc>
          <w:tcPr>
            <w:tcW w:w="1633" w:type="dxa"/>
            <w:shd w:val="clear" w:color="auto" w:fill="auto"/>
            <w:noWrap w:val="0"/>
            <w:vAlign w:val="center"/>
          </w:tcPr>
          <w:p w14:paraId="504510A9">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0.5</w:t>
            </w:r>
          </w:p>
        </w:tc>
        <w:tc>
          <w:tcPr>
            <w:tcW w:w="1312" w:type="dxa"/>
            <w:shd w:val="clear" w:color="auto" w:fill="auto"/>
            <w:noWrap w:val="0"/>
            <w:vAlign w:val="center"/>
          </w:tcPr>
          <w:p w14:paraId="1F33F5DA">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p>
        </w:tc>
        <w:tc>
          <w:tcPr>
            <w:tcW w:w="1749" w:type="dxa"/>
            <w:noWrap w:val="0"/>
            <w:vAlign w:val="center"/>
          </w:tcPr>
          <w:p w14:paraId="0265A7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10FDD3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0.8</w:t>
            </w:r>
          </w:p>
        </w:tc>
        <w:tc>
          <w:tcPr>
            <w:tcW w:w="1810" w:type="dxa"/>
            <w:noWrap w:val="0"/>
            <w:vAlign w:val="center"/>
          </w:tcPr>
          <w:p w14:paraId="317EA6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7D331A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0.8</w:t>
            </w:r>
          </w:p>
        </w:tc>
        <w:tc>
          <w:tcPr>
            <w:tcW w:w="1047" w:type="dxa"/>
            <w:shd w:val="clear" w:color="auto" w:fill="auto"/>
            <w:noWrap w:val="0"/>
            <w:vAlign w:val="center"/>
          </w:tcPr>
          <w:p w14:paraId="01C46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Cs/>
                <w:color w:val="auto"/>
                <w:kern w:val="2"/>
                <w:sz w:val="21"/>
                <w:szCs w:val="21"/>
                <w:u w:val="single" w:color="auto"/>
                <w:vertAlign w:val="baseline"/>
                <w:lang w:val="en-US" w:eastAsia="zh-CN" w:bidi="ar-SA"/>
              </w:rPr>
              <w:t>+0.3</w:t>
            </w:r>
          </w:p>
        </w:tc>
      </w:tr>
      <w:tr w14:paraId="3C4EA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noWrap w:val="0"/>
            <w:vAlign w:val="center"/>
          </w:tcPr>
          <w:p w14:paraId="4EAD39E2">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1E0C7D74">
            <w:pPr>
              <w:pStyle w:val="4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4"/>
                <w:u w:val="none" w:color="auto"/>
                <w:lang w:val="en-US" w:eastAsia="zh-CN" w:bidi="ar-SA"/>
              </w:rPr>
            </w:pPr>
            <w:r>
              <w:rPr>
                <w:rFonts w:hint="eastAsia" w:cs="Times New Roman"/>
                <w:b w:val="0"/>
                <w:bCs w:val="0"/>
                <w:color w:val="auto"/>
                <w:kern w:val="2"/>
                <w:sz w:val="21"/>
                <w:szCs w:val="24"/>
                <w:u w:val="none" w:color="auto"/>
                <w:lang w:val="en-US" w:eastAsia="zh-CN" w:bidi="ar-SA"/>
              </w:rPr>
              <w:t>废切削液</w:t>
            </w:r>
          </w:p>
        </w:tc>
        <w:tc>
          <w:tcPr>
            <w:tcW w:w="1633" w:type="dxa"/>
            <w:shd w:val="clear" w:color="auto" w:fill="auto"/>
            <w:noWrap w:val="0"/>
            <w:vAlign w:val="center"/>
          </w:tcPr>
          <w:p w14:paraId="5115ABA1">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32</w:t>
            </w:r>
          </w:p>
        </w:tc>
        <w:tc>
          <w:tcPr>
            <w:tcW w:w="1312" w:type="dxa"/>
            <w:shd w:val="clear" w:color="auto" w:fill="auto"/>
            <w:noWrap w:val="0"/>
            <w:vAlign w:val="center"/>
          </w:tcPr>
          <w:p w14:paraId="4A53168B">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p>
        </w:tc>
        <w:tc>
          <w:tcPr>
            <w:tcW w:w="1749" w:type="dxa"/>
            <w:noWrap w:val="0"/>
            <w:vAlign w:val="center"/>
          </w:tcPr>
          <w:p w14:paraId="19DB6C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33644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32</w:t>
            </w:r>
          </w:p>
        </w:tc>
        <w:tc>
          <w:tcPr>
            <w:tcW w:w="1810" w:type="dxa"/>
            <w:noWrap w:val="0"/>
            <w:vAlign w:val="center"/>
          </w:tcPr>
          <w:p w14:paraId="759106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577EB4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32</w:t>
            </w:r>
          </w:p>
        </w:tc>
        <w:tc>
          <w:tcPr>
            <w:tcW w:w="1047" w:type="dxa"/>
            <w:shd w:val="clear" w:color="auto" w:fill="auto"/>
            <w:noWrap w:val="0"/>
            <w:vAlign w:val="center"/>
          </w:tcPr>
          <w:p w14:paraId="097FB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Cs/>
                <w:color w:val="auto"/>
                <w:kern w:val="2"/>
                <w:sz w:val="21"/>
                <w:szCs w:val="21"/>
                <w:u w:val="single" w:color="auto"/>
                <w:vertAlign w:val="baseline"/>
                <w:lang w:val="en-US" w:eastAsia="zh-CN" w:bidi="ar-SA"/>
              </w:rPr>
              <w:t>/</w:t>
            </w:r>
          </w:p>
        </w:tc>
      </w:tr>
      <w:tr w14:paraId="2D192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noWrap w:val="0"/>
            <w:vAlign w:val="center"/>
          </w:tcPr>
          <w:p w14:paraId="4545AA20">
            <w:pPr>
              <w:pStyle w:val="67"/>
              <w:keepNext w:val="0"/>
              <w:keepLines w:val="0"/>
              <w:suppressLineNumbers w:val="0"/>
              <w:snapToGrid/>
              <w:spacing w:before="0" w:beforeLines="0" w:beforeAutospacing="0" w:after="0" w:afterLines="0" w:afterAutospacing="0" w:line="260" w:lineRule="exact"/>
              <w:ind w:left="0" w:right="0"/>
              <w:rPr>
                <w:rFonts w:hint="default" w:ascii="Times New Roman" w:hAnsi="Times New Roman" w:cs="Times New Roman"/>
                <w:snapToGrid w:val="0"/>
                <w:color w:val="auto"/>
                <w:kern w:val="21"/>
                <w:szCs w:val="21"/>
                <w:u w:val="none" w:color="auto"/>
              </w:rPr>
            </w:pPr>
          </w:p>
        </w:tc>
        <w:tc>
          <w:tcPr>
            <w:tcW w:w="1701" w:type="dxa"/>
            <w:gridSpan w:val="2"/>
            <w:shd w:val="clear" w:color="auto" w:fill="auto"/>
            <w:noWrap w:val="0"/>
            <w:vAlign w:val="center"/>
          </w:tcPr>
          <w:p w14:paraId="3A217C47">
            <w:pPr>
              <w:pStyle w:val="4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4"/>
                <w:u w:val="none" w:color="auto"/>
                <w:lang w:val="en-US" w:eastAsia="zh-CN" w:bidi="ar-SA"/>
              </w:rPr>
            </w:pPr>
            <w:r>
              <w:rPr>
                <w:rFonts w:hint="eastAsia" w:ascii="Times New Roman" w:hAnsi="Times New Roman" w:eastAsia="宋体" w:cs="Times New Roman"/>
                <w:b w:val="0"/>
                <w:bCs w:val="0"/>
                <w:color w:val="auto"/>
                <w:kern w:val="2"/>
                <w:sz w:val="21"/>
                <w:szCs w:val="24"/>
                <w:u w:val="none" w:color="auto"/>
                <w:lang w:val="en-US" w:eastAsia="zh-CN" w:bidi="ar-SA"/>
              </w:rPr>
              <w:t>废润滑油桶</w:t>
            </w:r>
          </w:p>
        </w:tc>
        <w:tc>
          <w:tcPr>
            <w:tcW w:w="1633" w:type="dxa"/>
            <w:shd w:val="clear" w:color="auto" w:fill="auto"/>
            <w:noWrap w:val="0"/>
            <w:vAlign w:val="center"/>
          </w:tcPr>
          <w:p w14:paraId="346B406D">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0.7</w:t>
            </w:r>
          </w:p>
        </w:tc>
        <w:tc>
          <w:tcPr>
            <w:tcW w:w="1312" w:type="dxa"/>
            <w:shd w:val="clear" w:color="auto" w:fill="auto"/>
            <w:noWrap w:val="0"/>
            <w:vAlign w:val="center"/>
          </w:tcPr>
          <w:p w14:paraId="6AB2653B">
            <w:pPr>
              <w:pStyle w:val="15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4"/>
                <w:u w:val="single" w:color="auto"/>
                <w:lang w:val="en-US" w:eastAsia="zh-CN" w:bidi="ar-SA"/>
              </w:rPr>
            </w:pPr>
          </w:p>
        </w:tc>
        <w:tc>
          <w:tcPr>
            <w:tcW w:w="1749" w:type="dxa"/>
            <w:noWrap w:val="0"/>
            <w:vAlign w:val="center"/>
          </w:tcPr>
          <w:p w14:paraId="58379F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603" w:type="dxa"/>
            <w:shd w:val="clear" w:color="auto" w:fill="auto"/>
            <w:noWrap w:val="0"/>
            <w:vAlign w:val="center"/>
          </w:tcPr>
          <w:p w14:paraId="29651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1.4</w:t>
            </w:r>
          </w:p>
        </w:tc>
        <w:tc>
          <w:tcPr>
            <w:tcW w:w="1810" w:type="dxa"/>
            <w:noWrap w:val="0"/>
            <w:vAlign w:val="center"/>
          </w:tcPr>
          <w:p w14:paraId="3060A0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816" w:type="dxa"/>
            <w:shd w:val="clear" w:color="auto" w:fill="auto"/>
            <w:noWrap w:val="0"/>
            <w:vAlign w:val="center"/>
          </w:tcPr>
          <w:p w14:paraId="70D28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cs="Times New Roman"/>
                <w:bCs/>
                <w:color w:val="auto"/>
                <w:sz w:val="21"/>
                <w:szCs w:val="21"/>
                <w:u w:val="single" w:color="auto"/>
                <w:vertAlign w:val="baseline"/>
                <w:lang w:val="en-US" w:eastAsia="zh-CN"/>
              </w:rPr>
              <w:t>1.4</w:t>
            </w:r>
          </w:p>
        </w:tc>
        <w:tc>
          <w:tcPr>
            <w:tcW w:w="1047" w:type="dxa"/>
            <w:shd w:val="clear" w:color="auto" w:fill="auto"/>
            <w:noWrap w:val="0"/>
            <w:vAlign w:val="center"/>
          </w:tcPr>
          <w:p w14:paraId="09170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4"/>
                <w:u w:val="none"/>
                <w:lang w:val="en-US" w:eastAsia="zh-CN" w:bidi="ar-SA"/>
              </w:rPr>
            </w:pPr>
            <w:r>
              <w:rPr>
                <w:rFonts w:hint="eastAsia" w:ascii="Times New Roman" w:hAnsi="Times New Roman" w:eastAsia="宋体" w:cs="Times New Roman"/>
                <w:bCs/>
                <w:color w:val="auto"/>
                <w:kern w:val="2"/>
                <w:sz w:val="21"/>
                <w:szCs w:val="21"/>
                <w:u w:val="single" w:color="auto"/>
                <w:vertAlign w:val="baseline"/>
                <w:lang w:val="en-US" w:eastAsia="zh-CN" w:bidi="ar-SA"/>
              </w:rPr>
              <w:t>+0.7</w:t>
            </w:r>
          </w:p>
        </w:tc>
      </w:tr>
    </w:tbl>
    <w:p w14:paraId="6E8C1664">
      <w:pPr>
        <w:pStyle w:val="67"/>
        <w:keepNext w:val="0"/>
        <w:keepLines w:val="0"/>
        <w:pageBreakBefore w:val="0"/>
        <w:widowControl w:val="0"/>
        <w:kinsoku/>
        <w:wordWrap/>
        <w:overflowPunct/>
        <w:topLinePunct w:val="0"/>
        <w:autoSpaceDE/>
        <w:autoSpaceDN/>
        <w:bidi w:val="0"/>
        <w:adjustRightInd w:val="0"/>
        <w:snapToGrid/>
        <w:spacing w:beforeLines="0" w:afterLines="0" w:line="240" w:lineRule="auto"/>
        <w:jc w:val="left"/>
        <w:textAlignment w:val="auto"/>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046D9549">
      <w:pPr>
        <w:pStyle w:val="67"/>
        <w:keepNext w:val="0"/>
        <w:keepLines w:val="0"/>
        <w:pageBreakBefore w:val="0"/>
        <w:widowControl w:val="0"/>
        <w:kinsoku/>
        <w:wordWrap/>
        <w:overflowPunct/>
        <w:topLinePunct w:val="0"/>
        <w:autoSpaceDE/>
        <w:autoSpaceDN/>
        <w:bidi w:val="0"/>
        <w:adjustRightInd w:val="0"/>
        <w:snapToGrid/>
        <w:spacing w:beforeLines="0" w:afterLines="0" w:line="240" w:lineRule="auto"/>
        <w:jc w:val="left"/>
        <w:textAlignment w:val="auto"/>
        <w:rPr>
          <w:rFonts w:hint="default" w:ascii="Times New Roman" w:hAnsi="Times New Roman" w:eastAsia="宋体" w:cs="Times New Roman"/>
          <w:color w:val="auto"/>
          <w:highlight w:val="none"/>
          <w:lang w:val="en-US" w:eastAsia="zh-CN"/>
        </w:rPr>
      </w:pPr>
    </w:p>
    <w:sectPr>
      <w:footerReference r:id="rId5" w:type="default"/>
      <w:pgSz w:w="16838" w:h="11906" w:orient="landscape"/>
      <w:pgMar w:top="850" w:right="1417" w:bottom="850" w:left="1417"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E7A515-2DC9-426F-940E-C97FE8F50B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37E00788-9CAE-4C9D-9AF6-6041856CA021}"/>
  </w:font>
  <w:font w:name="新宋体-18030">
    <w:altName w:val="宋体"/>
    <w:panose1 w:val="00000000000000000000"/>
    <w:charset w:val="00"/>
    <w:family w:val="auto"/>
    <w:pitch w:val="default"/>
    <w:sig w:usb0="00000000" w:usb1="00000000" w:usb2="00000000" w:usb3="00000000" w:csb0="00040001" w:csb1="00000000"/>
  </w:font>
  <w:font w:name="Arial Unicode MS">
    <w:panose1 w:val="020B0604020202020204"/>
    <w:charset w:val="86"/>
    <w:family w:val="roman"/>
    <w:pitch w:val="default"/>
    <w:sig w:usb0="F7FFAEFF" w:usb1="F9DFFFFF" w:usb2="0000007F" w:usb3="00000000" w:csb0="203F01FF" w:csb1="DFFF0000"/>
  </w:font>
  <w:font w:name="仿宋">
    <w:panose1 w:val="02010609060101010101"/>
    <w:charset w:val="86"/>
    <w:family w:val="auto"/>
    <w:pitch w:val="default"/>
    <w:sig w:usb0="800002BF" w:usb1="38CF7CFA" w:usb2="00000016" w:usb3="00000000" w:csb0="00040001" w:csb1="00000000"/>
    <w:embedRegular r:id="rId3" w:fontKey="{E85962A1-47B4-4152-A19E-3F9E2A4D7E53}"/>
  </w:font>
  <w:font w:name="Segoe UI Symbol">
    <w:panose1 w:val="020B0502040204020203"/>
    <w:charset w:val="00"/>
    <w:family w:val="auto"/>
    <w:pitch w:val="default"/>
    <w:sig w:usb0="800001E3" w:usb1="1200FFEF" w:usb2="00040000" w:usb3="04000000" w:csb0="00000001" w:csb1="40000000"/>
  </w:font>
  <w:font w:name="方正小标宋_GBK">
    <w:panose1 w:val="02000000000000000000"/>
    <w:charset w:val="86"/>
    <w:family w:val="script"/>
    <w:pitch w:val="default"/>
    <w:sig w:usb0="A00002BF" w:usb1="38CF7CFA" w:usb2="00082016" w:usb3="00000000" w:csb0="00040001" w:csb1="00000000"/>
    <w:embedRegular r:id="rId4" w:fontKey="{11FDD3CD-52E2-40A2-A2EB-B170D0D3A743}"/>
  </w:font>
  <w:font w:name="楷体_GB2312">
    <w:panose1 w:val="02010609030101010101"/>
    <w:charset w:val="86"/>
    <w:family w:val="modern"/>
    <w:pitch w:val="default"/>
    <w:sig w:usb0="00000001" w:usb1="080E0000" w:usb2="00000000" w:usb3="00000000" w:csb0="00040000" w:csb1="00000000"/>
    <w:embedRegular r:id="rId5" w:fontKey="{ACEE2AA2-6A9E-4EAA-AD6B-ADE5EA6F1428}"/>
  </w:font>
  <w:font w:name="华文仿宋">
    <w:panose1 w:val="02010600040101010101"/>
    <w:charset w:val="86"/>
    <w:family w:val="auto"/>
    <w:pitch w:val="default"/>
    <w:sig w:usb0="00000287" w:usb1="080F0000" w:usb2="00000000" w:usb3="00000000" w:csb0="0004009F" w:csb1="DFD70000"/>
    <w:embedRegular r:id="rId6" w:fontKey="{AA7BB9A7-7DBC-4D63-BEE4-E6208C4C98FC}"/>
  </w:font>
  <w:font w:name="Wingdings 2">
    <w:panose1 w:val="05020102010507070707"/>
    <w:charset w:val="02"/>
    <w:family w:val="auto"/>
    <w:pitch w:val="default"/>
    <w:sig w:usb0="00000000" w:usb1="00000000" w:usb2="00000000" w:usb3="00000000" w:csb0="80000000" w:csb1="00000000"/>
    <w:embedRegular r:id="rId7" w:fontKey="{D7F9EBFE-C577-46FC-B1BF-13E473FA4F64}"/>
  </w:font>
  <w:font w:name="WPSEMBED4">
    <w:panose1 w:val="02010609030101010101"/>
    <w:charset w:val="86"/>
    <w:family w:val="auto"/>
    <w:pitch w:val="default"/>
    <w:sig w:usb0="00000001" w:usb1="080E0000" w:usb2="00000000" w:usb3="00000000" w:csb0="00040000" w:csb1="00000000"/>
  </w:font>
  <w:font w:name="WPSEMBED3">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D0432">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D8329">
    <w:pPr>
      <w:pStyle w:val="2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A0AE60">
                          <w:pPr>
                            <w:pStyle w:val="2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1qsaT4QEAAMIDAAAOAAAA&#10;AAAAAAEAIAAAAB4BAABkcnMvZTJvRG9jLnhtbFBLBQYAAAAABgAGAFkBAABxBQAAAAA=&#10;">
              <v:fill on="f" focussize="0,0"/>
              <v:stroke on="f"/>
              <v:imagedata o:title=""/>
              <o:lock v:ext="edit" aspectratio="f"/>
              <v:textbox inset="0mm,0mm,0mm,0mm" style="mso-fit-shape-to-text:t;">
                <w:txbxContent>
                  <w:p w14:paraId="1EA0AE60">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2B5B4">
    <w:pPr>
      <w:pStyle w:val="2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7D6C09">
                          <w:pPr>
                            <w:pStyle w:val="23"/>
                          </w:pPr>
                          <w:r>
                            <w:fldChar w:fldCharType="begin"/>
                          </w:r>
                          <w:r>
                            <w:instrText xml:space="preserve"> PAGE  \* MERGEFORMAT </w:instrText>
                          </w:r>
                          <w:r>
                            <w:fldChar w:fldCharType="separate"/>
                          </w:r>
                          <w:r>
                            <w:t>83</w:t>
                          </w:r>
                          <w:r>
                            <w:fldChar w:fldCharType="end"/>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JDHhzngAQAAwgMAAA4AAAAA&#10;AAAAAQAgAAAAHgEAAGRycy9lMm9Eb2MueG1sUEsFBgAAAAAGAAYAWQEAAHAFAAAAAA==&#10;">
              <v:fill on="f" focussize="0,0"/>
              <v:stroke on="f"/>
              <v:imagedata o:title=""/>
              <o:lock v:ext="edit" aspectratio="f"/>
              <v:textbox inset="0mm,0mm,0mm,0mm" style="mso-fit-shape-to-text:t;">
                <w:txbxContent>
                  <w:p w14:paraId="637D6C09">
                    <w:pPr>
                      <w:pStyle w:val="23"/>
                    </w:pPr>
                    <w:r>
                      <w:fldChar w:fldCharType="begin"/>
                    </w:r>
                    <w:r>
                      <w:instrText xml:space="preserve"> PAGE  \* MERGEFORMAT </w:instrText>
                    </w:r>
                    <w:r>
                      <w:fldChar w:fldCharType="separate"/>
                    </w:r>
                    <w:r>
                      <w:t>83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9F7E31"/>
    <w:multiLevelType w:val="singleLevel"/>
    <w:tmpl w:val="8A9F7E31"/>
    <w:lvl w:ilvl="0" w:tentative="0">
      <w:start w:val="1"/>
      <w:numFmt w:val="decimal"/>
      <w:suff w:val="nothing"/>
      <w:lvlText w:val="%1、"/>
      <w:lvlJc w:val="left"/>
    </w:lvl>
  </w:abstractNum>
  <w:abstractNum w:abstractNumId="1">
    <w:nsid w:val="A6A7AE0D"/>
    <w:multiLevelType w:val="singleLevel"/>
    <w:tmpl w:val="A6A7AE0D"/>
    <w:lvl w:ilvl="0" w:tentative="0">
      <w:start w:val="1"/>
      <w:numFmt w:val="decimal"/>
      <w:suff w:val="nothing"/>
      <w:lvlText w:val="（%1）"/>
      <w:lvlJc w:val="left"/>
    </w:lvl>
  </w:abstractNum>
  <w:abstractNum w:abstractNumId="2">
    <w:nsid w:val="BE07BB3F"/>
    <w:multiLevelType w:val="singleLevel"/>
    <w:tmpl w:val="BE07BB3F"/>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3">
    <w:nsid w:val="27715350"/>
    <w:multiLevelType w:val="singleLevel"/>
    <w:tmpl w:val="27715350"/>
    <w:lvl w:ilvl="0" w:tentative="0">
      <w:start w:val="5"/>
      <w:numFmt w:val="chineseCounting"/>
      <w:suff w:val="nothing"/>
      <w:lvlText w:val="%1、"/>
      <w:lvlJc w:val="left"/>
      <w:rPr>
        <w:rFonts w:hint="eastAsia"/>
      </w:rPr>
    </w:lvl>
  </w:abstractNum>
  <w:abstractNum w:abstractNumId="4">
    <w:nsid w:val="47AC327D"/>
    <w:multiLevelType w:val="singleLevel"/>
    <w:tmpl w:val="47AC327D"/>
    <w:lvl w:ilvl="0" w:tentative="0">
      <w:start w:val="1"/>
      <w:numFmt w:val="decimal"/>
      <w:suff w:val="nothing"/>
      <w:lvlText w:val="（%1）"/>
      <w:lvlJc w:val="left"/>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xYjE4YTNmYTU3YjhlMGNiNTk5YTYzNzI4MjBiMjEifQ=="/>
  </w:docVars>
  <w:rsids>
    <w:rsidRoot w:val="00172A27"/>
    <w:rsid w:val="0000545C"/>
    <w:rsid w:val="000060B3"/>
    <w:rsid w:val="00017500"/>
    <w:rsid w:val="0003365A"/>
    <w:rsid w:val="0004364B"/>
    <w:rsid w:val="0004380E"/>
    <w:rsid w:val="00052C97"/>
    <w:rsid w:val="00053E24"/>
    <w:rsid w:val="00061B1F"/>
    <w:rsid w:val="000733C4"/>
    <w:rsid w:val="00074783"/>
    <w:rsid w:val="00077076"/>
    <w:rsid w:val="0008070B"/>
    <w:rsid w:val="000810AC"/>
    <w:rsid w:val="00081A02"/>
    <w:rsid w:val="00081E51"/>
    <w:rsid w:val="00082231"/>
    <w:rsid w:val="00092D38"/>
    <w:rsid w:val="0009377B"/>
    <w:rsid w:val="00094D35"/>
    <w:rsid w:val="000A1087"/>
    <w:rsid w:val="000A20C9"/>
    <w:rsid w:val="000B058F"/>
    <w:rsid w:val="000B4467"/>
    <w:rsid w:val="000B4DB9"/>
    <w:rsid w:val="000C024B"/>
    <w:rsid w:val="000C09AC"/>
    <w:rsid w:val="000C767F"/>
    <w:rsid w:val="000D0FF1"/>
    <w:rsid w:val="000D5A44"/>
    <w:rsid w:val="000D69F1"/>
    <w:rsid w:val="000E3ED2"/>
    <w:rsid w:val="000E4EED"/>
    <w:rsid w:val="000F5A73"/>
    <w:rsid w:val="00107DE6"/>
    <w:rsid w:val="00112DDA"/>
    <w:rsid w:val="00125D9A"/>
    <w:rsid w:val="001313D7"/>
    <w:rsid w:val="00131578"/>
    <w:rsid w:val="00131F42"/>
    <w:rsid w:val="001357F1"/>
    <w:rsid w:val="00140FA8"/>
    <w:rsid w:val="00142FEB"/>
    <w:rsid w:val="00143A2D"/>
    <w:rsid w:val="00145A41"/>
    <w:rsid w:val="00151675"/>
    <w:rsid w:val="001516AC"/>
    <w:rsid w:val="00157435"/>
    <w:rsid w:val="00161108"/>
    <w:rsid w:val="00167159"/>
    <w:rsid w:val="00170E55"/>
    <w:rsid w:val="00173067"/>
    <w:rsid w:val="0017504D"/>
    <w:rsid w:val="0017671A"/>
    <w:rsid w:val="00177422"/>
    <w:rsid w:val="00182131"/>
    <w:rsid w:val="00184590"/>
    <w:rsid w:val="001870D1"/>
    <w:rsid w:val="0018781E"/>
    <w:rsid w:val="0019262D"/>
    <w:rsid w:val="001A1B35"/>
    <w:rsid w:val="001A48A2"/>
    <w:rsid w:val="001A6F61"/>
    <w:rsid w:val="001B4B3F"/>
    <w:rsid w:val="001B50E5"/>
    <w:rsid w:val="001B72B8"/>
    <w:rsid w:val="001B7B80"/>
    <w:rsid w:val="001C69B3"/>
    <w:rsid w:val="001D5595"/>
    <w:rsid w:val="001D7874"/>
    <w:rsid w:val="001D7F22"/>
    <w:rsid w:val="001E105B"/>
    <w:rsid w:val="001F0F17"/>
    <w:rsid w:val="001F3347"/>
    <w:rsid w:val="001F69E4"/>
    <w:rsid w:val="001F7905"/>
    <w:rsid w:val="00202E80"/>
    <w:rsid w:val="002117FF"/>
    <w:rsid w:val="002125B4"/>
    <w:rsid w:val="002155B8"/>
    <w:rsid w:val="00224839"/>
    <w:rsid w:val="002249B2"/>
    <w:rsid w:val="00226574"/>
    <w:rsid w:val="002278EC"/>
    <w:rsid w:val="00227EE4"/>
    <w:rsid w:val="0023280E"/>
    <w:rsid w:val="002358C4"/>
    <w:rsid w:val="002377D1"/>
    <w:rsid w:val="0023791C"/>
    <w:rsid w:val="00242624"/>
    <w:rsid w:val="002506BC"/>
    <w:rsid w:val="00254345"/>
    <w:rsid w:val="00264557"/>
    <w:rsid w:val="0026794A"/>
    <w:rsid w:val="00267A67"/>
    <w:rsid w:val="00273FE1"/>
    <w:rsid w:val="002805AB"/>
    <w:rsid w:val="00280AD6"/>
    <w:rsid w:val="00282943"/>
    <w:rsid w:val="00284204"/>
    <w:rsid w:val="00291773"/>
    <w:rsid w:val="00297DAF"/>
    <w:rsid w:val="002A168C"/>
    <w:rsid w:val="002A3DC7"/>
    <w:rsid w:val="002A5541"/>
    <w:rsid w:val="002A5F73"/>
    <w:rsid w:val="002B09C6"/>
    <w:rsid w:val="002B49E2"/>
    <w:rsid w:val="002B7B00"/>
    <w:rsid w:val="002B7C44"/>
    <w:rsid w:val="002C0A2B"/>
    <w:rsid w:val="002C2B17"/>
    <w:rsid w:val="002D2B1E"/>
    <w:rsid w:val="002D3DD0"/>
    <w:rsid w:val="002E1F3A"/>
    <w:rsid w:val="002E298A"/>
    <w:rsid w:val="002E6C18"/>
    <w:rsid w:val="002F6754"/>
    <w:rsid w:val="00301978"/>
    <w:rsid w:val="00303057"/>
    <w:rsid w:val="0030332C"/>
    <w:rsid w:val="003051C2"/>
    <w:rsid w:val="00312296"/>
    <w:rsid w:val="00314A34"/>
    <w:rsid w:val="00314F0E"/>
    <w:rsid w:val="00321D8E"/>
    <w:rsid w:val="00325928"/>
    <w:rsid w:val="00332863"/>
    <w:rsid w:val="00332C07"/>
    <w:rsid w:val="0033684D"/>
    <w:rsid w:val="00337B42"/>
    <w:rsid w:val="00337F94"/>
    <w:rsid w:val="00340586"/>
    <w:rsid w:val="00341B42"/>
    <w:rsid w:val="00342994"/>
    <w:rsid w:val="0034348F"/>
    <w:rsid w:val="00343F49"/>
    <w:rsid w:val="00345E1C"/>
    <w:rsid w:val="003516F0"/>
    <w:rsid w:val="00356653"/>
    <w:rsid w:val="0035743F"/>
    <w:rsid w:val="00357BE2"/>
    <w:rsid w:val="0036170C"/>
    <w:rsid w:val="00363C67"/>
    <w:rsid w:val="00366E0F"/>
    <w:rsid w:val="00374617"/>
    <w:rsid w:val="00381A72"/>
    <w:rsid w:val="00384676"/>
    <w:rsid w:val="00390857"/>
    <w:rsid w:val="003A4BF3"/>
    <w:rsid w:val="003B420D"/>
    <w:rsid w:val="003C4C5F"/>
    <w:rsid w:val="003C6878"/>
    <w:rsid w:val="003C6C16"/>
    <w:rsid w:val="003D2582"/>
    <w:rsid w:val="003D465E"/>
    <w:rsid w:val="003D71B2"/>
    <w:rsid w:val="003D794D"/>
    <w:rsid w:val="003E3058"/>
    <w:rsid w:val="003E3F98"/>
    <w:rsid w:val="003E76A9"/>
    <w:rsid w:val="003F0809"/>
    <w:rsid w:val="003F6A8C"/>
    <w:rsid w:val="003F755C"/>
    <w:rsid w:val="004026E4"/>
    <w:rsid w:val="004039E2"/>
    <w:rsid w:val="00406F01"/>
    <w:rsid w:val="004149AC"/>
    <w:rsid w:val="00416D50"/>
    <w:rsid w:val="00416FD5"/>
    <w:rsid w:val="00417772"/>
    <w:rsid w:val="00420E6A"/>
    <w:rsid w:val="004214F7"/>
    <w:rsid w:val="004224DA"/>
    <w:rsid w:val="00425791"/>
    <w:rsid w:val="00425A9E"/>
    <w:rsid w:val="00426D6B"/>
    <w:rsid w:val="00431E6C"/>
    <w:rsid w:val="004339F6"/>
    <w:rsid w:val="00433CE7"/>
    <w:rsid w:val="00433DB2"/>
    <w:rsid w:val="00452738"/>
    <w:rsid w:val="00456091"/>
    <w:rsid w:val="00464B69"/>
    <w:rsid w:val="00466321"/>
    <w:rsid w:val="00481FD9"/>
    <w:rsid w:val="00484B9B"/>
    <w:rsid w:val="004855F6"/>
    <w:rsid w:val="0048661E"/>
    <w:rsid w:val="00494670"/>
    <w:rsid w:val="00495586"/>
    <w:rsid w:val="004A3823"/>
    <w:rsid w:val="004B1F36"/>
    <w:rsid w:val="004D586F"/>
    <w:rsid w:val="004E4326"/>
    <w:rsid w:val="004E6946"/>
    <w:rsid w:val="004F022F"/>
    <w:rsid w:val="004F1AD8"/>
    <w:rsid w:val="004F4C57"/>
    <w:rsid w:val="005039CB"/>
    <w:rsid w:val="0050558F"/>
    <w:rsid w:val="00506286"/>
    <w:rsid w:val="00507655"/>
    <w:rsid w:val="00510813"/>
    <w:rsid w:val="005118DE"/>
    <w:rsid w:val="00511990"/>
    <w:rsid w:val="00511DE0"/>
    <w:rsid w:val="00514870"/>
    <w:rsid w:val="00514B9B"/>
    <w:rsid w:val="00517F02"/>
    <w:rsid w:val="00524303"/>
    <w:rsid w:val="005253CF"/>
    <w:rsid w:val="005258A2"/>
    <w:rsid w:val="005401AE"/>
    <w:rsid w:val="00542E07"/>
    <w:rsid w:val="00545424"/>
    <w:rsid w:val="005458C6"/>
    <w:rsid w:val="00554A7B"/>
    <w:rsid w:val="0055572C"/>
    <w:rsid w:val="00557F4E"/>
    <w:rsid w:val="0056106A"/>
    <w:rsid w:val="00564E10"/>
    <w:rsid w:val="005720AE"/>
    <w:rsid w:val="00577127"/>
    <w:rsid w:val="005832DD"/>
    <w:rsid w:val="00590942"/>
    <w:rsid w:val="00594D77"/>
    <w:rsid w:val="005969E4"/>
    <w:rsid w:val="005972D5"/>
    <w:rsid w:val="005A06B7"/>
    <w:rsid w:val="005A1759"/>
    <w:rsid w:val="005A4174"/>
    <w:rsid w:val="005A68A7"/>
    <w:rsid w:val="005C4207"/>
    <w:rsid w:val="005D36AB"/>
    <w:rsid w:val="005D51D4"/>
    <w:rsid w:val="005E03AC"/>
    <w:rsid w:val="005E59F4"/>
    <w:rsid w:val="005F36B8"/>
    <w:rsid w:val="005F7192"/>
    <w:rsid w:val="005F75FF"/>
    <w:rsid w:val="00615EA1"/>
    <w:rsid w:val="00617CC3"/>
    <w:rsid w:val="00621B1B"/>
    <w:rsid w:val="006305E3"/>
    <w:rsid w:val="006377A6"/>
    <w:rsid w:val="00637A3D"/>
    <w:rsid w:val="006411EF"/>
    <w:rsid w:val="00643036"/>
    <w:rsid w:val="00652141"/>
    <w:rsid w:val="00656F3D"/>
    <w:rsid w:val="006606C2"/>
    <w:rsid w:val="00664EAF"/>
    <w:rsid w:val="006748B8"/>
    <w:rsid w:val="0067631F"/>
    <w:rsid w:val="006775C3"/>
    <w:rsid w:val="00684C34"/>
    <w:rsid w:val="0069290A"/>
    <w:rsid w:val="0069775A"/>
    <w:rsid w:val="00697813"/>
    <w:rsid w:val="006A3738"/>
    <w:rsid w:val="006A3EE8"/>
    <w:rsid w:val="006A72BF"/>
    <w:rsid w:val="006A7DE9"/>
    <w:rsid w:val="006B03F2"/>
    <w:rsid w:val="006B37DC"/>
    <w:rsid w:val="006B4F68"/>
    <w:rsid w:val="006C0592"/>
    <w:rsid w:val="006C090C"/>
    <w:rsid w:val="006C272E"/>
    <w:rsid w:val="006C5479"/>
    <w:rsid w:val="006C790F"/>
    <w:rsid w:val="006D13B5"/>
    <w:rsid w:val="006E12FF"/>
    <w:rsid w:val="006E27EB"/>
    <w:rsid w:val="006E451E"/>
    <w:rsid w:val="006E607E"/>
    <w:rsid w:val="00706C5D"/>
    <w:rsid w:val="00710265"/>
    <w:rsid w:val="007262DF"/>
    <w:rsid w:val="00732922"/>
    <w:rsid w:val="007415A4"/>
    <w:rsid w:val="0075162E"/>
    <w:rsid w:val="0075194C"/>
    <w:rsid w:val="00754034"/>
    <w:rsid w:val="00754556"/>
    <w:rsid w:val="00756556"/>
    <w:rsid w:val="00756BB5"/>
    <w:rsid w:val="0076121A"/>
    <w:rsid w:val="007618C4"/>
    <w:rsid w:val="00765C9A"/>
    <w:rsid w:val="007678F9"/>
    <w:rsid w:val="00767980"/>
    <w:rsid w:val="00770B19"/>
    <w:rsid w:val="0077463F"/>
    <w:rsid w:val="007836EA"/>
    <w:rsid w:val="00784CDA"/>
    <w:rsid w:val="007906C4"/>
    <w:rsid w:val="00792552"/>
    <w:rsid w:val="007940EA"/>
    <w:rsid w:val="007967E8"/>
    <w:rsid w:val="007A194B"/>
    <w:rsid w:val="007A2170"/>
    <w:rsid w:val="007A22BF"/>
    <w:rsid w:val="007A3323"/>
    <w:rsid w:val="007A59CB"/>
    <w:rsid w:val="007A5FA8"/>
    <w:rsid w:val="007B28F9"/>
    <w:rsid w:val="007B39E9"/>
    <w:rsid w:val="007B444A"/>
    <w:rsid w:val="007B72B8"/>
    <w:rsid w:val="007B7A58"/>
    <w:rsid w:val="007C21B5"/>
    <w:rsid w:val="007D218A"/>
    <w:rsid w:val="007D78F7"/>
    <w:rsid w:val="007E4BD2"/>
    <w:rsid w:val="007E5D80"/>
    <w:rsid w:val="007F0A1D"/>
    <w:rsid w:val="00801393"/>
    <w:rsid w:val="00802F88"/>
    <w:rsid w:val="008041C6"/>
    <w:rsid w:val="0081293E"/>
    <w:rsid w:val="00815465"/>
    <w:rsid w:val="00817E9A"/>
    <w:rsid w:val="00817F6E"/>
    <w:rsid w:val="00824061"/>
    <w:rsid w:val="008306BD"/>
    <w:rsid w:val="00831A80"/>
    <w:rsid w:val="00831AF7"/>
    <w:rsid w:val="008322BB"/>
    <w:rsid w:val="00833743"/>
    <w:rsid w:val="008340A4"/>
    <w:rsid w:val="00836858"/>
    <w:rsid w:val="00840D06"/>
    <w:rsid w:val="0084304D"/>
    <w:rsid w:val="00854E78"/>
    <w:rsid w:val="00870886"/>
    <w:rsid w:val="0087115A"/>
    <w:rsid w:val="0087135F"/>
    <w:rsid w:val="00872D94"/>
    <w:rsid w:val="0087371A"/>
    <w:rsid w:val="008763BC"/>
    <w:rsid w:val="00880364"/>
    <w:rsid w:val="00891592"/>
    <w:rsid w:val="00891E9E"/>
    <w:rsid w:val="008A2F68"/>
    <w:rsid w:val="008A4246"/>
    <w:rsid w:val="008B4FA6"/>
    <w:rsid w:val="008B5282"/>
    <w:rsid w:val="008B7C17"/>
    <w:rsid w:val="008C2D01"/>
    <w:rsid w:val="008C40E6"/>
    <w:rsid w:val="008D0F7A"/>
    <w:rsid w:val="008D2C22"/>
    <w:rsid w:val="008D68E4"/>
    <w:rsid w:val="008E0506"/>
    <w:rsid w:val="008E0CFF"/>
    <w:rsid w:val="008E37B7"/>
    <w:rsid w:val="008E4DEB"/>
    <w:rsid w:val="008E5D6B"/>
    <w:rsid w:val="008E76F0"/>
    <w:rsid w:val="008F15FE"/>
    <w:rsid w:val="008F2D29"/>
    <w:rsid w:val="008F5187"/>
    <w:rsid w:val="008F60D8"/>
    <w:rsid w:val="008F68B0"/>
    <w:rsid w:val="008F6FCF"/>
    <w:rsid w:val="00900DF1"/>
    <w:rsid w:val="00902727"/>
    <w:rsid w:val="0090312B"/>
    <w:rsid w:val="00912DA8"/>
    <w:rsid w:val="00916C8F"/>
    <w:rsid w:val="0091736D"/>
    <w:rsid w:val="00920F15"/>
    <w:rsid w:val="0093037A"/>
    <w:rsid w:val="0094154D"/>
    <w:rsid w:val="00943A1A"/>
    <w:rsid w:val="00944B37"/>
    <w:rsid w:val="00950D53"/>
    <w:rsid w:val="0095155F"/>
    <w:rsid w:val="00954429"/>
    <w:rsid w:val="009563CE"/>
    <w:rsid w:val="009649A4"/>
    <w:rsid w:val="009708E5"/>
    <w:rsid w:val="009732B7"/>
    <w:rsid w:val="00976328"/>
    <w:rsid w:val="0097680D"/>
    <w:rsid w:val="00977322"/>
    <w:rsid w:val="00982438"/>
    <w:rsid w:val="009836B4"/>
    <w:rsid w:val="0098404C"/>
    <w:rsid w:val="00985283"/>
    <w:rsid w:val="009921C0"/>
    <w:rsid w:val="00995992"/>
    <w:rsid w:val="009A03E5"/>
    <w:rsid w:val="009A0F3B"/>
    <w:rsid w:val="009A1BB4"/>
    <w:rsid w:val="009A2628"/>
    <w:rsid w:val="009A3200"/>
    <w:rsid w:val="009A5D7A"/>
    <w:rsid w:val="009B0897"/>
    <w:rsid w:val="009B258B"/>
    <w:rsid w:val="009B729D"/>
    <w:rsid w:val="009B7BD9"/>
    <w:rsid w:val="009C7DD5"/>
    <w:rsid w:val="009D5841"/>
    <w:rsid w:val="009E0366"/>
    <w:rsid w:val="009E16C0"/>
    <w:rsid w:val="009E227D"/>
    <w:rsid w:val="009E5019"/>
    <w:rsid w:val="009E674B"/>
    <w:rsid w:val="009F7862"/>
    <w:rsid w:val="00A04F1B"/>
    <w:rsid w:val="00A0501B"/>
    <w:rsid w:val="00A14947"/>
    <w:rsid w:val="00A2083F"/>
    <w:rsid w:val="00A226C3"/>
    <w:rsid w:val="00A275A9"/>
    <w:rsid w:val="00A32A83"/>
    <w:rsid w:val="00A3348B"/>
    <w:rsid w:val="00A368DB"/>
    <w:rsid w:val="00A40483"/>
    <w:rsid w:val="00A423AA"/>
    <w:rsid w:val="00A440C8"/>
    <w:rsid w:val="00A5024A"/>
    <w:rsid w:val="00A53EC6"/>
    <w:rsid w:val="00A55C0F"/>
    <w:rsid w:val="00A63BAE"/>
    <w:rsid w:val="00A67E0F"/>
    <w:rsid w:val="00A7790F"/>
    <w:rsid w:val="00A83FB3"/>
    <w:rsid w:val="00A8713F"/>
    <w:rsid w:val="00A90BA1"/>
    <w:rsid w:val="00A97A9A"/>
    <w:rsid w:val="00AA0671"/>
    <w:rsid w:val="00AA2531"/>
    <w:rsid w:val="00AB1E09"/>
    <w:rsid w:val="00AB5330"/>
    <w:rsid w:val="00AB7747"/>
    <w:rsid w:val="00AC14CE"/>
    <w:rsid w:val="00AC2A56"/>
    <w:rsid w:val="00AD028A"/>
    <w:rsid w:val="00AD055E"/>
    <w:rsid w:val="00AD47A7"/>
    <w:rsid w:val="00AD5FC7"/>
    <w:rsid w:val="00AD6722"/>
    <w:rsid w:val="00AF0CBF"/>
    <w:rsid w:val="00AF257F"/>
    <w:rsid w:val="00AF33CF"/>
    <w:rsid w:val="00AF4D50"/>
    <w:rsid w:val="00AF6179"/>
    <w:rsid w:val="00B1295A"/>
    <w:rsid w:val="00B20A45"/>
    <w:rsid w:val="00B20DF2"/>
    <w:rsid w:val="00B22C5C"/>
    <w:rsid w:val="00B24F30"/>
    <w:rsid w:val="00B25017"/>
    <w:rsid w:val="00B31ABF"/>
    <w:rsid w:val="00B33BE3"/>
    <w:rsid w:val="00B4352B"/>
    <w:rsid w:val="00B53B5D"/>
    <w:rsid w:val="00B5725D"/>
    <w:rsid w:val="00B6055E"/>
    <w:rsid w:val="00B6317D"/>
    <w:rsid w:val="00B73A50"/>
    <w:rsid w:val="00B7723F"/>
    <w:rsid w:val="00B80534"/>
    <w:rsid w:val="00B8179F"/>
    <w:rsid w:val="00B83436"/>
    <w:rsid w:val="00B8433C"/>
    <w:rsid w:val="00B87491"/>
    <w:rsid w:val="00BA29E9"/>
    <w:rsid w:val="00BA502B"/>
    <w:rsid w:val="00BA7142"/>
    <w:rsid w:val="00BB0B72"/>
    <w:rsid w:val="00BB237C"/>
    <w:rsid w:val="00BB41A3"/>
    <w:rsid w:val="00BC32DC"/>
    <w:rsid w:val="00BC35B6"/>
    <w:rsid w:val="00BC400A"/>
    <w:rsid w:val="00BD1B51"/>
    <w:rsid w:val="00BD2D62"/>
    <w:rsid w:val="00BD4596"/>
    <w:rsid w:val="00BE1405"/>
    <w:rsid w:val="00BE312D"/>
    <w:rsid w:val="00BE6A33"/>
    <w:rsid w:val="00BE6CBF"/>
    <w:rsid w:val="00BF1C20"/>
    <w:rsid w:val="00C0102A"/>
    <w:rsid w:val="00C05839"/>
    <w:rsid w:val="00C10578"/>
    <w:rsid w:val="00C11983"/>
    <w:rsid w:val="00C135BC"/>
    <w:rsid w:val="00C15C95"/>
    <w:rsid w:val="00C2596A"/>
    <w:rsid w:val="00C27537"/>
    <w:rsid w:val="00C328FE"/>
    <w:rsid w:val="00C32CC6"/>
    <w:rsid w:val="00C33507"/>
    <w:rsid w:val="00C3744E"/>
    <w:rsid w:val="00C43F8F"/>
    <w:rsid w:val="00C4409D"/>
    <w:rsid w:val="00C44E72"/>
    <w:rsid w:val="00C45A06"/>
    <w:rsid w:val="00C47E5B"/>
    <w:rsid w:val="00C50B26"/>
    <w:rsid w:val="00C53EC2"/>
    <w:rsid w:val="00C545FD"/>
    <w:rsid w:val="00C61E4B"/>
    <w:rsid w:val="00C64BFF"/>
    <w:rsid w:val="00C704E9"/>
    <w:rsid w:val="00C763C9"/>
    <w:rsid w:val="00C80057"/>
    <w:rsid w:val="00C810D0"/>
    <w:rsid w:val="00C82232"/>
    <w:rsid w:val="00C82913"/>
    <w:rsid w:val="00C91C98"/>
    <w:rsid w:val="00C92731"/>
    <w:rsid w:val="00C940F6"/>
    <w:rsid w:val="00C972B1"/>
    <w:rsid w:val="00CA2CCE"/>
    <w:rsid w:val="00CA43FD"/>
    <w:rsid w:val="00CA7EF8"/>
    <w:rsid w:val="00CB75C8"/>
    <w:rsid w:val="00CC2308"/>
    <w:rsid w:val="00CC32C8"/>
    <w:rsid w:val="00CC489B"/>
    <w:rsid w:val="00CD2BCD"/>
    <w:rsid w:val="00CD3A4C"/>
    <w:rsid w:val="00CD4EC7"/>
    <w:rsid w:val="00CE10E9"/>
    <w:rsid w:val="00CE2910"/>
    <w:rsid w:val="00CE5393"/>
    <w:rsid w:val="00CE7631"/>
    <w:rsid w:val="00CF05D4"/>
    <w:rsid w:val="00CF2386"/>
    <w:rsid w:val="00CF36BE"/>
    <w:rsid w:val="00CF6000"/>
    <w:rsid w:val="00D003F3"/>
    <w:rsid w:val="00D0364F"/>
    <w:rsid w:val="00D06834"/>
    <w:rsid w:val="00D15E74"/>
    <w:rsid w:val="00D2326B"/>
    <w:rsid w:val="00D258E7"/>
    <w:rsid w:val="00D271D6"/>
    <w:rsid w:val="00D3089A"/>
    <w:rsid w:val="00D308ED"/>
    <w:rsid w:val="00D32090"/>
    <w:rsid w:val="00D36D86"/>
    <w:rsid w:val="00D428AA"/>
    <w:rsid w:val="00D45227"/>
    <w:rsid w:val="00D4697C"/>
    <w:rsid w:val="00D50657"/>
    <w:rsid w:val="00D50A34"/>
    <w:rsid w:val="00D53EFA"/>
    <w:rsid w:val="00D66991"/>
    <w:rsid w:val="00D762B6"/>
    <w:rsid w:val="00D84DDD"/>
    <w:rsid w:val="00D94A7C"/>
    <w:rsid w:val="00D95896"/>
    <w:rsid w:val="00DB2983"/>
    <w:rsid w:val="00DB4B48"/>
    <w:rsid w:val="00DB63C2"/>
    <w:rsid w:val="00DC1257"/>
    <w:rsid w:val="00DC3DC0"/>
    <w:rsid w:val="00DC591C"/>
    <w:rsid w:val="00DC5B2B"/>
    <w:rsid w:val="00DC7C97"/>
    <w:rsid w:val="00DD318D"/>
    <w:rsid w:val="00DE2C6A"/>
    <w:rsid w:val="00DF29DE"/>
    <w:rsid w:val="00DF2E12"/>
    <w:rsid w:val="00DF514A"/>
    <w:rsid w:val="00DF6690"/>
    <w:rsid w:val="00DF6804"/>
    <w:rsid w:val="00DF6927"/>
    <w:rsid w:val="00E0358D"/>
    <w:rsid w:val="00E03C1C"/>
    <w:rsid w:val="00E04323"/>
    <w:rsid w:val="00E070A2"/>
    <w:rsid w:val="00E17DB6"/>
    <w:rsid w:val="00E23323"/>
    <w:rsid w:val="00E2656A"/>
    <w:rsid w:val="00E412D0"/>
    <w:rsid w:val="00E556B4"/>
    <w:rsid w:val="00E56322"/>
    <w:rsid w:val="00E60982"/>
    <w:rsid w:val="00E62C62"/>
    <w:rsid w:val="00E654C1"/>
    <w:rsid w:val="00E65D97"/>
    <w:rsid w:val="00E72A5A"/>
    <w:rsid w:val="00E73354"/>
    <w:rsid w:val="00E829E9"/>
    <w:rsid w:val="00E859EC"/>
    <w:rsid w:val="00E9242D"/>
    <w:rsid w:val="00EB5207"/>
    <w:rsid w:val="00EB5255"/>
    <w:rsid w:val="00EB5C47"/>
    <w:rsid w:val="00ED0639"/>
    <w:rsid w:val="00ED079F"/>
    <w:rsid w:val="00EF0EC4"/>
    <w:rsid w:val="00EF3E4D"/>
    <w:rsid w:val="00EF4755"/>
    <w:rsid w:val="00EF7135"/>
    <w:rsid w:val="00EF7B42"/>
    <w:rsid w:val="00F027DB"/>
    <w:rsid w:val="00F14A7A"/>
    <w:rsid w:val="00F157C8"/>
    <w:rsid w:val="00F22985"/>
    <w:rsid w:val="00F25403"/>
    <w:rsid w:val="00F27A48"/>
    <w:rsid w:val="00F3383E"/>
    <w:rsid w:val="00F4319D"/>
    <w:rsid w:val="00F465A7"/>
    <w:rsid w:val="00F50B7C"/>
    <w:rsid w:val="00F550E6"/>
    <w:rsid w:val="00F56A2C"/>
    <w:rsid w:val="00F63F08"/>
    <w:rsid w:val="00F65562"/>
    <w:rsid w:val="00F73607"/>
    <w:rsid w:val="00F74345"/>
    <w:rsid w:val="00F76470"/>
    <w:rsid w:val="00F80A0A"/>
    <w:rsid w:val="00F82AFB"/>
    <w:rsid w:val="00F82B19"/>
    <w:rsid w:val="00F90526"/>
    <w:rsid w:val="00F9212D"/>
    <w:rsid w:val="00F94DD3"/>
    <w:rsid w:val="00F954B0"/>
    <w:rsid w:val="00F965DA"/>
    <w:rsid w:val="00F9785E"/>
    <w:rsid w:val="00FA406A"/>
    <w:rsid w:val="00FB2748"/>
    <w:rsid w:val="00FB503A"/>
    <w:rsid w:val="00FB516C"/>
    <w:rsid w:val="00FD0236"/>
    <w:rsid w:val="00FD18F4"/>
    <w:rsid w:val="00FD47B5"/>
    <w:rsid w:val="00FD54DB"/>
    <w:rsid w:val="00FD619F"/>
    <w:rsid w:val="00FD6C87"/>
    <w:rsid w:val="010A71DA"/>
    <w:rsid w:val="010C3DC8"/>
    <w:rsid w:val="0115271F"/>
    <w:rsid w:val="011E498E"/>
    <w:rsid w:val="011E7911"/>
    <w:rsid w:val="01282E62"/>
    <w:rsid w:val="01290F7E"/>
    <w:rsid w:val="01351AD3"/>
    <w:rsid w:val="014365C7"/>
    <w:rsid w:val="01440E9B"/>
    <w:rsid w:val="015D1E09"/>
    <w:rsid w:val="01740786"/>
    <w:rsid w:val="01761E20"/>
    <w:rsid w:val="017E64C1"/>
    <w:rsid w:val="0183453D"/>
    <w:rsid w:val="0186423A"/>
    <w:rsid w:val="019043EF"/>
    <w:rsid w:val="01913E75"/>
    <w:rsid w:val="01967DB2"/>
    <w:rsid w:val="01AD62C5"/>
    <w:rsid w:val="01AE1146"/>
    <w:rsid w:val="01B112E0"/>
    <w:rsid w:val="01B77F31"/>
    <w:rsid w:val="01BC6549"/>
    <w:rsid w:val="01BD0EF3"/>
    <w:rsid w:val="01C52716"/>
    <w:rsid w:val="01D003B8"/>
    <w:rsid w:val="01D427A1"/>
    <w:rsid w:val="01DE7F5C"/>
    <w:rsid w:val="01E1703D"/>
    <w:rsid w:val="01E4674A"/>
    <w:rsid w:val="01E92F42"/>
    <w:rsid w:val="01F21292"/>
    <w:rsid w:val="01F504C2"/>
    <w:rsid w:val="01F84280"/>
    <w:rsid w:val="01FD2AC6"/>
    <w:rsid w:val="01FE687B"/>
    <w:rsid w:val="02023253"/>
    <w:rsid w:val="02075DD8"/>
    <w:rsid w:val="020C67F3"/>
    <w:rsid w:val="022C3763"/>
    <w:rsid w:val="0232186A"/>
    <w:rsid w:val="02367F9F"/>
    <w:rsid w:val="024A51DC"/>
    <w:rsid w:val="024B5FC6"/>
    <w:rsid w:val="024C2B81"/>
    <w:rsid w:val="025362DD"/>
    <w:rsid w:val="02550A72"/>
    <w:rsid w:val="0259076E"/>
    <w:rsid w:val="025A529E"/>
    <w:rsid w:val="025A7B78"/>
    <w:rsid w:val="025F0B06"/>
    <w:rsid w:val="02663C65"/>
    <w:rsid w:val="026659F0"/>
    <w:rsid w:val="02666938"/>
    <w:rsid w:val="02697903"/>
    <w:rsid w:val="026C3262"/>
    <w:rsid w:val="026C4FD1"/>
    <w:rsid w:val="026E6DD2"/>
    <w:rsid w:val="026E6F9B"/>
    <w:rsid w:val="02751A20"/>
    <w:rsid w:val="02781FDC"/>
    <w:rsid w:val="027F21F0"/>
    <w:rsid w:val="02850315"/>
    <w:rsid w:val="028F7400"/>
    <w:rsid w:val="02960AEC"/>
    <w:rsid w:val="02970D00"/>
    <w:rsid w:val="029D166C"/>
    <w:rsid w:val="02A209F3"/>
    <w:rsid w:val="02AD40CA"/>
    <w:rsid w:val="02B2189F"/>
    <w:rsid w:val="02BA4D88"/>
    <w:rsid w:val="02C4091C"/>
    <w:rsid w:val="02C833A3"/>
    <w:rsid w:val="02C973A7"/>
    <w:rsid w:val="02CA77FC"/>
    <w:rsid w:val="02D17962"/>
    <w:rsid w:val="02D432A2"/>
    <w:rsid w:val="02E00465"/>
    <w:rsid w:val="02F11CE4"/>
    <w:rsid w:val="02F44D08"/>
    <w:rsid w:val="02F96569"/>
    <w:rsid w:val="0313287D"/>
    <w:rsid w:val="03174F3D"/>
    <w:rsid w:val="0318402F"/>
    <w:rsid w:val="035614A8"/>
    <w:rsid w:val="0362415B"/>
    <w:rsid w:val="036871A2"/>
    <w:rsid w:val="03692931"/>
    <w:rsid w:val="037F5F1C"/>
    <w:rsid w:val="038137E3"/>
    <w:rsid w:val="038507CB"/>
    <w:rsid w:val="038D1478"/>
    <w:rsid w:val="03965BEC"/>
    <w:rsid w:val="039842CF"/>
    <w:rsid w:val="03987F9F"/>
    <w:rsid w:val="03990FEC"/>
    <w:rsid w:val="03996E3F"/>
    <w:rsid w:val="039A36A3"/>
    <w:rsid w:val="039C2854"/>
    <w:rsid w:val="03A63C91"/>
    <w:rsid w:val="03A87FD8"/>
    <w:rsid w:val="03A92E13"/>
    <w:rsid w:val="03B114DE"/>
    <w:rsid w:val="03B7227C"/>
    <w:rsid w:val="03BB2142"/>
    <w:rsid w:val="03C344B4"/>
    <w:rsid w:val="03C95E48"/>
    <w:rsid w:val="03D16ADB"/>
    <w:rsid w:val="03D462F3"/>
    <w:rsid w:val="03D63E32"/>
    <w:rsid w:val="03DD1CE2"/>
    <w:rsid w:val="03E67A1E"/>
    <w:rsid w:val="03E8260C"/>
    <w:rsid w:val="03EA7B21"/>
    <w:rsid w:val="03EC461B"/>
    <w:rsid w:val="03F45FE6"/>
    <w:rsid w:val="03F9088F"/>
    <w:rsid w:val="040F3A96"/>
    <w:rsid w:val="041476CE"/>
    <w:rsid w:val="041713AA"/>
    <w:rsid w:val="04253689"/>
    <w:rsid w:val="0429421C"/>
    <w:rsid w:val="042B5539"/>
    <w:rsid w:val="04412E2D"/>
    <w:rsid w:val="0442423B"/>
    <w:rsid w:val="04446205"/>
    <w:rsid w:val="044700BE"/>
    <w:rsid w:val="04490D17"/>
    <w:rsid w:val="044E498E"/>
    <w:rsid w:val="0451472C"/>
    <w:rsid w:val="04602913"/>
    <w:rsid w:val="04634A5F"/>
    <w:rsid w:val="046A7164"/>
    <w:rsid w:val="046E6DDE"/>
    <w:rsid w:val="046F70FE"/>
    <w:rsid w:val="04712304"/>
    <w:rsid w:val="04820844"/>
    <w:rsid w:val="04834485"/>
    <w:rsid w:val="04842AA6"/>
    <w:rsid w:val="048465D7"/>
    <w:rsid w:val="0487796D"/>
    <w:rsid w:val="04885CA3"/>
    <w:rsid w:val="04893CFE"/>
    <w:rsid w:val="048D5F88"/>
    <w:rsid w:val="048E2C65"/>
    <w:rsid w:val="04900210"/>
    <w:rsid w:val="049142AD"/>
    <w:rsid w:val="04964902"/>
    <w:rsid w:val="04A97B79"/>
    <w:rsid w:val="04B22060"/>
    <w:rsid w:val="04B41864"/>
    <w:rsid w:val="04B43B60"/>
    <w:rsid w:val="04BA5E32"/>
    <w:rsid w:val="04BC3FEE"/>
    <w:rsid w:val="04BF588C"/>
    <w:rsid w:val="04C07AF7"/>
    <w:rsid w:val="04C57E0E"/>
    <w:rsid w:val="04C91DBA"/>
    <w:rsid w:val="04CF52CF"/>
    <w:rsid w:val="04D23811"/>
    <w:rsid w:val="04D72BD5"/>
    <w:rsid w:val="04E24CCF"/>
    <w:rsid w:val="04E470A0"/>
    <w:rsid w:val="04F15BFB"/>
    <w:rsid w:val="04FC6AE0"/>
    <w:rsid w:val="05023DA4"/>
    <w:rsid w:val="05031C1C"/>
    <w:rsid w:val="0512512F"/>
    <w:rsid w:val="0513540B"/>
    <w:rsid w:val="05145BD8"/>
    <w:rsid w:val="05300759"/>
    <w:rsid w:val="05304E4B"/>
    <w:rsid w:val="05363B2F"/>
    <w:rsid w:val="053C4F33"/>
    <w:rsid w:val="053E348D"/>
    <w:rsid w:val="0547346D"/>
    <w:rsid w:val="054B365B"/>
    <w:rsid w:val="054B63D7"/>
    <w:rsid w:val="05587FCE"/>
    <w:rsid w:val="055B3468"/>
    <w:rsid w:val="055F7D5E"/>
    <w:rsid w:val="056A5CC5"/>
    <w:rsid w:val="056C1260"/>
    <w:rsid w:val="056D7096"/>
    <w:rsid w:val="057238D6"/>
    <w:rsid w:val="057C19CF"/>
    <w:rsid w:val="05896380"/>
    <w:rsid w:val="05A27921"/>
    <w:rsid w:val="05B26AE1"/>
    <w:rsid w:val="05B4741B"/>
    <w:rsid w:val="05B819DC"/>
    <w:rsid w:val="05CC7973"/>
    <w:rsid w:val="05D20AB7"/>
    <w:rsid w:val="05D25B75"/>
    <w:rsid w:val="05D2765C"/>
    <w:rsid w:val="05D71595"/>
    <w:rsid w:val="05E41A4E"/>
    <w:rsid w:val="05EA197C"/>
    <w:rsid w:val="05EC3D1F"/>
    <w:rsid w:val="05F72E03"/>
    <w:rsid w:val="05F83EAE"/>
    <w:rsid w:val="06026953"/>
    <w:rsid w:val="06036299"/>
    <w:rsid w:val="06064F2C"/>
    <w:rsid w:val="060F639F"/>
    <w:rsid w:val="06137257"/>
    <w:rsid w:val="0617312A"/>
    <w:rsid w:val="061C33A6"/>
    <w:rsid w:val="06203CF9"/>
    <w:rsid w:val="06222576"/>
    <w:rsid w:val="06255BC2"/>
    <w:rsid w:val="062622A4"/>
    <w:rsid w:val="06265EA1"/>
    <w:rsid w:val="062A0C58"/>
    <w:rsid w:val="062C120A"/>
    <w:rsid w:val="0632137D"/>
    <w:rsid w:val="06361DCA"/>
    <w:rsid w:val="063E4EA7"/>
    <w:rsid w:val="063E7D85"/>
    <w:rsid w:val="064137AF"/>
    <w:rsid w:val="064223DA"/>
    <w:rsid w:val="064241A7"/>
    <w:rsid w:val="06435F34"/>
    <w:rsid w:val="064E5193"/>
    <w:rsid w:val="065137BD"/>
    <w:rsid w:val="06530982"/>
    <w:rsid w:val="06545855"/>
    <w:rsid w:val="0656369A"/>
    <w:rsid w:val="06636689"/>
    <w:rsid w:val="06636DB4"/>
    <w:rsid w:val="06660B0A"/>
    <w:rsid w:val="066E1982"/>
    <w:rsid w:val="06800594"/>
    <w:rsid w:val="068F0BD1"/>
    <w:rsid w:val="06952A2A"/>
    <w:rsid w:val="06A05F6D"/>
    <w:rsid w:val="06B1240A"/>
    <w:rsid w:val="06B12C02"/>
    <w:rsid w:val="06C151CE"/>
    <w:rsid w:val="06DA080A"/>
    <w:rsid w:val="06E337F1"/>
    <w:rsid w:val="06E53DBE"/>
    <w:rsid w:val="06E61BF7"/>
    <w:rsid w:val="06E84B37"/>
    <w:rsid w:val="06FF453C"/>
    <w:rsid w:val="0701218C"/>
    <w:rsid w:val="070B300A"/>
    <w:rsid w:val="070C0847"/>
    <w:rsid w:val="07175A29"/>
    <w:rsid w:val="07196284"/>
    <w:rsid w:val="071F2612"/>
    <w:rsid w:val="07222102"/>
    <w:rsid w:val="07246A55"/>
    <w:rsid w:val="07267E44"/>
    <w:rsid w:val="07293586"/>
    <w:rsid w:val="07295285"/>
    <w:rsid w:val="07372051"/>
    <w:rsid w:val="07411C2D"/>
    <w:rsid w:val="07421F60"/>
    <w:rsid w:val="075B27E1"/>
    <w:rsid w:val="076247BA"/>
    <w:rsid w:val="07636392"/>
    <w:rsid w:val="07651475"/>
    <w:rsid w:val="07683FB9"/>
    <w:rsid w:val="07684137"/>
    <w:rsid w:val="076F7D7E"/>
    <w:rsid w:val="07770C56"/>
    <w:rsid w:val="077A4051"/>
    <w:rsid w:val="07862E6A"/>
    <w:rsid w:val="078801B7"/>
    <w:rsid w:val="07883F15"/>
    <w:rsid w:val="078B5EF9"/>
    <w:rsid w:val="078D7EC3"/>
    <w:rsid w:val="079009AE"/>
    <w:rsid w:val="07A1396F"/>
    <w:rsid w:val="07A57630"/>
    <w:rsid w:val="07A860A7"/>
    <w:rsid w:val="07B83B9B"/>
    <w:rsid w:val="07B922CC"/>
    <w:rsid w:val="07BA06BE"/>
    <w:rsid w:val="07BA2107"/>
    <w:rsid w:val="07BB607D"/>
    <w:rsid w:val="07C16B01"/>
    <w:rsid w:val="07CC19DE"/>
    <w:rsid w:val="07D442F0"/>
    <w:rsid w:val="07DF0035"/>
    <w:rsid w:val="07E566D3"/>
    <w:rsid w:val="07E70D4B"/>
    <w:rsid w:val="07EF4A40"/>
    <w:rsid w:val="07F65ED5"/>
    <w:rsid w:val="07F910B5"/>
    <w:rsid w:val="07FA3C26"/>
    <w:rsid w:val="080107FF"/>
    <w:rsid w:val="08030A76"/>
    <w:rsid w:val="08045260"/>
    <w:rsid w:val="080C2C59"/>
    <w:rsid w:val="081303C8"/>
    <w:rsid w:val="081631DD"/>
    <w:rsid w:val="08197464"/>
    <w:rsid w:val="0825634E"/>
    <w:rsid w:val="082F0F7A"/>
    <w:rsid w:val="08322AE0"/>
    <w:rsid w:val="08333D4D"/>
    <w:rsid w:val="08395058"/>
    <w:rsid w:val="083C3EE7"/>
    <w:rsid w:val="084E7652"/>
    <w:rsid w:val="085348BC"/>
    <w:rsid w:val="08542D48"/>
    <w:rsid w:val="085663B3"/>
    <w:rsid w:val="085D57EC"/>
    <w:rsid w:val="08620B6C"/>
    <w:rsid w:val="08624B9C"/>
    <w:rsid w:val="086329D2"/>
    <w:rsid w:val="08676B4A"/>
    <w:rsid w:val="08686BCB"/>
    <w:rsid w:val="08730E67"/>
    <w:rsid w:val="087E477D"/>
    <w:rsid w:val="088E6A23"/>
    <w:rsid w:val="08931718"/>
    <w:rsid w:val="089332B7"/>
    <w:rsid w:val="08940A35"/>
    <w:rsid w:val="08975873"/>
    <w:rsid w:val="08A836D6"/>
    <w:rsid w:val="08A87973"/>
    <w:rsid w:val="08A95CD2"/>
    <w:rsid w:val="08B5322E"/>
    <w:rsid w:val="08BD63F1"/>
    <w:rsid w:val="08C66868"/>
    <w:rsid w:val="08D35DAA"/>
    <w:rsid w:val="08D379DA"/>
    <w:rsid w:val="08D4742C"/>
    <w:rsid w:val="08D55065"/>
    <w:rsid w:val="08DD29D1"/>
    <w:rsid w:val="08F31921"/>
    <w:rsid w:val="08F85810"/>
    <w:rsid w:val="09010E46"/>
    <w:rsid w:val="09025C73"/>
    <w:rsid w:val="09055F84"/>
    <w:rsid w:val="09077801"/>
    <w:rsid w:val="091C3E5F"/>
    <w:rsid w:val="092217DD"/>
    <w:rsid w:val="09314221"/>
    <w:rsid w:val="093967E6"/>
    <w:rsid w:val="093A7294"/>
    <w:rsid w:val="093D5BE3"/>
    <w:rsid w:val="09474DE0"/>
    <w:rsid w:val="094A2D56"/>
    <w:rsid w:val="09557124"/>
    <w:rsid w:val="095902E4"/>
    <w:rsid w:val="096229AB"/>
    <w:rsid w:val="09650DC5"/>
    <w:rsid w:val="09714770"/>
    <w:rsid w:val="09724CE9"/>
    <w:rsid w:val="097B0BFE"/>
    <w:rsid w:val="097E75D5"/>
    <w:rsid w:val="09880942"/>
    <w:rsid w:val="099472E7"/>
    <w:rsid w:val="09952138"/>
    <w:rsid w:val="09957871"/>
    <w:rsid w:val="099F2341"/>
    <w:rsid w:val="09AB49D5"/>
    <w:rsid w:val="09AC48D3"/>
    <w:rsid w:val="09C71266"/>
    <w:rsid w:val="09CD45A7"/>
    <w:rsid w:val="09D9119E"/>
    <w:rsid w:val="09DF42DA"/>
    <w:rsid w:val="09F410FD"/>
    <w:rsid w:val="09F47086"/>
    <w:rsid w:val="09F50B09"/>
    <w:rsid w:val="09FA0BED"/>
    <w:rsid w:val="09FA1369"/>
    <w:rsid w:val="09FA3BA3"/>
    <w:rsid w:val="0A063D9A"/>
    <w:rsid w:val="0A0F696E"/>
    <w:rsid w:val="0A263993"/>
    <w:rsid w:val="0A2D3AC2"/>
    <w:rsid w:val="0A323DBD"/>
    <w:rsid w:val="0A362FD0"/>
    <w:rsid w:val="0A3F5E5E"/>
    <w:rsid w:val="0A434DE7"/>
    <w:rsid w:val="0A4800D1"/>
    <w:rsid w:val="0A4A53B6"/>
    <w:rsid w:val="0A5267CD"/>
    <w:rsid w:val="0A546A76"/>
    <w:rsid w:val="0A5C364B"/>
    <w:rsid w:val="0A5D3FB5"/>
    <w:rsid w:val="0A603E15"/>
    <w:rsid w:val="0A6E046B"/>
    <w:rsid w:val="0A726EFC"/>
    <w:rsid w:val="0A7415F0"/>
    <w:rsid w:val="0A7A4792"/>
    <w:rsid w:val="0A884C87"/>
    <w:rsid w:val="0A8950E4"/>
    <w:rsid w:val="0A8A49F4"/>
    <w:rsid w:val="0A8F3CE7"/>
    <w:rsid w:val="0A9A3E13"/>
    <w:rsid w:val="0AA755DF"/>
    <w:rsid w:val="0AB042DC"/>
    <w:rsid w:val="0AB2395F"/>
    <w:rsid w:val="0ABA0FCF"/>
    <w:rsid w:val="0ABB3C38"/>
    <w:rsid w:val="0ABB4D47"/>
    <w:rsid w:val="0ABC4740"/>
    <w:rsid w:val="0AC8253F"/>
    <w:rsid w:val="0ACA55D0"/>
    <w:rsid w:val="0AD0132E"/>
    <w:rsid w:val="0AE41FB3"/>
    <w:rsid w:val="0AEB7501"/>
    <w:rsid w:val="0B0B182B"/>
    <w:rsid w:val="0B0D40C8"/>
    <w:rsid w:val="0B0E131B"/>
    <w:rsid w:val="0B112BB9"/>
    <w:rsid w:val="0B120D44"/>
    <w:rsid w:val="0B1A25E7"/>
    <w:rsid w:val="0B1A3A0F"/>
    <w:rsid w:val="0B20067E"/>
    <w:rsid w:val="0B261B15"/>
    <w:rsid w:val="0B2823DD"/>
    <w:rsid w:val="0B31373A"/>
    <w:rsid w:val="0B48482D"/>
    <w:rsid w:val="0B512FB6"/>
    <w:rsid w:val="0B5854DA"/>
    <w:rsid w:val="0B5A630E"/>
    <w:rsid w:val="0B5C0416"/>
    <w:rsid w:val="0B626A94"/>
    <w:rsid w:val="0B642CE9"/>
    <w:rsid w:val="0B677317"/>
    <w:rsid w:val="0B6E2CCD"/>
    <w:rsid w:val="0B761752"/>
    <w:rsid w:val="0B7A13DC"/>
    <w:rsid w:val="0B7B6124"/>
    <w:rsid w:val="0B80322F"/>
    <w:rsid w:val="0B8769D7"/>
    <w:rsid w:val="0B877927"/>
    <w:rsid w:val="0B8D0F6C"/>
    <w:rsid w:val="0B93455E"/>
    <w:rsid w:val="0BAB1D63"/>
    <w:rsid w:val="0BB46A41"/>
    <w:rsid w:val="0BB57499"/>
    <w:rsid w:val="0BB7042D"/>
    <w:rsid w:val="0BB97DD2"/>
    <w:rsid w:val="0BC00F03"/>
    <w:rsid w:val="0BC87F6C"/>
    <w:rsid w:val="0BD25EA5"/>
    <w:rsid w:val="0BD27BF6"/>
    <w:rsid w:val="0BDB28C5"/>
    <w:rsid w:val="0BE15CD5"/>
    <w:rsid w:val="0BE61950"/>
    <w:rsid w:val="0C05627A"/>
    <w:rsid w:val="0C0B075E"/>
    <w:rsid w:val="0C1110C3"/>
    <w:rsid w:val="0C151740"/>
    <w:rsid w:val="0C1666D9"/>
    <w:rsid w:val="0C1A39DF"/>
    <w:rsid w:val="0C200989"/>
    <w:rsid w:val="0C3B3C7D"/>
    <w:rsid w:val="0C3D33FA"/>
    <w:rsid w:val="0C5715D4"/>
    <w:rsid w:val="0C656D19"/>
    <w:rsid w:val="0C6805B7"/>
    <w:rsid w:val="0C6C43F7"/>
    <w:rsid w:val="0C7C442F"/>
    <w:rsid w:val="0C7D6F79"/>
    <w:rsid w:val="0C8416D0"/>
    <w:rsid w:val="0C856194"/>
    <w:rsid w:val="0C882A07"/>
    <w:rsid w:val="0C8A2F3A"/>
    <w:rsid w:val="0C8B34A5"/>
    <w:rsid w:val="0C956F0E"/>
    <w:rsid w:val="0C9E070C"/>
    <w:rsid w:val="0CA968E2"/>
    <w:rsid w:val="0CAB2EAE"/>
    <w:rsid w:val="0CAF3205"/>
    <w:rsid w:val="0CB657C6"/>
    <w:rsid w:val="0CCD3E11"/>
    <w:rsid w:val="0CD345CA"/>
    <w:rsid w:val="0CD62E87"/>
    <w:rsid w:val="0CE560AB"/>
    <w:rsid w:val="0CE73FFE"/>
    <w:rsid w:val="0CE84A75"/>
    <w:rsid w:val="0CEB5A3C"/>
    <w:rsid w:val="0CF205A0"/>
    <w:rsid w:val="0CFB020B"/>
    <w:rsid w:val="0D0D3D0E"/>
    <w:rsid w:val="0D117A50"/>
    <w:rsid w:val="0D200E44"/>
    <w:rsid w:val="0D201C84"/>
    <w:rsid w:val="0D270472"/>
    <w:rsid w:val="0D313D18"/>
    <w:rsid w:val="0D327A5B"/>
    <w:rsid w:val="0D3D6231"/>
    <w:rsid w:val="0D46126D"/>
    <w:rsid w:val="0D4772EF"/>
    <w:rsid w:val="0D5663F1"/>
    <w:rsid w:val="0D586368"/>
    <w:rsid w:val="0D621C7D"/>
    <w:rsid w:val="0D660F9A"/>
    <w:rsid w:val="0D834AA8"/>
    <w:rsid w:val="0D846595"/>
    <w:rsid w:val="0D86136E"/>
    <w:rsid w:val="0D9F33CC"/>
    <w:rsid w:val="0DA306EE"/>
    <w:rsid w:val="0DA73BEC"/>
    <w:rsid w:val="0DA83420"/>
    <w:rsid w:val="0DA877B8"/>
    <w:rsid w:val="0DB25F8E"/>
    <w:rsid w:val="0DC12675"/>
    <w:rsid w:val="0DC871B0"/>
    <w:rsid w:val="0DD53EB8"/>
    <w:rsid w:val="0DEB2A04"/>
    <w:rsid w:val="0DEC5332"/>
    <w:rsid w:val="0DFC4478"/>
    <w:rsid w:val="0DFE4216"/>
    <w:rsid w:val="0E033729"/>
    <w:rsid w:val="0E037D57"/>
    <w:rsid w:val="0E0A36A7"/>
    <w:rsid w:val="0E0B1B42"/>
    <w:rsid w:val="0E0B7597"/>
    <w:rsid w:val="0E0C7CD8"/>
    <w:rsid w:val="0E0F7345"/>
    <w:rsid w:val="0E184392"/>
    <w:rsid w:val="0E210350"/>
    <w:rsid w:val="0E2350DD"/>
    <w:rsid w:val="0E2E3245"/>
    <w:rsid w:val="0E3407D9"/>
    <w:rsid w:val="0E351CBB"/>
    <w:rsid w:val="0E36669A"/>
    <w:rsid w:val="0E404C9C"/>
    <w:rsid w:val="0E460DCC"/>
    <w:rsid w:val="0E464045"/>
    <w:rsid w:val="0E4C353F"/>
    <w:rsid w:val="0E57721F"/>
    <w:rsid w:val="0E5B462F"/>
    <w:rsid w:val="0E5C05EF"/>
    <w:rsid w:val="0E600514"/>
    <w:rsid w:val="0E65475F"/>
    <w:rsid w:val="0E73034D"/>
    <w:rsid w:val="0E7D2A40"/>
    <w:rsid w:val="0E8333BD"/>
    <w:rsid w:val="0E8900D5"/>
    <w:rsid w:val="0E935165"/>
    <w:rsid w:val="0E9452A5"/>
    <w:rsid w:val="0E9B4C74"/>
    <w:rsid w:val="0E9F7BC1"/>
    <w:rsid w:val="0EA711DD"/>
    <w:rsid w:val="0EAC0AC2"/>
    <w:rsid w:val="0EBE2179"/>
    <w:rsid w:val="0EC0683C"/>
    <w:rsid w:val="0EDB32C2"/>
    <w:rsid w:val="0EE21323"/>
    <w:rsid w:val="0EE22AE5"/>
    <w:rsid w:val="0EE26A65"/>
    <w:rsid w:val="0EE36E7C"/>
    <w:rsid w:val="0F031506"/>
    <w:rsid w:val="0F046CBD"/>
    <w:rsid w:val="0F0E56D2"/>
    <w:rsid w:val="0F13775A"/>
    <w:rsid w:val="0F1467D4"/>
    <w:rsid w:val="0F170DE5"/>
    <w:rsid w:val="0F19203C"/>
    <w:rsid w:val="0F1F356E"/>
    <w:rsid w:val="0F20161D"/>
    <w:rsid w:val="0F3330FE"/>
    <w:rsid w:val="0F3F2A66"/>
    <w:rsid w:val="0F451083"/>
    <w:rsid w:val="0F4539B2"/>
    <w:rsid w:val="0F474DFC"/>
    <w:rsid w:val="0F543B7E"/>
    <w:rsid w:val="0F554D3F"/>
    <w:rsid w:val="0F5842A9"/>
    <w:rsid w:val="0F5A0F7A"/>
    <w:rsid w:val="0F5A4B2F"/>
    <w:rsid w:val="0F5F45FE"/>
    <w:rsid w:val="0F73799F"/>
    <w:rsid w:val="0F784FB5"/>
    <w:rsid w:val="0F78515A"/>
    <w:rsid w:val="0F79092B"/>
    <w:rsid w:val="0F794915"/>
    <w:rsid w:val="0F7D0B61"/>
    <w:rsid w:val="0F836583"/>
    <w:rsid w:val="0F8674A7"/>
    <w:rsid w:val="0F894AB8"/>
    <w:rsid w:val="0F8E370C"/>
    <w:rsid w:val="0F8F4043"/>
    <w:rsid w:val="0F9A112B"/>
    <w:rsid w:val="0FA43F59"/>
    <w:rsid w:val="0FAA5250"/>
    <w:rsid w:val="0FAD5F50"/>
    <w:rsid w:val="0FAE6211"/>
    <w:rsid w:val="0FB94417"/>
    <w:rsid w:val="0FC5043D"/>
    <w:rsid w:val="0FC60F4D"/>
    <w:rsid w:val="0FDC43AF"/>
    <w:rsid w:val="0FE708DB"/>
    <w:rsid w:val="0FEB33FE"/>
    <w:rsid w:val="0FEB6240"/>
    <w:rsid w:val="0FEF38AA"/>
    <w:rsid w:val="0FFD0285"/>
    <w:rsid w:val="1000756E"/>
    <w:rsid w:val="10023D42"/>
    <w:rsid w:val="1010759E"/>
    <w:rsid w:val="1017474C"/>
    <w:rsid w:val="10190546"/>
    <w:rsid w:val="102C755E"/>
    <w:rsid w:val="102D5D9F"/>
    <w:rsid w:val="102F148A"/>
    <w:rsid w:val="103233B6"/>
    <w:rsid w:val="10351FF0"/>
    <w:rsid w:val="103A04BC"/>
    <w:rsid w:val="10443740"/>
    <w:rsid w:val="10486C34"/>
    <w:rsid w:val="10514C0C"/>
    <w:rsid w:val="10527191"/>
    <w:rsid w:val="105347B8"/>
    <w:rsid w:val="105772C0"/>
    <w:rsid w:val="10594F81"/>
    <w:rsid w:val="105B7035"/>
    <w:rsid w:val="10667503"/>
    <w:rsid w:val="106D2F64"/>
    <w:rsid w:val="106D4DF9"/>
    <w:rsid w:val="106E6B34"/>
    <w:rsid w:val="10752BDB"/>
    <w:rsid w:val="107614E0"/>
    <w:rsid w:val="107D249D"/>
    <w:rsid w:val="107D6BD1"/>
    <w:rsid w:val="10806817"/>
    <w:rsid w:val="10880CED"/>
    <w:rsid w:val="10896175"/>
    <w:rsid w:val="109A53CE"/>
    <w:rsid w:val="10A06571"/>
    <w:rsid w:val="10A2039D"/>
    <w:rsid w:val="10A5627E"/>
    <w:rsid w:val="10AC760C"/>
    <w:rsid w:val="10AD1EDB"/>
    <w:rsid w:val="10B154F6"/>
    <w:rsid w:val="10B36C33"/>
    <w:rsid w:val="10B63710"/>
    <w:rsid w:val="10C021FE"/>
    <w:rsid w:val="10C65194"/>
    <w:rsid w:val="10C81F6C"/>
    <w:rsid w:val="10DB3FBB"/>
    <w:rsid w:val="10DD1863"/>
    <w:rsid w:val="10E072B6"/>
    <w:rsid w:val="10E34306"/>
    <w:rsid w:val="10E8616A"/>
    <w:rsid w:val="10EA5A3E"/>
    <w:rsid w:val="10F10820"/>
    <w:rsid w:val="10FA10FE"/>
    <w:rsid w:val="11006B12"/>
    <w:rsid w:val="1102547E"/>
    <w:rsid w:val="110D7483"/>
    <w:rsid w:val="1111121D"/>
    <w:rsid w:val="11183BAB"/>
    <w:rsid w:val="111C2F7A"/>
    <w:rsid w:val="112E6273"/>
    <w:rsid w:val="113266C8"/>
    <w:rsid w:val="11332BDF"/>
    <w:rsid w:val="11365128"/>
    <w:rsid w:val="113A41CF"/>
    <w:rsid w:val="11504DF5"/>
    <w:rsid w:val="11522378"/>
    <w:rsid w:val="11525C68"/>
    <w:rsid w:val="11561326"/>
    <w:rsid w:val="115D0906"/>
    <w:rsid w:val="116130B4"/>
    <w:rsid w:val="11665CA1"/>
    <w:rsid w:val="116C0B49"/>
    <w:rsid w:val="116F23E8"/>
    <w:rsid w:val="117A5014"/>
    <w:rsid w:val="117B0D8C"/>
    <w:rsid w:val="117F6440"/>
    <w:rsid w:val="118273C5"/>
    <w:rsid w:val="118440E5"/>
    <w:rsid w:val="118810CD"/>
    <w:rsid w:val="11910E95"/>
    <w:rsid w:val="11927F34"/>
    <w:rsid w:val="11936992"/>
    <w:rsid w:val="119E6FB4"/>
    <w:rsid w:val="119F1741"/>
    <w:rsid w:val="11AD357A"/>
    <w:rsid w:val="11AD4D91"/>
    <w:rsid w:val="11B036FF"/>
    <w:rsid w:val="11B61557"/>
    <w:rsid w:val="11BD1BAD"/>
    <w:rsid w:val="11C52008"/>
    <w:rsid w:val="11CB72F4"/>
    <w:rsid w:val="11D31A38"/>
    <w:rsid w:val="11D37484"/>
    <w:rsid w:val="11D463F0"/>
    <w:rsid w:val="11D4691D"/>
    <w:rsid w:val="11D60DA0"/>
    <w:rsid w:val="11EE00D5"/>
    <w:rsid w:val="11F24DF7"/>
    <w:rsid w:val="11F853FE"/>
    <w:rsid w:val="11FE1687"/>
    <w:rsid w:val="120431E3"/>
    <w:rsid w:val="120A269B"/>
    <w:rsid w:val="12161FC9"/>
    <w:rsid w:val="122356AC"/>
    <w:rsid w:val="12255C44"/>
    <w:rsid w:val="12293610"/>
    <w:rsid w:val="12305987"/>
    <w:rsid w:val="1232090E"/>
    <w:rsid w:val="12391273"/>
    <w:rsid w:val="123A47A4"/>
    <w:rsid w:val="123D6243"/>
    <w:rsid w:val="123F2754"/>
    <w:rsid w:val="12425176"/>
    <w:rsid w:val="12504015"/>
    <w:rsid w:val="12521C1C"/>
    <w:rsid w:val="12556C79"/>
    <w:rsid w:val="125C7179"/>
    <w:rsid w:val="12611751"/>
    <w:rsid w:val="127734AD"/>
    <w:rsid w:val="12781E6D"/>
    <w:rsid w:val="127A564B"/>
    <w:rsid w:val="128123D2"/>
    <w:rsid w:val="128E2AA2"/>
    <w:rsid w:val="12923351"/>
    <w:rsid w:val="12977E48"/>
    <w:rsid w:val="129A0BC3"/>
    <w:rsid w:val="12A73CCA"/>
    <w:rsid w:val="12AA0A6A"/>
    <w:rsid w:val="12AE5884"/>
    <w:rsid w:val="12B26441"/>
    <w:rsid w:val="12B36955"/>
    <w:rsid w:val="12B95257"/>
    <w:rsid w:val="12BE7183"/>
    <w:rsid w:val="12CF4581"/>
    <w:rsid w:val="12D92724"/>
    <w:rsid w:val="12E34E3B"/>
    <w:rsid w:val="12EC61D1"/>
    <w:rsid w:val="12F928B1"/>
    <w:rsid w:val="1306440E"/>
    <w:rsid w:val="130721E1"/>
    <w:rsid w:val="130A533F"/>
    <w:rsid w:val="130C3C89"/>
    <w:rsid w:val="131B02E2"/>
    <w:rsid w:val="131E4B1F"/>
    <w:rsid w:val="131F6AB7"/>
    <w:rsid w:val="13232A85"/>
    <w:rsid w:val="13232D35"/>
    <w:rsid w:val="13240F3D"/>
    <w:rsid w:val="13290B68"/>
    <w:rsid w:val="133739BE"/>
    <w:rsid w:val="133B07D3"/>
    <w:rsid w:val="13484EA9"/>
    <w:rsid w:val="134E49AB"/>
    <w:rsid w:val="13576C5A"/>
    <w:rsid w:val="13577347"/>
    <w:rsid w:val="135B4D34"/>
    <w:rsid w:val="13653AA2"/>
    <w:rsid w:val="137307A7"/>
    <w:rsid w:val="1379771D"/>
    <w:rsid w:val="138265B3"/>
    <w:rsid w:val="138442F0"/>
    <w:rsid w:val="138D3FA2"/>
    <w:rsid w:val="139475CF"/>
    <w:rsid w:val="13951726"/>
    <w:rsid w:val="13962702"/>
    <w:rsid w:val="13963C5C"/>
    <w:rsid w:val="13A02D2C"/>
    <w:rsid w:val="13A66595"/>
    <w:rsid w:val="13A71EA0"/>
    <w:rsid w:val="13AA194B"/>
    <w:rsid w:val="13B463CC"/>
    <w:rsid w:val="13C62D3E"/>
    <w:rsid w:val="13CB0483"/>
    <w:rsid w:val="13CC337F"/>
    <w:rsid w:val="13D467BE"/>
    <w:rsid w:val="13DA4490"/>
    <w:rsid w:val="13E40AD4"/>
    <w:rsid w:val="13E51B5B"/>
    <w:rsid w:val="13F03EA2"/>
    <w:rsid w:val="13F30EDA"/>
    <w:rsid w:val="13F56BD4"/>
    <w:rsid w:val="13FA2B63"/>
    <w:rsid w:val="13FC7287"/>
    <w:rsid w:val="13FF340F"/>
    <w:rsid w:val="14056C11"/>
    <w:rsid w:val="140F7ACA"/>
    <w:rsid w:val="143259B0"/>
    <w:rsid w:val="1432607A"/>
    <w:rsid w:val="14396509"/>
    <w:rsid w:val="14413D9A"/>
    <w:rsid w:val="14431357"/>
    <w:rsid w:val="14467430"/>
    <w:rsid w:val="144B663D"/>
    <w:rsid w:val="144D5655"/>
    <w:rsid w:val="145419C5"/>
    <w:rsid w:val="145C4EA5"/>
    <w:rsid w:val="145E16ED"/>
    <w:rsid w:val="1460233C"/>
    <w:rsid w:val="14675121"/>
    <w:rsid w:val="14695D26"/>
    <w:rsid w:val="14715911"/>
    <w:rsid w:val="1472590E"/>
    <w:rsid w:val="147366B5"/>
    <w:rsid w:val="14745904"/>
    <w:rsid w:val="14782CA6"/>
    <w:rsid w:val="14785667"/>
    <w:rsid w:val="147C10A3"/>
    <w:rsid w:val="14902DA1"/>
    <w:rsid w:val="14927C85"/>
    <w:rsid w:val="14AD74AF"/>
    <w:rsid w:val="14B04F4C"/>
    <w:rsid w:val="14BB6070"/>
    <w:rsid w:val="14C15B6F"/>
    <w:rsid w:val="14C72C6E"/>
    <w:rsid w:val="14D40792"/>
    <w:rsid w:val="14DB603C"/>
    <w:rsid w:val="14DD2C3C"/>
    <w:rsid w:val="14DE55CB"/>
    <w:rsid w:val="14DF014A"/>
    <w:rsid w:val="14DF7DBB"/>
    <w:rsid w:val="14E943A9"/>
    <w:rsid w:val="14ED01F3"/>
    <w:rsid w:val="14F74BCE"/>
    <w:rsid w:val="150443FD"/>
    <w:rsid w:val="150818A7"/>
    <w:rsid w:val="150A37CE"/>
    <w:rsid w:val="150C0679"/>
    <w:rsid w:val="151224F0"/>
    <w:rsid w:val="15141DF6"/>
    <w:rsid w:val="15167761"/>
    <w:rsid w:val="151B2D23"/>
    <w:rsid w:val="151E71C7"/>
    <w:rsid w:val="152731CF"/>
    <w:rsid w:val="15363948"/>
    <w:rsid w:val="15376EC6"/>
    <w:rsid w:val="153F1FC7"/>
    <w:rsid w:val="154B554D"/>
    <w:rsid w:val="154C5AEB"/>
    <w:rsid w:val="154F67B8"/>
    <w:rsid w:val="155D4C9C"/>
    <w:rsid w:val="155D642C"/>
    <w:rsid w:val="155D7127"/>
    <w:rsid w:val="1562648E"/>
    <w:rsid w:val="156A0D46"/>
    <w:rsid w:val="156C736A"/>
    <w:rsid w:val="156F0C08"/>
    <w:rsid w:val="15741F45"/>
    <w:rsid w:val="15744470"/>
    <w:rsid w:val="1580202D"/>
    <w:rsid w:val="159536D0"/>
    <w:rsid w:val="159E0588"/>
    <w:rsid w:val="15A41D23"/>
    <w:rsid w:val="15A96BAD"/>
    <w:rsid w:val="15B00D4F"/>
    <w:rsid w:val="15B023F0"/>
    <w:rsid w:val="15B05EC1"/>
    <w:rsid w:val="15B21DF1"/>
    <w:rsid w:val="15BA024D"/>
    <w:rsid w:val="15C60095"/>
    <w:rsid w:val="15CD1816"/>
    <w:rsid w:val="15CE592F"/>
    <w:rsid w:val="15D05B4B"/>
    <w:rsid w:val="15E3035A"/>
    <w:rsid w:val="15E50ECA"/>
    <w:rsid w:val="15E9328B"/>
    <w:rsid w:val="16016036"/>
    <w:rsid w:val="160515FF"/>
    <w:rsid w:val="1606485B"/>
    <w:rsid w:val="16087E1D"/>
    <w:rsid w:val="16112E9F"/>
    <w:rsid w:val="161935E4"/>
    <w:rsid w:val="16282F80"/>
    <w:rsid w:val="163141F5"/>
    <w:rsid w:val="16321CA0"/>
    <w:rsid w:val="16337159"/>
    <w:rsid w:val="163509E4"/>
    <w:rsid w:val="164326E6"/>
    <w:rsid w:val="16460C59"/>
    <w:rsid w:val="16491459"/>
    <w:rsid w:val="164B6222"/>
    <w:rsid w:val="165D4F05"/>
    <w:rsid w:val="165E5B44"/>
    <w:rsid w:val="165F42AE"/>
    <w:rsid w:val="166103AE"/>
    <w:rsid w:val="16681B75"/>
    <w:rsid w:val="16685D88"/>
    <w:rsid w:val="166D53C6"/>
    <w:rsid w:val="16776F65"/>
    <w:rsid w:val="167D0CC7"/>
    <w:rsid w:val="16812378"/>
    <w:rsid w:val="16905228"/>
    <w:rsid w:val="16A738BE"/>
    <w:rsid w:val="16B2711D"/>
    <w:rsid w:val="16B85B0F"/>
    <w:rsid w:val="16BB0148"/>
    <w:rsid w:val="16BF0BDA"/>
    <w:rsid w:val="16CF5E02"/>
    <w:rsid w:val="16D61FC6"/>
    <w:rsid w:val="16D93E09"/>
    <w:rsid w:val="16E00441"/>
    <w:rsid w:val="16E533C1"/>
    <w:rsid w:val="16EE6933"/>
    <w:rsid w:val="16EF1D22"/>
    <w:rsid w:val="16EF3DAF"/>
    <w:rsid w:val="16F569BA"/>
    <w:rsid w:val="16FB238C"/>
    <w:rsid w:val="16FB6440"/>
    <w:rsid w:val="17100A02"/>
    <w:rsid w:val="171C0EFE"/>
    <w:rsid w:val="172B6DB1"/>
    <w:rsid w:val="172E7CE3"/>
    <w:rsid w:val="172F756B"/>
    <w:rsid w:val="173619DD"/>
    <w:rsid w:val="173735EE"/>
    <w:rsid w:val="173D59E6"/>
    <w:rsid w:val="17445C49"/>
    <w:rsid w:val="17513B4F"/>
    <w:rsid w:val="17542221"/>
    <w:rsid w:val="175470E6"/>
    <w:rsid w:val="175A3D80"/>
    <w:rsid w:val="176522C3"/>
    <w:rsid w:val="176A0BB1"/>
    <w:rsid w:val="176A284D"/>
    <w:rsid w:val="17701D14"/>
    <w:rsid w:val="17714FEA"/>
    <w:rsid w:val="17735226"/>
    <w:rsid w:val="178B7A91"/>
    <w:rsid w:val="178C3A8A"/>
    <w:rsid w:val="17903EE0"/>
    <w:rsid w:val="17912F8E"/>
    <w:rsid w:val="17925102"/>
    <w:rsid w:val="17955555"/>
    <w:rsid w:val="179A3525"/>
    <w:rsid w:val="179B504E"/>
    <w:rsid w:val="179C0C57"/>
    <w:rsid w:val="179E13C9"/>
    <w:rsid w:val="17A6306A"/>
    <w:rsid w:val="17A84258"/>
    <w:rsid w:val="17AA4179"/>
    <w:rsid w:val="17AC3363"/>
    <w:rsid w:val="17B7711E"/>
    <w:rsid w:val="17B80616"/>
    <w:rsid w:val="17B92737"/>
    <w:rsid w:val="17C27715"/>
    <w:rsid w:val="17C84D31"/>
    <w:rsid w:val="17CC0489"/>
    <w:rsid w:val="17D60E0D"/>
    <w:rsid w:val="17D67A8C"/>
    <w:rsid w:val="17DD62D3"/>
    <w:rsid w:val="17DE3E23"/>
    <w:rsid w:val="17E625D8"/>
    <w:rsid w:val="17F378CF"/>
    <w:rsid w:val="17F4785E"/>
    <w:rsid w:val="17F55BC7"/>
    <w:rsid w:val="17F57536"/>
    <w:rsid w:val="17FD60AF"/>
    <w:rsid w:val="18001FEB"/>
    <w:rsid w:val="18051327"/>
    <w:rsid w:val="18096972"/>
    <w:rsid w:val="182C3422"/>
    <w:rsid w:val="183458D1"/>
    <w:rsid w:val="18383578"/>
    <w:rsid w:val="18447977"/>
    <w:rsid w:val="184E7B2F"/>
    <w:rsid w:val="184F6765"/>
    <w:rsid w:val="18534811"/>
    <w:rsid w:val="185A3167"/>
    <w:rsid w:val="185B1F3E"/>
    <w:rsid w:val="185D1C5F"/>
    <w:rsid w:val="186546BC"/>
    <w:rsid w:val="18694035"/>
    <w:rsid w:val="186E51A7"/>
    <w:rsid w:val="187C2988"/>
    <w:rsid w:val="188224E9"/>
    <w:rsid w:val="18835027"/>
    <w:rsid w:val="18900D4D"/>
    <w:rsid w:val="189078DA"/>
    <w:rsid w:val="189F624C"/>
    <w:rsid w:val="18AA7889"/>
    <w:rsid w:val="18AB43C5"/>
    <w:rsid w:val="18AD19F2"/>
    <w:rsid w:val="18BA663E"/>
    <w:rsid w:val="18C01026"/>
    <w:rsid w:val="18C37AA7"/>
    <w:rsid w:val="18C53340"/>
    <w:rsid w:val="18CC0A2E"/>
    <w:rsid w:val="18E24A74"/>
    <w:rsid w:val="18EC6568"/>
    <w:rsid w:val="18ED484C"/>
    <w:rsid w:val="18EF453A"/>
    <w:rsid w:val="18F2402A"/>
    <w:rsid w:val="18F86036"/>
    <w:rsid w:val="18FC10BF"/>
    <w:rsid w:val="19063631"/>
    <w:rsid w:val="190B796B"/>
    <w:rsid w:val="19136AAC"/>
    <w:rsid w:val="19191980"/>
    <w:rsid w:val="19204742"/>
    <w:rsid w:val="19207DCE"/>
    <w:rsid w:val="19252B34"/>
    <w:rsid w:val="192D6227"/>
    <w:rsid w:val="19362C95"/>
    <w:rsid w:val="193B047E"/>
    <w:rsid w:val="193D11DB"/>
    <w:rsid w:val="19444BC2"/>
    <w:rsid w:val="19481E9C"/>
    <w:rsid w:val="194D74B2"/>
    <w:rsid w:val="194F322A"/>
    <w:rsid w:val="19533059"/>
    <w:rsid w:val="195E346D"/>
    <w:rsid w:val="19692D7C"/>
    <w:rsid w:val="19821042"/>
    <w:rsid w:val="198567EB"/>
    <w:rsid w:val="1990091C"/>
    <w:rsid w:val="19913E8C"/>
    <w:rsid w:val="19921369"/>
    <w:rsid w:val="199E7CF0"/>
    <w:rsid w:val="199F0177"/>
    <w:rsid w:val="199F666A"/>
    <w:rsid w:val="19A5109C"/>
    <w:rsid w:val="19AE61A3"/>
    <w:rsid w:val="19B80DD0"/>
    <w:rsid w:val="19BB59D0"/>
    <w:rsid w:val="19C81069"/>
    <w:rsid w:val="19C951C1"/>
    <w:rsid w:val="19CD458E"/>
    <w:rsid w:val="19D61256"/>
    <w:rsid w:val="19DC6249"/>
    <w:rsid w:val="19E00326"/>
    <w:rsid w:val="19F274F4"/>
    <w:rsid w:val="19F30B61"/>
    <w:rsid w:val="19FD6E07"/>
    <w:rsid w:val="1A021DEE"/>
    <w:rsid w:val="1A041F6C"/>
    <w:rsid w:val="1A0B17F2"/>
    <w:rsid w:val="1A0C26AC"/>
    <w:rsid w:val="1A0C7662"/>
    <w:rsid w:val="1A0F185A"/>
    <w:rsid w:val="1A147FD0"/>
    <w:rsid w:val="1A173434"/>
    <w:rsid w:val="1A1C66C0"/>
    <w:rsid w:val="1A2A2845"/>
    <w:rsid w:val="1A2D437F"/>
    <w:rsid w:val="1A306D95"/>
    <w:rsid w:val="1A332151"/>
    <w:rsid w:val="1A3348FA"/>
    <w:rsid w:val="1A42393B"/>
    <w:rsid w:val="1A646862"/>
    <w:rsid w:val="1A67567B"/>
    <w:rsid w:val="1A6B4094"/>
    <w:rsid w:val="1A7117ED"/>
    <w:rsid w:val="1A7202BE"/>
    <w:rsid w:val="1A7653F6"/>
    <w:rsid w:val="1A7F31EF"/>
    <w:rsid w:val="1A804512"/>
    <w:rsid w:val="1A8A7433"/>
    <w:rsid w:val="1A8C5DB8"/>
    <w:rsid w:val="1A9F1336"/>
    <w:rsid w:val="1AA255DC"/>
    <w:rsid w:val="1AAD45DE"/>
    <w:rsid w:val="1AB776C0"/>
    <w:rsid w:val="1AB84DFF"/>
    <w:rsid w:val="1AC11F06"/>
    <w:rsid w:val="1ACE6EF8"/>
    <w:rsid w:val="1AD82DAC"/>
    <w:rsid w:val="1AE10DA2"/>
    <w:rsid w:val="1AE12081"/>
    <w:rsid w:val="1AEA7019"/>
    <w:rsid w:val="1AEB6F83"/>
    <w:rsid w:val="1AEE64EF"/>
    <w:rsid w:val="1AF04599"/>
    <w:rsid w:val="1AF643E6"/>
    <w:rsid w:val="1B045F93"/>
    <w:rsid w:val="1B046F80"/>
    <w:rsid w:val="1B093FA9"/>
    <w:rsid w:val="1B0E1FB1"/>
    <w:rsid w:val="1B132AD8"/>
    <w:rsid w:val="1B1821CF"/>
    <w:rsid w:val="1B1C670C"/>
    <w:rsid w:val="1B3267B5"/>
    <w:rsid w:val="1B363FD7"/>
    <w:rsid w:val="1B40161D"/>
    <w:rsid w:val="1B43291B"/>
    <w:rsid w:val="1B441859"/>
    <w:rsid w:val="1B4459E3"/>
    <w:rsid w:val="1B4545CD"/>
    <w:rsid w:val="1B4A6BB9"/>
    <w:rsid w:val="1B507193"/>
    <w:rsid w:val="1B6603B7"/>
    <w:rsid w:val="1B6606B1"/>
    <w:rsid w:val="1B690B70"/>
    <w:rsid w:val="1B785F43"/>
    <w:rsid w:val="1B7945ED"/>
    <w:rsid w:val="1B7E7DF7"/>
    <w:rsid w:val="1B826F66"/>
    <w:rsid w:val="1B83540D"/>
    <w:rsid w:val="1B88523E"/>
    <w:rsid w:val="1B8C2514"/>
    <w:rsid w:val="1B8D5B82"/>
    <w:rsid w:val="1B9B4505"/>
    <w:rsid w:val="1B9C57F6"/>
    <w:rsid w:val="1BA310F5"/>
    <w:rsid w:val="1BCD2DCD"/>
    <w:rsid w:val="1BDA3C94"/>
    <w:rsid w:val="1BE3567C"/>
    <w:rsid w:val="1BE91714"/>
    <w:rsid w:val="1BE96C9F"/>
    <w:rsid w:val="1BEC62F2"/>
    <w:rsid w:val="1BFD65D7"/>
    <w:rsid w:val="1C0423EE"/>
    <w:rsid w:val="1C0426CF"/>
    <w:rsid w:val="1C0B7DB5"/>
    <w:rsid w:val="1C116575"/>
    <w:rsid w:val="1C1442B7"/>
    <w:rsid w:val="1C1C16EF"/>
    <w:rsid w:val="1C23713A"/>
    <w:rsid w:val="1C237592"/>
    <w:rsid w:val="1C3015D5"/>
    <w:rsid w:val="1C3A271C"/>
    <w:rsid w:val="1C3E07D3"/>
    <w:rsid w:val="1C4050AC"/>
    <w:rsid w:val="1C4306F9"/>
    <w:rsid w:val="1C4A6BA0"/>
    <w:rsid w:val="1C4E7BFF"/>
    <w:rsid w:val="1C5868F1"/>
    <w:rsid w:val="1C5E7925"/>
    <w:rsid w:val="1C674627"/>
    <w:rsid w:val="1C6E5776"/>
    <w:rsid w:val="1C7A583D"/>
    <w:rsid w:val="1C7B7E93"/>
    <w:rsid w:val="1C7F3E27"/>
    <w:rsid w:val="1C8E1545"/>
    <w:rsid w:val="1C957EDB"/>
    <w:rsid w:val="1C9D24FF"/>
    <w:rsid w:val="1C9E0F30"/>
    <w:rsid w:val="1CA34723"/>
    <w:rsid w:val="1CA60B46"/>
    <w:rsid w:val="1CA72449"/>
    <w:rsid w:val="1CAB4C1C"/>
    <w:rsid w:val="1CB80B46"/>
    <w:rsid w:val="1CCD27DE"/>
    <w:rsid w:val="1CD10E9D"/>
    <w:rsid w:val="1CD5243D"/>
    <w:rsid w:val="1CD9350C"/>
    <w:rsid w:val="1CDF1D67"/>
    <w:rsid w:val="1CE35C57"/>
    <w:rsid w:val="1CFD070F"/>
    <w:rsid w:val="1D0D31EA"/>
    <w:rsid w:val="1D1125A5"/>
    <w:rsid w:val="1D2B2963"/>
    <w:rsid w:val="1D3364D2"/>
    <w:rsid w:val="1D3369BF"/>
    <w:rsid w:val="1D365280"/>
    <w:rsid w:val="1D3B3E29"/>
    <w:rsid w:val="1D495458"/>
    <w:rsid w:val="1D4D2797"/>
    <w:rsid w:val="1D4F7EA6"/>
    <w:rsid w:val="1D5F6196"/>
    <w:rsid w:val="1D6132A5"/>
    <w:rsid w:val="1D632A00"/>
    <w:rsid w:val="1D6E17A5"/>
    <w:rsid w:val="1D6F75F2"/>
    <w:rsid w:val="1D7019C1"/>
    <w:rsid w:val="1D722B73"/>
    <w:rsid w:val="1D7370E3"/>
    <w:rsid w:val="1D884F5D"/>
    <w:rsid w:val="1D8E56D5"/>
    <w:rsid w:val="1D90194C"/>
    <w:rsid w:val="1D99003E"/>
    <w:rsid w:val="1D9A3385"/>
    <w:rsid w:val="1D9B53C8"/>
    <w:rsid w:val="1D9E4464"/>
    <w:rsid w:val="1DA90ACE"/>
    <w:rsid w:val="1DA90BE5"/>
    <w:rsid w:val="1DAA1804"/>
    <w:rsid w:val="1DAD3715"/>
    <w:rsid w:val="1DBA45C8"/>
    <w:rsid w:val="1DBD3F38"/>
    <w:rsid w:val="1DC616CC"/>
    <w:rsid w:val="1DCD696C"/>
    <w:rsid w:val="1DCE467F"/>
    <w:rsid w:val="1DD526F1"/>
    <w:rsid w:val="1DD83A0E"/>
    <w:rsid w:val="1DDC550B"/>
    <w:rsid w:val="1DE8737E"/>
    <w:rsid w:val="1DEA1774"/>
    <w:rsid w:val="1DEC729A"/>
    <w:rsid w:val="1DF20628"/>
    <w:rsid w:val="1DF60118"/>
    <w:rsid w:val="1DFF6CDA"/>
    <w:rsid w:val="1E041AD4"/>
    <w:rsid w:val="1E0D5462"/>
    <w:rsid w:val="1E1962EB"/>
    <w:rsid w:val="1E1C797A"/>
    <w:rsid w:val="1E223D50"/>
    <w:rsid w:val="1E234348"/>
    <w:rsid w:val="1E383DE6"/>
    <w:rsid w:val="1E4149D1"/>
    <w:rsid w:val="1E447B89"/>
    <w:rsid w:val="1E4724B3"/>
    <w:rsid w:val="1E520173"/>
    <w:rsid w:val="1E58492F"/>
    <w:rsid w:val="1E594203"/>
    <w:rsid w:val="1E5D1F46"/>
    <w:rsid w:val="1E67714C"/>
    <w:rsid w:val="1E7018E9"/>
    <w:rsid w:val="1E71154D"/>
    <w:rsid w:val="1E733517"/>
    <w:rsid w:val="1E761259"/>
    <w:rsid w:val="1E793B0D"/>
    <w:rsid w:val="1E7A43DA"/>
    <w:rsid w:val="1E7C0F81"/>
    <w:rsid w:val="1E937715"/>
    <w:rsid w:val="1EA3650A"/>
    <w:rsid w:val="1EAB5080"/>
    <w:rsid w:val="1EAC1917"/>
    <w:rsid w:val="1EBA722E"/>
    <w:rsid w:val="1EBB1640"/>
    <w:rsid w:val="1EC024D4"/>
    <w:rsid w:val="1EC141A2"/>
    <w:rsid w:val="1EC71A08"/>
    <w:rsid w:val="1EC77272"/>
    <w:rsid w:val="1ED1245C"/>
    <w:rsid w:val="1ED306F6"/>
    <w:rsid w:val="1EDB2623"/>
    <w:rsid w:val="1EDD5F0D"/>
    <w:rsid w:val="1EE73F05"/>
    <w:rsid w:val="1F0321A7"/>
    <w:rsid w:val="1F071EB1"/>
    <w:rsid w:val="1F0B19A2"/>
    <w:rsid w:val="1F0B2C80"/>
    <w:rsid w:val="1F0B7BF4"/>
    <w:rsid w:val="1F1437EE"/>
    <w:rsid w:val="1F1A3993"/>
    <w:rsid w:val="1F2244C5"/>
    <w:rsid w:val="1F244029"/>
    <w:rsid w:val="1F3A2287"/>
    <w:rsid w:val="1F3A2D12"/>
    <w:rsid w:val="1F3A4035"/>
    <w:rsid w:val="1F3C1B5B"/>
    <w:rsid w:val="1F46491B"/>
    <w:rsid w:val="1F474BC0"/>
    <w:rsid w:val="1F5F51A1"/>
    <w:rsid w:val="1F7F413E"/>
    <w:rsid w:val="1F88428B"/>
    <w:rsid w:val="1F892C3A"/>
    <w:rsid w:val="1F8A4FBC"/>
    <w:rsid w:val="1F906C1B"/>
    <w:rsid w:val="1F9D067C"/>
    <w:rsid w:val="1FBA29BB"/>
    <w:rsid w:val="1FBA5176"/>
    <w:rsid w:val="1FBB693D"/>
    <w:rsid w:val="1FC1098F"/>
    <w:rsid w:val="1FC50859"/>
    <w:rsid w:val="1FD55341"/>
    <w:rsid w:val="1FD5668D"/>
    <w:rsid w:val="1FD94A26"/>
    <w:rsid w:val="1FE16BA6"/>
    <w:rsid w:val="1FE745FA"/>
    <w:rsid w:val="1FE7539E"/>
    <w:rsid w:val="1FF74523"/>
    <w:rsid w:val="1FFD1351"/>
    <w:rsid w:val="200143C1"/>
    <w:rsid w:val="20054643"/>
    <w:rsid w:val="200945DD"/>
    <w:rsid w:val="200C0AAF"/>
    <w:rsid w:val="200F3D10"/>
    <w:rsid w:val="2014383D"/>
    <w:rsid w:val="201911AA"/>
    <w:rsid w:val="20232986"/>
    <w:rsid w:val="202F20BD"/>
    <w:rsid w:val="20322F5E"/>
    <w:rsid w:val="203377C1"/>
    <w:rsid w:val="2039161F"/>
    <w:rsid w:val="203F5463"/>
    <w:rsid w:val="20406FF3"/>
    <w:rsid w:val="2041236B"/>
    <w:rsid w:val="20472821"/>
    <w:rsid w:val="204C1F5E"/>
    <w:rsid w:val="204D212C"/>
    <w:rsid w:val="20544958"/>
    <w:rsid w:val="205467D6"/>
    <w:rsid w:val="20653333"/>
    <w:rsid w:val="20671BE0"/>
    <w:rsid w:val="20690D0F"/>
    <w:rsid w:val="20736BFC"/>
    <w:rsid w:val="207A37CC"/>
    <w:rsid w:val="207B5B20"/>
    <w:rsid w:val="207E4588"/>
    <w:rsid w:val="208F28A7"/>
    <w:rsid w:val="209623C2"/>
    <w:rsid w:val="20963CB8"/>
    <w:rsid w:val="209C69EC"/>
    <w:rsid w:val="20A81A1B"/>
    <w:rsid w:val="20AC5470"/>
    <w:rsid w:val="20B07FB6"/>
    <w:rsid w:val="20B53430"/>
    <w:rsid w:val="20B646FB"/>
    <w:rsid w:val="20C242E2"/>
    <w:rsid w:val="20C77648"/>
    <w:rsid w:val="20D14525"/>
    <w:rsid w:val="20D362DD"/>
    <w:rsid w:val="20D874C7"/>
    <w:rsid w:val="20E00C0C"/>
    <w:rsid w:val="20E64474"/>
    <w:rsid w:val="20E953B4"/>
    <w:rsid w:val="211329C7"/>
    <w:rsid w:val="211A2370"/>
    <w:rsid w:val="2122783A"/>
    <w:rsid w:val="212D05FD"/>
    <w:rsid w:val="213B74B1"/>
    <w:rsid w:val="21464F13"/>
    <w:rsid w:val="214A012E"/>
    <w:rsid w:val="214D0310"/>
    <w:rsid w:val="214D7D63"/>
    <w:rsid w:val="215A2310"/>
    <w:rsid w:val="215B613E"/>
    <w:rsid w:val="2164234E"/>
    <w:rsid w:val="216B3E44"/>
    <w:rsid w:val="216B7FA8"/>
    <w:rsid w:val="216F69CC"/>
    <w:rsid w:val="217952E8"/>
    <w:rsid w:val="2180377B"/>
    <w:rsid w:val="219376BE"/>
    <w:rsid w:val="21A63C04"/>
    <w:rsid w:val="21AC4E80"/>
    <w:rsid w:val="21AF391F"/>
    <w:rsid w:val="21B06AF2"/>
    <w:rsid w:val="21B82CCC"/>
    <w:rsid w:val="21BB3C0D"/>
    <w:rsid w:val="21BE195D"/>
    <w:rsid w:val="21BF4CC5"/>
    <w:rsid w:val="21D114B4"/>
    <w:rsid w:val="21D31AE1"/>
    <w:rsid w:val="21DB6D57"/>
    <w:rsid w:val="21DE318A"/>
    <w:rsid w:val="21DE60F4"/>
    <w:rsid w:val="21E559DB"/>
    <w:rsid w:val="21EF5B80"/>
    <w:rsid w:val="21F22E64"/>
    <w:rsid w:val="21F66F4C"/>
    <w:rsid w:val="21F839AC"/>
    <w:rsid w:val="22087CC9"/>
    <w:rsid w:val="220E5025"/>
    <w:rsid w:val="22107B2D"/>
    <w:rsid w:val="22154807"/>
    <w:rsid w:val="221C3EC6"/>
    <w:rsid w:val="221F4BB0"/>
    <w:rsid w:val="222E2082"/>
    <w:rsid w:val="22306BC5"/>
    <w:rsid w:val="22344F23"/>
    <w:rsid w:val="22352E28"/>
    <w:rsid w:val="223C67E5"/>
    <w:rsid w:val="22443A1F"/>
    <w:rsid w:val="224951C9"/>
    <w:rsid w:val="224E0A3B"/>
    <w:rsid w:val="22522B81"/>
    <w:rsid w:val="22572406"/>
    <w:rsid w:val="22576990"/>
    <w:rsid w:val="22645B7F"/>
    <w:rsid w:val="226971BB"/>
    <w:rsid w:val="226A2E83"/>
    <w:rsid w:val="22806594"/>
    <w:rsid w:val="22921CC7"/>
    <w:rsid w:val="22946A32"/>
    <w:rsid w:val="229E48DB"/>
    <w:rsid w:val="22A266DE"/>
    <w:rsid w:val="22AA2788"/>
    <w:rsid w:val="22AB33E9"/>
    <w:rsid w:val="22C324D8"/>
    <w:rsid w:val="22C95697"/>
    <w:rsid w:val="22CA4861"/>
    <w:rsid w:val="22D4675F"/>
    <w:rsid w:val="22D91EB8"/>
    <w:rsid w:val="22D93B65"/>
    <w:rsid w:val="22DF4AF7"/>
    <w:rsid w:val="22E04EF3"/>
    <w:rsid w:val="22E12FA0"/>
    <w:rsid w:val="22E340EA"/>
    <w:rsid w:val="22E939B5"/>
    <w:rsid w:val="22F4099F"/>
    <w:rsid w:val="22F47480"/>
    <w:rsid w:val="22F563A0"/>
    <w:rsid w:val="22FA2CCD"/>
    <w:rsid w:val="230C69DF"/>
    <w:rsid w:val="231518E3"/>
    <w:rsid w:val="2317288E"/>
    <w:rsid w:val="2318004D"/>
    <w:rsid w:val="23273690"/>
    <w:rsid w:val="232E45DA"/>
    <w:rsid w:val="23332D3E"/>
    <w:rsid w:val="233C0A05"/>
    <w:rsid w:val="233C0EB7"/>
    <w:rsid w:val="23405992"/>
    <w:rsid w:val="234127F7"/>
    <w:rsid w:val="23425639"/>
    <w:rsid w:val="23547D6D"/>
    <w:rsid w:val="23584FE2"/>
    <w:rsid w:val="235A6A54"/>
    <w:rsid w:val="235B3CB0"/>
    <w:rsid w:val="2363679C"/>
    <w:rsid w:val="23655BDB"/>
    <w:rsid w:val="23692F46"/>
    <w:rsid w:val="236C49D9"/>
    <w:rsid w:val="237176C4"/>
    <w:rsid w:val="237645A8"/>
    <w:rsid w:val="23771627"/>
    <w:rsid w:val="237F7F41"/>
    <w:rsid w:val="23810A83"/>
    <w:rsid w:val="23822340"/>
    <w:rsid w:val="23886301"/>
    <w:rsid w:val="239C2C7B"/>
    <w:rsid w:val="239D0894"/>
    <w:rsid w:val="23A6613D"/>
    <w:rsid w:val="23A9654A"/>
    <w:rsid w:val="23B65932"/>
    <w:rsid w:val="23B7122F"/>
    <w:rsid w:val="23D34A58"/>
    <w:rsid w:val="23DD3661"/>
    <w:rsid w:val="23DE1C48"/>
    <w:rsid w:val="23E26A49"/>
    <w:rsid w:val="23EA570D"/>
    <w:rsid w:val="23FC299A"/>
    <w:rsid w:val="23FD205A"/>
    <w:rsid w:val="240210CD"/>
    <w:rsid w:val="240C1A97"/>
    <w:rsid w:val="24135214"/>
    <w:rsid w:val="24161384"/>
    <w:rsid w:val="242D14B2"/>
    <w:rsid w:val="242D5F16"/>
    <w:rsid w:val="242E53FA"/>
    <w:rsid w:val="24316936"/>
    <w:rsid w:val="243A6885"/>
    <w:rsid w:val="243D71A7"/>
    <w:rsid w:val="2444337C"/>
    <w:rsid w:val="2445239D"/>
    <w:rsid w:val="24465599"/>
    <w:rsid w:val="2450661F"/>
    <w:rsid w:val="24573DCA"/>
    <w:rsid w:val="245B2ECE"/>
    <w:rsid w:val="246D0A09"/>
    <w:rsid w:val="246F4781"/>
    <w:rsid w:val="24743B45"/>
    <w:rsid w:val="247C772A"/>
    <w:rsid w:val="247D50F0"/>
    <w:rsid w:val="247E2BCA"/>
    <w:rsid w:val="248705AC"/>
    <w:rsid w:val="248875F1"/>
    <w:rsid w:val="249B49DE"/>
    <w:rsid w:val="24A67303"/>
    <w:rsid w:val="24AE4FC4"/>
    <w:rsid w:val="24B42DAA"/>
    <w:rsid w:val="24B57FAA"/>
    <w:rsid w:val="24B61EC1"/>
    <w:rsid w:val="24BF09F7"/>
    <w:rsid w:val="24C3510A"/>
    <w:rsid w:val="24C61586"/>
    <w:rsid w:val="24C73474"/>
    <w:rsid w:val="24CA5E5B"/>
    <w:rsid w:val="24CA7C09"/>
    <w:rsid w:val="24CC1BD3"/>
    <w:rsid w:val="24CC7F9D"/>
    <w:rsid w:val="24CE6D99"/>
    <w:rsid w:val="24E30CCB"/>
    <w:rsid w:val="24E5675E"/>
    <w:rsid w:val="24E56B5F"/>
    <w:rsid w:val="24E811BB"/>
    <w:rsid w:val="24ED38F7"/>
    <w:rsid w:val="24F07B58"/>
    <w:rsid w:val="24F20585"/>
    <w:rsid w:val="25042E4A"/>
    <w:rsid w:val="250E1DE9"/>
    <w:rsid w:val="250F7D12"/>
    <w:rsid w:val="25100BC6"/>
    <w:rsid w:val="25155110"/>
    <w:rsid w:val="25167467"/>
    <w:rsid w:val="251C5B14"/>
    <w:rsid w:val="251F3374"/>
    <w:rsid w:val="252D53FE"/>
    <w:rsid w:val="253208DD"/>
    <w:rsid w:val="25337E1C"/>
    <w:rsid w:val="25340622"/>
    <w:rsid w:val="253425C9"/>
    <w:rsid w:val="253F23A5"/>
    <w:rsid w:val="25463A4A"/>
    <w:rsid w:val="25491484"/>
    <w:rsid w:val="254C2D14"/>
    <w:rsid w:val="254C2E89"/>
    <w:rsid w:val="25502C6F"/>
    <w:rsid w:val="25661C11"/>
    <w:rsid w:val="25695A7A"/>
    <w:rsid w:val="256E13B6"/>
    <w:rsid w:val="25797575"/>
    <w:rsid w:val="25826736"/>
    <w:rsid w:val="2583685F"/>
    <w:rsid w:val="258A1490"/>
    <w:rsid w:val="25902837"/>
    <w:rsid w:val="259A1344"/>
    <w:rsid w:val="259E21C4"/>
    <w:rsid w:val="25A115C9"/>
    <w:rsid w:val="25A16BBC"/>
    <w:rsid w:val="25AA43E2"/>
    <w:rsid w:val="25AC2049"/>
    <w:rsid w:val="25AC5561"/>
    <w:rsid w:val="25AD372F"/>
    <w:rsid w:val="25B315AE"/>
    <w:rsid w:val="25BD32CA"/>
    <w:rsid w:val="25C70DF3"/>
    <w:rsid w:val="25CF4174"/>
    <w:rsid w:val="25D14317"/>
    <w:rsid w:val="25E60A73"/>
    <w:rsid w:val="25EB6089"/>
    <w:rsid w:val="25EB7172"/>
    <w:rsid w:val="25EC2D81"/>
    <w:rsid w:val="25F52A64"/>
    <w:rsid w:val="260221DE"/>
    <w:rsid w:val="26041D95"/>
    <w:rsid w:val="2604539D"/>
    <w:rsid w:val="2604714B"/>
    <w:rsid w:val="26054CB0"/>
    <w:rsid w:val="26071180"/>
    <w:rsid w:val="261824BC"/>
    <w:rsid w:val="261F3F85"/>
    <w:rsid w:val="26303C7B"/>
    <w:rsid w:val="2640518B"/>
    <w:rsid w:val="264A1001"/>
    <w:rsid w:val="266100F9"/>
    <w:rsid w:val="266948E3"/>
    <w:rsid w:val="266B747E"/>
    <w:rsid w:val="266C013A"/>
    <w:rsid w:val="2677791D"/>
    <w:rsid w:val="267D0660"/>
    <w:rsid w:val="268547A2"/>
    <w:rsid w:val="268C3B3A"/>
    <w:rsid w:val="26915D4D"/>
    <w:rsid w:val="26982F96"/>
    <w:rsid w:val="26995AE5"/>
    <w:rsid w:val="26A61FB0"/>
    <w:rsid w:val="26A67DEA"/>
    <w:rsid w:val="26A821CC"/>
    <w:rsid w:val="26B60095"/>
    <w:rsid w:val="26BC4F48"/>
    <w:rsid w:val="26DC66CB"/>
    <w:rsid w:val="26E03B16"/>
    <w:rsid w:val="26E21B28"/>
    <w:rsid w:val="26E4675D"/>
    <w:rsid w:val="26EB6711"/>
    <w:rsid w:val="26EF24F4"/>
    <w:rsid w:val="26F00865"/>
    <w:rsid w:val="26F0412C"/>
    <w:rsid w:val="26F148E2"/>
    <w:rsid w:val="26F90A3A"/>
    <w:rsid w:val="270218DC"/>
    <w:rsid w:val="270513CC"/>
    <w:rsid w:val="27075F11"/>
    <w:rsid w:val="270766AE"/>
    <w:rsid w:val="2708223A"/>
    <w:rsid w:val="270A78D4"/>
    <w:rsid w:val="27133AE9"/>
    <w:rsid w:val="2718420C"/>
    <w:rsid w:val="271875FA"/>
    <w:rsid w:val="271B5D31"/>
    <w:rsid w:val="272037D1"/>
    <w:rsid w:val="27212FB4"/>
    <w:rsid w:val="272A4CB7"/>
    <w:rsid w:val="272D307A"/>
    <w:rsid w:val="27302F54"/>
    <w:rsid w:val="2737227B"/>
    <w:rsid w:val="27416CB3"/>
    <w:rsid w:val="275B2D9A"/>
    <w:rsid w:val="276F5D75"/>
    <w:rsid w:val="277057A2"/>
    <w:rsid w:val="27706874"/>
    <w:rsid w:val="2774172B"/>
    <w:rsid w:val="277E6BFB"/>
    <w:rsid w:val="277E6D21"/>
    <w:rsid w:val="27832767"/>
    <w:rsid w:val="27857F07"/>
    <w:rsid w:val="27873B8F"/>
    <w:rsid w:val="278B5A75"/>
    <w:rsid w:val="27924E42"/>
    <w:rsid w:val="27AC1848"/>
    <w:rsid w:val="27B05E5F"/>
    <w:rsid w:val="27B448C3"/>
    <w:rsid w:val="27B64475"/>
    <w:rsid w:val="27CD6934"/>
    <w:rsid w:val="27CE7A10"/>
    <w:rsid w:val="27D054C1"/>
    <w:rsid w:val="27D23622"/>
    <w:rsid w:val="27DE351C"/>
    <w:rsid w:val="27E83FE1"/>
    <w:rsid w:val="27F52DCC"/>
    <w:rsid w:val="27F67252"/>
    <w:rsid w:val="27FC1F4F"/>
    <w:rsid w:val="28007EDF"/>
    <w:rsid w:val="28017DE6"/>
    <w:rsid w:val="28033B5E"/>
    <w:rsid w:val="28041DC4"/>
    <w:rsid w:val="280872B6"/>
    <w:rsid w:val="280D1620"/>
    <w:rsid w:val="28102A1E"/>
    <w:rsid w:val="28121401"/>
    <w:rsid w:val="28132DAA"/>
    <w:rsid w:val="281958A8"/>
    <w:rsid w:val="281A10A2"/>
    <w:rsid w:val="282225E7"/>
    <w:rsid w:val="282837B6"/>
    <w:rsid w:val="283519AA"/>
    <w:rsid w:val="283C5561"/>
    <w:rsid w:val="284462B1"/>
    <w:rsid w:val="2849353B"/>
    <w:rsid w:val="28540215"/>
    <w:rsid w:val="28583FEB"/>
    <w:rsid w:val="285E0D94"/>
    <w:rsid w:val="285F318E"/>
    <w:rsid w:val="28613B5D"/>
    <w:rsid w:val="286154BF"/>
    <w:rsid w:val="286A7EAB"/>
    <w:rsid w:val="286C203C"/>
    <w:rsid w:val="286E6AFD"/>
    <w:rsid w:val="287970AC"/>
    <w:rsid w:val="287C30ED"/>
    <w:rsid w:val="287F20C3"/>
    <w:rsid w:val="288975BC"/>
    <w:rsid w:val="28921C90"/>
    <w:rsid w:val="28974564"/>
    <w:rsid w:val="289E73E3"/>
    <w:rsid w:val="28A075FF"/>
    <w:rsid w:val="28A26D4E"/>
    <w:rsid w:val="28A37400"/>
    <w:rsid w:val="28A569C3"/>
    <w:rsid w:val="28A765AD"/>
    <w:rsid w:val="28AB2F5D"/>
    <w:rsid w:val="28B179AF"/>
    <w:rsid w:val="28B93A1A"/>
    <w:rsid w:val="28BE2244"/>
    <w:rsid w:val="28C16C02"/>
    <w:rsid w:val="28C776B5"/>
    <w:rsid w:val="28CA01D8"/>
    <w:rsid w:val="28D63020"/>
    <w:rsid w:val="28D75373"/>
    <w:rsid w:val="28EA76E6"/>
    <w:rsid w:val="28EB29C4"/>
    <w:rsid w:val="28ED051A"/>
    <w:rsid w:val="28EF0219"/>
    <w:rsid w:val="28EF0CFC"/>
    <w:rsid w:val="28EF1058"/>
    <w:rsid w:val="28FD6ECA"/>
    <w:rsid w:val="28FE4325"/>
    <w:rsid w:val="28FF344D"/>
    <w:rsid w:val="29116FAB"/>
    <w:rsid w:val="29136909"/>
    <w:rsid w:val="2917607C"/>
    <w:rsid w:val="29201786"/>
    <w:rsid w:val="29206EB8"/>
    <w:rsid w:val="292804F6"/>
    <w:rsid w:val="29347D47"/>
    <w:rsid w:val="293935AF"/>
    <w:rsid w:val="29455AB0"/>
    <w:rsid w:val="294570EB"/>
    <w:rsid w:val="29477A7A"/>
    <w:rsid w:val="294855A0"/>
    <w:rsid w:val="294A756A"/>
    <w:rsid w:val="294B3B65"/>
    <w:rsid w:val="294C05E9"/>
    <w:rsid w:val="294C6AF4"/>
    <w:rsid w:val="29595666"/>
    <w:rsid w:val="29672A4E"/>
    <w:rsid w:val="2969197F"/>
    <w:rsid w:val="29693E94"/>
    <w:rsid w:val="296B05F1"/>
    <w:rsid w:val="296B53A7"/>
    <w:rsid w:val="296D1BF8"/>
    <w:rsid w:val="2973261D"/>
    <w:rsid w:val="29742A64"/>
    <w:rsid w:val="29874881"/>
    <w:rsid w:val="298962E5"/>
    <w:rsid w:val="298C52F3"/>
    <w:rsid w:val="2994546D"/>
    <w:rsid w:val="299741EC"/>
    <w:rsid w:val="299C1706"/>
    <w:rsid w:val="299D7535"/>
    <w:rsid w:val="29A00ABF"/>
    <w:rsid w:val="29A070F5"/>
    <w:rsid w:val="29AF6E07"/>
    <w:rsid w:val="29C0782D"/>
    <w:rsid w:val="29CE5AA6"/>
    <w:rsid w:val="29D61AE8"/>
    <w:rsid w:val="29E208F7"/>
    <w:rsid w:val="29E325E0"/>
    <w:rsid w:val="29E40602"/>
    <w:rsid w:val="29E87CCF"/>
    <w:rsid w:val="29F02BA6"/>
    <w:rsid w:val="29F04C94"/>
    <w:rsid w:val="29F179E6"/>
    <w:rsid w:val="29F54404"/>
    <w:rsid w:val="29F574D6"/>
    <w:rsid w:val="29FB1396"/>
    <w:rsid w:val="2A0239A1"/>
    <w:rsid w:val="2A027E45"/>
    <w:rsid w:val="2A0C2A72"/>
    <w:rsid w:val="2A156174"/>
    <w:rsid w:val="2A22332C"/>
    <w:rsid w:val="2A224043"/>
    <w:rsid w:val="2A261F7C"/>
    <w:rsid w:val="2A267271"/>
    <w:rsid w:val="2A277261"/>
    <w:rsid w:val="2A2D1B3C"/>
    <w:rsid w:val="2A390E26"/>
    <w:rsid w:val="2A3F43F4"/>
    <w:rsid w:val="2A420242"/>
    <w:rsid w:val="2A432607"/>
    <w:rsid w:val="2A452503"/>
    <w:rsid w:val="2A4B12E4"/>
    <w:rsid w:val="2A4C77FA"/>
    <w:rsid w:val="2A5319FD"/>
    <w:rsid w:val="2A6308E4"/>
    <w:rsid w:val="2A6632C3"/>
    <w:rsid w:val="2A706CFE"/>
    <w:rsid w:val="2A7A5C2D"/>
    <w:rsid w:val="2A877F95"/>
    <w:rsid w:val="2A88460A"/>
    <w:rsid w:val="2AA25464"/>
    <w:rsid w:val="2AA44A58"/>
    <w:rsid w:val="2AAF4701"/>
    <w:rsid w:val="2AC56042"/>
    <w:rsid w:val="2AC654E1"/>
    <w:rsid w:val="2AC83112"/>
    <w:rsid w:val="2ACD2B46"/>
    <w:rsid w:val="2AD37872"/>
    <w:rsid w:val="2AD92315"/>
    <w:rsid w:val="2ADB3DDF"/>
    <w:rsid w:val="2ADE0B9A"/>
    <w:rsid w:val="2ADE38AE"/>
    <w:rsid w:val="2AE44ECD"/>
    <w:rsid w:val="2AED158C"/>
    <w:rsid w:val="2AF95C63"/>
    <w:rsid w:val="2AFA28CA"/>
    <w:rsid w:val="2B0D44FC"/>
    <w:rsid w:val="2B2067D5"/>
    <w:rsid w:val="2B263E0A"/>
    <w:rsid w:val="2B35362F"/>
    <w:rsid w:val="2B4D6E9E"/>
    <w:rsid w:val="2B514BE0"/>
    <w:rsid w:val="2B5A4A55"/>
    <w:rsid w:val="2B603075"/>
    <w:rsid w:val="2B6B1CB8"/>
    <w:rsid w:val="2B6B7E4B"/>
    <w:rsid w:val="2B6C0AFC"/>
    <w:rsid w:val="2B6F0BB4"/>
    <w:rsid w:val="2B6F684C"/>
    <w:rsid w:val="2B7D203A"/>
    <w:rsid w:val="2B7E52A9"/>
    <w:rsid w:val="2B90371E"/>
    <w:rsid w:val="2B981195"/>
    <w:rsid w:val="2B9A5D2F"/>
    <w:rsid w:val="2BA15CF1"/>
    <w:rsid w:val="2BA60333"/>
    <w:rsid w:val="2BA7062C"/>
    <w:rsid w:val="2BA91B7F"/>
    <w:rsid w:val="2BA936A8"/>
    <w:rsid w:val="2BAD6F9E"/>
    <w:rsid w:val="2BB66D5E"/>
    <w:rsid w:val="2BB9108D"/>
    <w:rsid w:val="2BBD46E6"/>
    <w:rsid w:val="2BC263E4"/>
    <w:rsid w:val="2BC5078C"/>
    <w:rsid w:val="2BC63986"/>
    <w:rsid w:val="2BC9748D"/>
    <w:rsid w:val="2BCF3442"/>
    <w:rsid w:val="2BD82C0B"/>
    <w:rsid w:val="2BDB26FC"/>
    <w:rsid w:val="2BDE0D1F"/>
    <w:rsid w:val="2BE10DB4"/>
    <w:rsid w:val="2BE75544"/>
    <w:rsid w:val="2BEF61A7"/>
    <w:rsid w:val="2BF17357"/>
    <w:rsid w:val="2BF27DBF"/>
    <w:rsid w:val="2BF76EE4"/>
    <w:rsid w:val="2C0112AE"/>
    <w:rsid w:val="2C071743"/>
    <w:rsid w:val="2C0E487F"/>
    <w:rsid w:val="2C0F2D40"/>
    <w:rsid w:val="2C10457E"/>
    <w:rsid w:val="2C165AE7"/>
    <w:rsid w:val="2C20143E"/>
    <w:rsid w:val="2C2E34C5"/>
    <w:rsid w:val="2C315A5A"/>
    <w:rsid w:val="2C317A15"/>
    <w:rsid w:val="2C481277"/>
    <w:rsid w:val="2C4A2DA9"/>
    <w:rsid w:val="2C4B1C25"/>
    <w:rsid w:val="2C5C6F17"/>
    <w:rsid w:val="2C5F42DC"/>
    <w:rsid w:val="2C622962"/>
    <w:rsid w:val="2C6D7DD9"/>
    <w:rsid w:val="2C6F6A93"/>
    <w:rsid w:val="2C736DD8"/>
    <w:rsid w:val="2C83526D"/>
    <w:rsid w:val="2C855C79"/>
    <w:rsid w:val="2C923702"/>
    <w:rsid w:val="2C994A91"/>
    <w:rsid w:val="2CA409FB"/>
    <w:rsid w:val="2CAA2A2D"/>
    <w:rsid w:val="2CAB47C4"/>
    <w:rsid w:val="2CB125E7"/>
    <w:rsid w:val="2CB171F5"/>
    <w:rsid w:val="2CB573F1"/>
    <w:rsid w:val="2CC3329C"/>
    <w:rsid w:val="2CC670B4"/>
    <w:rsid w:val="2CC77D47"/>
    <w:rsid w:val="2CCD0ECA"/>
    <w:rsid w:val="2CD86BBB"/>
    <w:rsid w:val="2CD90035"/>
    <w:rsid w:val="2CE24603"/>
    <w:rsid w:val="2CE440B9"/>
    <w:rsid w:val="2CE564E0"/>
    <w:rsid w:val="2CEF1B58"/>
    <w:rsid w:val="2CEF1BA4"/>
    <w:rsid w:val="2CF75313"/>
    <w:rsid w:val="2CFC3C55"/>
    <w:rsid w:val="2D031489"/>
    <w:rsid w:val="2D0B7011"/>
    <w:rsid w:val="2D120D6A"/>
    <w:rsid w:val="2D2C34A4"/>
    <w:rsid w:val="2D341A64"/>
    <w:rsid w:val="2D426DA6"/>
    <w:rsid w:val="2D4405CF"/>
    <w:rsid w:val="2D4F3271"/>
    <w:rsid w:val="2D525CFE"/>
    <w:rsid w:val="2D526B1C"/>
    <w:rsid w:val="2D5361D5"/>
    <w:rsid w:val="2D597D7C"/>
    <w:rsid w:val="2D5F1E6B"/>
    <w:rsid w:val="2D611E73"/>
    <w:rsid w:val="2D663463"/>
    <w:rsid w:val="2D6E2C02"/>
    <w:rsid w:val="2D7539E9"/>
    <w:rsid w:val="2D821BA5"/>
    <w:rsid w:val="2D855015"/>
    <w:rsid w:val="2D856A36"/>
    <w:rsid w:val="2D8F6EE7"/>
    <w:rsid w:val="2D8F7403"/>
    <w:rsid w:val="2D917516"/>
    <w:rsid w:val="2D974507"/>
    <w:rsid w:val="2D9818DA"/>
    <w:rsid w:val="2D993F27"/>
    <w:rsid w:val="2D9E56F5"/>
    <w:rsid w:val="2DA23F11"/>
    <w:rsid w:val="2DAA6A29"/>
    <w:rsid w:val="2DAD574C"/>
    <w:rsid w:val="2DB375EB"/>
    <w:rsid w:val="2DC7118A"/>
    <w:rsid w:val="2DC773DC"/>
    <w:rsid w:val="2DCA385F"/>
    <w:rsid w:val="2DD07014"/>
    <w:rsid w:val="2DD1025A"/>
    <w:rsid w:val="2DDB4C35"/>
    <w:rsid w:val="2DDD07C3"/>
    <w:rsid w:val="2DDD57A8"/>
    <w:rsid w:val="2DDD747D"/>
    <w:rsid w:val="2DF4699B"/>
    <w:rsid w:val="2DFB753C"/>
    <w:rsid w:val="2DFD39BD"/>
    <w:rsid w:val="2E00432D"/>
    <w:rsid w:val="2E04418C"/>
    <w:rsid w:val="2E060A6A"/>
    <w:rsid w:val="2E074656"/>
    <w:rsid w:val="2E1A3A3C"/>
    <w:rsid w:val="2E1F738D"/>
    <w:rsid w:val="2E2959A0"/>
    <w:rsid w:val="2E441B11"/>
    <w:rsid w:val="2E487BD3"/>
    <w:rsid w:val="2E530FD6"/>
    <w:rsid w:val="2E536EC1"/>
    <w:rsid w:val="2E5B0008"/>
    <w:rsid w:val="2E666BF4"/>
    <w:rsid w:val="2E667F96"/>
    <w:rsid w:val="2E6F66A1"/>
    <w:rsid w:val="2E7957D0"/>
    <w:rsid w:val="2E8005F2"/>
    <w:rsid w:val="2E813A2E"/>
    <w:rsid w:val="2E8226AB"/>
    <w:rsid w:val="2E84707B"/>
    <w:rsid w:val="2E866B53"/>
    <w:rsid w:val="2E8E7EF9"/>
    <w:rsid w:val="2E9859E8"/>
    <w:rsid w:val="2E995863"/>
    <w:rsid w:val="2E9A064C"/>
    <w:rsid w:val="2EA21BEF"/>
    <w:rsid w:val="2EA4771D"/>
    <w:rsid w:val="2EA716C9"/>
    <w:rsid w:val="2EA72C7E"/>
    <w:rsid w:val="2EBA1EC9"/>
    <w:rsid w:val="2EC55413"/>
    <w:rsid w:val="2EC61441"/>
    <w:rsid w:val="2EC97183"/>
    <w:rsid w:val="2ECA7382"/>
    <w:rsid w:val="2ED40B83"/>
    <w:rsid w:val="2EDC6761"/>
    <w:rsid w:val="2EE23DA1"/>
    <w:rsid w:val="2EE36BC2"/>
    <w:rsid w:val="2EED2E72"/>
    <w:rsid w:val="2EF814D2"/>
    <w:rsid w:val="2EF9001C"/>
    <w:rsid w:val="2EFE6E2D"/>
    <w:rsid w:val="2F08383C"/>
    <w:rsid w:val="2F0B779C"/>
    <w:rsid w:val="2F0D6C22"/>
    <w:rsid w:val="2F10090E"/>
    <w:rsid w:val="2F1C5505"/>
    <w:rsid w:val="2F1D07E5"/>
    <w:rsid w:val="2F1F6DA3"/>
    <w:rsid w:val="2F204FF5"/>
    <w:rsid w:val="2F284826"/>
    <w:rsid w:val="2F295F28"/>
    <w:rsid w:val="2F2E1EA9"/>
    <w:rsid w:val="2F2E30CE"/>
    <w:rsid w:val="2F304C26"/>
    <w:rsid w:val="2F311265"/>
    <w:rsid w:val="2F3A210A"/>
    <w:rsid w:val="2F4701CA"/>
    <w:rsid w:val="2F4834F5"/>
    <w:rsid w:val="2F4A4168"/>
    <w:rsid w:val="2F4F5641"/>
    <w:rsid w:val="2F561D90"/>
    <w:rsid w:val="2F572B10"/>
    <w:rsid w:val="2F59133A"/>
    <w:rsid w:val="2F6824F8"/>
    <w:rsid w:val="2F6D667C"/>
    <w:rsid w:val="2F7535EF"/>
    <w:rsid w:val="2F791A58"/>
    <w:rsid w:val="2F7E4D4C"/>
    <w:rsid w:val="2F9C6646"/>
    <w:rsid w:val="2F9D2D4E"/>
    <w:rsid w:val="2FA01C92"/>
    <w:rsid w:val="2FA670EE"/>
    <w:rsid w:val="2FA70E1D"/>
    <w:rsid w:val="2FBB7AB4"/>
    <w:rsid w:val="2FCF4325"/>
    <w:rsid w:val="2FD065E6"/>
    <w:rsid w:val="2FD96870"/>
    <w:rsid w:val="2FE552E4"/>
    <w:rsid w:val="2FF34812"/>
    <w:rsid w:val="2FF4077A"/>
    <w:rsid w:val="2FFC52E7"/>
    <w:rsid w:val="300D55A9"/>
    <w:rsid w:val="301627BE"/>
    <w:rsid w:val="301F34FF"/>
    <w:rsid w:val="3034552F"/>
    <w:rsid w:val="30381D12"/>
    <w:rsid w:val="3038799B"/>
    <w:rsid w:val="303F2A5D"/>
    <w:rsid w:val="30420F74"/>
    <w:rsid w:val="30420F9B"/>
    <w:rsid w:val="30466CDD"/>
    <w:rsid w:val="30580BC9"/>
    <w:rsid w:val="30617B21"/>
    <w:rsid w:val="30646C08"/>
    <w:rsid w:val="306D4751"/>
    <w:rsid w:val="30793F2C"/>
    <w:rsid w:val="307A24E3"/>
    <w:rsid w:val="30913949"/>
    <w:rsid w:val="30A34855"/>
    <w:rsid w:val="30A43A04"/>
    <w:rsid w:val="30A47560"/>
    <w:rsid w:val="30B4538D"/>
    <w:rsid w:val="30B579F6"/>
    <w:rsid w:val="30B654E5"/>
    <w:rsid w:val="30BA4FD6"/>
    <w:rsid w:val="30D1240F"/>
    <w:rsid w:val="30D14E34"/>
    <w:rsid w:val="30E26C43"/>
    <w:rsid w:val="30E46BE1"/>
    <w:rsid w:val="30F12135"/>
    <w:rsid w:val="30F71D86"/>
    <w:rsid w:val="30F85D1A"/>
    <w:rsid w:val="30FC739C"/>
    <w:rsid w:val="30FD4EC2"/>
    <w:rsid w:val="31007738"/>
    <w:rsid w:val="310745BB"/>
    <w:rsid w:val="310D3357"/>
    <w:rsid w:val="31164200"/>
    <w:rsid w:val="311D16EF"/>
    <w:rsid w:val="311E2ED7"/>
    <w:rsid w:val="312B5ED3"/>
    <w:rsid w:val="31382BFF"/>
    <w:rsid w:val="313849FA"/>
    <w:rsid w:val="31434207"/>
    <w:rsid w:val="314C60C6"/>
    <w:rsid w:val="314F1F89"/>
    <w:rsid w:val="315619EE"/>
    <w:rsid w:val="315C449C"/>
    <w:rsid w:val="316D029A"/>
    <w:rsid w:val="31727460"/>
    <w:rsid w:val="318810A2"/>
    <w:rsid w:val="318E1C0A"/>
    <w:rsid w:val="319C292D"/>
    <w:rsid w:val="319E2D22"/>
    <w:rsid w:val="31A17F44"/>
    <w:rsid w:val="31A309E6"/>
    <w:rsid w:val="31AB7B22"/>
    <w:rsid w:val="31AD0AB9"/>
    <w:rsid w:val="31AF1FC5"/>
    <w:rsid w:val="31AF5C9B"/>
    <w:rsid w:val="31B11269"/>
    <w:rsid w:val="31B82709"/>
    <w:rsid w:val="31B9528D"/>
    <w:rsid w:val="31BB2286"/>
    <w:rsid w:val="31BE0AF5"/>
    <w:rsid w:val="31BF4127"/>
    <w:rsid w:val="31C0524D"/>
    <w:rsid w:val="31CA113F"/>
    <w:rsid w:val="31CE5E7D"/>
    <w:rsid w:val="31D05482"/>
    <w:rsid w:val="31D274E9"/>
    <w:rsid w:val="31DC0F7C"/>
    <w:rsid w:val="31DD71CE"/>
    <w:rsid w:val="31E267E6"/>
    <w:rsid w:val="31E3175D"/>
    <w:rsid w:val="31E576B3"/>
    <w:rsid w:val="31E71DFA"/>
    <w:rsid w:val="31F86618"/>
    <w:rsid w:val="31FB2480"/>
    <w:rsid w:val="31FC4E6F"/>
    <w:rsid w:val="321270E3"/>
    <w:rsid w:val="32143BFF"/>
    <w:rsid w:val="32186458"/>
    <w:rsid w:val="321D41B9"/>
    <w:rsid w:val="32240255"/>
    <w:rsid w:val="322B021E"/>
    <w:rsid w:val="32300AFF"/>
    <w:rsid w:val="32380B5E"/>
    <w:rsid w:val="323A17CC"/>
    <w:rsid w:val="323A455E"/>
    <w:rsid w:val="323F30EA"/>
    <w:rsid w:val="324003CA"/>
    <w:rsid w:val="32400B34"/>
    <w:rsid w:val="3241218C"/>
    <w:rsid w:val="324335E6"/>
    <w:rsid w:val="32480A5B"/>
    <w:rsid w:val="325120A9"/>
    <w:rsid w:val="32557196"/>
    <w:rsid w:val="3256243D"/>
    <w:rsid w:val="325676D9"/>
    <w:rsid w:val="32586854"/>
    <w:rsid w:val="3260395B"/>
    <w:rsid w:val="3268644D"/>
    <w:rsid w:val="326B676C"/>
    <w:rsid w:val="326E70F7"/>
    <w:rsid w:val="32815639"/>
    <w:rsid w:val="328624F4"/>
    <w:rsid w:val="32963A97"/>
    <w:rsid w:val="3298284C"/>
    <w:rsid w:val="329E6876"/>
    <w:rsid w:val="32A468A4"/>
    <w:rsid w:val="32A62C77"/>
    <w:rsid w:val="32A83509"/>
    <w:rsid w:val="32B13CE8"/>
    <w:rsid w:val="32B318DE"/>
    <w:rsid w:val="32BE57AC"/>
    <w:rsid w:val="32C766C4"/>
    <w:rsid w:val="32CA3DE3"/>
    <w:rsid w:val="32D37B57"/>
    <w:rsid w:val="32D86AF0"/>
    <w:rsid w:val="32E31B18"/>
    <w:rsid w:val="32E579F4"/>
    <w:rsid w:val="32FE0237"/>
    <w:rsid w:val="330A1ACB"/>
    <w:rsid w:val="330D797A"/>
    <w:rsid w:val="330E7C2A"/>
    <w:rsid w:val="33115F82"/>
    <w:rsid w:val="33151F00"/>
    <w:rsid w:val="33153C5C"/>
    <w:rsid w:val="33254C7E"/>
    <w:rsid w:val="332C14A7"/>
    <w:rsid w:val="333015F2"/>
    <w:rsid w:val="33301D24"/>
    <w:rsid w:val="33327449"/>
    <w:rsid w:val="333A0650"/>
    <w:rsid w:val="334B5335"/>
    <w:rsid w:val="334B6320"/>
    <w:rsid w:val="33613881"/>
    <w:rsid w:val="3362265F"/>
    <w:rsid w:val="33625892"/>
    <w:rsid w:val="337136CD"/>
    <w:rsid w:val="33724D1B"/>
    <w:rsid w:val="33795743"/>
    <w:rsid w:val="337D37B5"/>
    <w:rsid w:val="337D7ACA"/>
    <w:rsid w:val="337E46A5"/>
    <w:rsid w:val="33852B74"/>
    <w:rsid w:val="338C7C50"/>
    <w:rsid w:val="33977850"/>
    <w:rsid w:val="33980D28"/>
    <w:rsid w:val="33A11AB6"/>
    <w:rsid w:val="33AD453B"/>
    <w:rsid w:val="33B73C44"/>
    <w:rsid w:val="33BF559E"/>
    <w:rsid w:val="33C136B9"/>
    <w:rsid w:val="33C32826"/>
    <w:rsid w:val="33C60796"/>
    <w:rsid w:val="33CC10B8"/>
    <w:rsid w:val="33CE680A"/>
    <w:rsid w:val="33D934D4"/>
    <w:rsid w:val="33E12879"/>
    <w:rsid w:val="33FE2F6A"/>
    <w:rsid w:val="33FE342B"/>
    <w:rsid w:val="340E07E5"/>
    <w:rsid w:val="340F0730"/>
    <w:rsid w:val="34177538"/>
    <w:rsid w:val="341D5FA7"/>
    <w:rsid w:val="34235BF7"/>
    <w:rsid w:val="342402A4"/>
    <w:rsid w:val="3433583A"/>
    <w:rsid w:val="34364EFC"/>
    <w:rsid w:val="34392AF0"/>
    <w:rsid w:val="343A507B"/>
    <w:rsid w:val="343C5323"/>
    <w:rsid w:val="344A0DB7"/>
    <w:rsid w:val="344D08F9"/>
    <w:rsid w:val="34527A2C"/>
    <w:rsid w:val="34545741"/>
    <w:rsid w:val="34566108"/>
    <w:rsid w:val="3458590F"/>
    <w:rsid w:val="34675474"/>
    <w:rsid w:val="34693044"/>
    <w:rsid w:val="346B7EAD"/>
    <w:rsid w:val="347E456C"/>
    <w:rsid w:val="348E0EE8"/>
    <w:rsid w:val="34980FE9"/>
    <w:rsid w:val="34A244D0"/>
    <w:rsid w:val="34A83397"/>
    <w:rsid w:val="34A921E7"/>
    <w:rsid w:val="34B62E12"/>
    <w:rsid w:val="34CF439C"/>
    <w:rsid w:val="34D4418C"/>
    <w:rsid w:val="34E97C37"/>
    <w:rsid w:val="34F8431E"/>
    <w:rsid w:val="34FB1589"/>
    <w:rsid w:val="35066A3B"/>
    <w:rsid w:val="350939AF"/>
    <w:rsid w:val="35125E28"/>
    <w:rsid w:val="35131E4D"/>
    <w:rsid w:val="351A5B5B"/>
    <w:rsid w:val="351C000D"/>
    <w:rsid w:val="35242B99"/>
    <w:rsid w:val="352A38F1"/>
    <w:rsid w:val="352A5349"/>
    <w:rsid w:val="352E7D40"/>
    <w:rsid w:val="352F377E"/>
    <w:rsid w:val="35325052"/>
    <w:rsid w:val="353B4715"/>
    <w:rsid w:val="354362C5"/>
    <w:rsid w:val="3546508A"/>
    <w:rsid w:val="354F39CB"/>
    <w:rsid w:val="355754E9"/>
    <w:rsid w:val="3558300F"/>
    <w:rsid w:val="355B3B25"/>
    <w:rsid w:val="355D3163"/>
    <w:rsid w:val="3560660A"/>
    <w:rsid w:val="35686349"/>
    <w:rsid w:val="35686760"/>
    <w:rsid w:val="356D4E39"/>
    <w:rsid w:val="356E45E1"/>
    <w:rsid w:val="3571148E"/>
    <w:rsid w:val="357C4F4F"/>
    <w:rsid w:val="35820BB2"/>
    <w:rsid w:val="35893E1A"/>
    <w:rsid w:val="358B6EA9"/>
    <w:rsid w:val="358C5FA8"/>
    <w:rsid w:val="359446FC"/>
    <w:rsid w:val="35970EC4"/>
    <w:rsid w:val="359B7384"/>
    <w:rsid w:val="35A10512"/>
    <w:rsid w:val="35A32B36"/>
    <w:rsid w:val="35AB119E"/>
    <w:rsid w:val="35B20971"/>
    <w:rsid w:val="35B95382"/>
    <w:rsid w:val="35BA0F6D"/>
    <w:rsid w:val="35BC4022"/>
    <w:rsid w:val="35BF00D7"/>
    <w:rsid w:val="35C15DF1"/>
    <w:rsid w:val="35C5199E"/>
    <w:rsid w:val="35DC0B11"/>
    <w:rsid w:val="35EB64F3"/>
    <w:rsid w:val="35F1239B"/>
    <w:rsid w:val="35FC35B8"/>
    <w:rsid w:val="35FD2BFD"/>
    <w:rsid w:val="360016CD"/>
    <w:rsid w:val="36074A7F"/>
    <w:rsid w:val="360C4AA2"/>
    <w:rsid w:val="360C5B09"/>
    <w:rsid w:val="360F0F9C"/>
    <w:rsid w:val="360F4196"/>
    <w:rsid w:val="3614655D"/>
    <w:rsid w:val="361844EA"/>
    <w:rsid w:val="362A49AB"/>
    <w:rsid w:val="36370B9C"/>
    <w:rsid w:val="36377736"/>
    <w:rsid w:val="3647730B"/>
    <w:rsid w:val="364E2199"/>
    <w:rsid w:val="364E71D5"/>
    <w:rsid w:val="3651423D"/>
    <w:rsid w:val="36581519"/>
    <w:rsid w:val="36584BFF"/>
    <w:rsid w:val="36603F29"/>
    <w:rsid w:val="36637EBD"/>
    <w:rsid w:val="36656148"/>
    <w:rsid w:val="366642A9"/>
    <w:rsid w:val="366C0A45"/>
    <w:rsid w:val="367E5154"/>
    <w:rsid w:val="368158FA"/>
    <w:rsid w:val="36874E4A"/>
    <w:rsid w:val="36891AAE"/>
    <w:rsid w:val="3689653D"/>
    <w:rsid w:val="368A7B3B"/>
    <w:rsid w:val="36923549"/>
    <w:rsid w:val="369709D0"/>
    <w:rsid w:val="369A2841"/>
    <w:rsid w:val="36A02629"/>
    <w:rsid w:val="36A062A6"/>
    <w:rsid w:val="36A17E62"/>
    <w:rsid w:val="36A422C5"/>
    <w:rsid w:val="36A44E47"/>
    <w:rsid w:val="36A52284"/>
    <w:rsid w:val="36A76B11"/>
    <w:rsid w:val="36AD2EE7"/>
    <w:rsid w:val="36B576F1"/>
    <w:rsid w:val="36B75FBF"/>
    <w:rsid w:val="36BD0C45"/>
    <w:rsid w:val="36C65011"/>
    <w:rsid w:val="36CA6FF3"/>
    <w:rsid w:val="36D32812"/>
    <w:rsid w:val="36D451CC"/>
    <w:rsid w:val="36DC0821"/>
    <w:rsid w:val="36DF645C"/>
    <w:rsid w:val="36E07552"/>
    <w:rsid w:val="36E6151B"/>
    <w:rsid w:val="36EA7C97"/>
    <w:rsid w:val="36FB29AB"/>
    <w:rsid w:val="370E512B"/>
    <w:rsid w:val="371D006C"/>
    <w:rsid w:val="37210F1A"/>
    <w:rsid w:val="3721576A"/>
    <w:rsid w:val="37231A75"/>
    <w:rsid w:val="37270EEB"/>
    <w:rsid w:val="372F2A39"/>
    <w:rsid w:val="373508A1"/>
    <w:rsid w:val="373A2183"/>
    <w:rsid w:val="373A61A3"/>
    <w:rsid w:val="37404569"/>
    <w:rsid w:val="37420CAB"/>
    <w:rsid w:val="37730610"/>
    <w:rsid w:val="37826ADE"/>
    <w:rsid w:val="378B76CC"/>
    <w:rsid w:val="378D6032"/>
    <w:rsid w:val="379C086E"/>
    <w:rsid w:val="37AA0415"/>
    <w:rsid w:val="37AE3AC9"/>
    <w:rsid w:val="37C35C65"/>
    <w:rsid w:val="37C4673A"/>
    <w:rsid w:val="37CB5D71"/>
    <w:rsid w:val="37CF154C"/>
    <w:rsid w:val="37D2268C"/>
    <w:rsid w:val="37D669A6"/>
    <w:rsid w:val="37DB6248"/>
    <w:rsid w:val="37E00298"/>
    <w:rsid w:val="37E77886"/>
    <w:rsid w:val="37EA79AB"/>
    <w:rsid w:val="37F00C8E"/>
    <w:rsid w:val="37F54E8B"/>
    <w:rsid w:val="37F5758A"/>
    <w:rsid w:val="38043862"/>
    <w:rsid w:val="380A5D97"/>
    <w:rsid w:val="380D4269"/>
    <w:rsid w:val="380F08D0"/>
    <w:rsid w:val="381D3DE7"/>
    <w:rsid w:val="381D5BF1"/>
    <w:rsid w:val="38230143"/>
    <w:rsid w:val="38237904"/>
    <w:rsid w:val="38241C69"/>
    <w:rsid w:val="383D43FC"/>
    <w:rsid w:val="38406DEA"/>
    <w:rsid w:val="384D6F25"/>
    <w:rsid w:val="384E582A"/>
    <w:rsid w:val="38542EC2"/>
    <w:rsid w:val="38585084"/>
    <w:rsid w:val="385E7306"/>
    <w:rsid w:val="386046B4"/>
    <w:rsid w:val="387135A5"/>
    <w:rsid w:val="38787453"/>
    <w:rsid w:val="387E4B3B"/>
    <w:rsid w:val="38801E32"/>
    <w:rsid w:val="38851F4B"/>
    <w:rsid w:val="388859B9"/>
    <w:rsid w:val="388B0555"/>
    <w:rsid w:val="38965C74"/>
    <w:rsid w:val="389D5EC0"/>
    <w:rsid w:val="389E23F2"/>
    <w:rsid w:val="38B302F9"/>
    <w:rsid w:val="38BD549E"/>
    <w:rsid w:val="38C05153"/>
    <w:rsid w:val="38C334D9"/>
    <w:rsid w:val="38C51FA1"/>
    <w:rsid w:val="38C94357"/>
    <w:rsid w:val="38CA3484"/>
    <w:rsid w:val="38D2123F"/>
    <w:rsid w:val="38D806EF"/>
    <w:rsid w:val="38DE55D9"/>
    <w:rsid w:val="38F02563"/>
    <w:rsid w:val="38F12CD3"/>
    <w:rsid w:val="38F512A1"/>
    <w:rsid w:val="38F94775"/>
    <w:rsid w:val="38FE16F7"/>
    <w:rsid w:val="39016FE4"/>
    <w:rsid w:val="39021308"/>
    <w:rsid w:val="39045619"/>
    <w:rsid w:val="390A39E8"/>
    <w:rsid w:val="390D2D52"/>
    <w:rsid w:val="391B4A49"/>
    <w:rsid w:val="39212304"/>
    <w:rsid w:val="392971ED"/>
    <w:rsid w:val="39325651"/>
    <w:rsid w:val="3934169D"/>
    <w:rsid w:val="393A223C"/>
    <w:rsid w:val="393A48FA"/>
    <w:rsid w:val="39512324"/>
    <w:rsid w:val="39551D3F"/>
    <w:rsid w:val="3955289A"/>
    <w:rsid w:val="39555EBF"/>
    <w:rsid w:val="3957180B"/>
    <w:rsid w:val="395C5655"/>
    <w:rsid w:val="39652F7F"/>
    <w:rsid w:val="396B3311"/>
    <w:rsid w:val="39760264"/>
    <w:rsid w:val="397F31CA"/>
    <w:rsid w:val="39824381"/>
    <w:rsid w:val="39924D42"/>
    <w:rsid w:val="399668F5"/>
    <w:rsid w:val="399C171C"/>
    <w:rsid w:val="399C3268"/>
    <w:rsid w:val="39A21035"/>
    <w:rsid w:val="39A91BF5"/>
    <w:rsid w:val="39AA0BA7"/>
    <w:rsid w:val="39B20F40"/>
    <w:rsid w:val="39B32A8E"/>
    <w:rsid w:val="39B8407C"/>
    <w:rsid w:val="39B9093E"/>
    <w:rsid w:val="39B95C04"/>
    <w:rsid w:val="39C6354C"/>
    <w:rsid w:val="39C715C2"/>
    <w:rsid w:val="39D46775"/>
    <w:rsid w:val="39E12EE6"/>
    <w:rsid w:val="39E46478"/>
    <w:rsid w:val="39EC5C81"/>
    <w:rsid w:val="39EF0708"/>
    <w:rsid w:val="39EF631E"/>
    <w:rsid w:val="39F340FC"/>
    <w:rsid w:val="39F87855"/>
    <w:rsid w:val="39F96E2B"/>
    <w:rsid w:val="3A1C460B"/>
    <w:rsid w:val="3A1E4827"/>
    <w:rsid w:val="3A292D2C"/>
    <w:rsid w:val="3A375128"/>
    <w:rsid w:val="3A377697"/>
    <w:rsid w:val="3A4060DF"/>
    <w:rsid w:val="3A45394C"/>
    <w:rsid w:val="3A465B2C"/>
    <w:rsid w:val="3A476A38"/>
    <w:rsid w:val="3A4A60D4"/>
    <w:rsid w:val="3A4D36DE"/>
    <w:rsid w:val="3A543DA5"/>
    <w:rsid w:val="3A571AE7"/>
    <w:rsid w:val="3A5A3A61"/>
    <w:rsid w:val="3A5C534F"/>
    <w:rsid w:val="3A6C475E"/>
    <w:rsid w:val="3A744447"/>
    <w:rsid w:val="3A7A38A2"/>
    <w:rsid w:val="3A8363D5"/>
    <w:rsid w:val="3A872856"/>
    <w:rsid w:val="3A8B353F"/>
    <w:rsid w:val="3A9248CD"/>
    <w:rsid w:val="3A9A4B0D"/>
    <w:rsid w:val="3A9B5E78"/>
    <w:rsid w:val="3A9F3ECA"/>
    <w:rsid w:val="3AA0347D"/>
    <w:rsid w:val="3AA66639"/>
    <w:rsid w:val="3AB021B9"/>
    <w:rsid w:val="3AC423BF"/>
    <w:rsid w:val="3ACB0BCD"/>
    <w:rsid w:val="3AD76411"/>
    <w:rsid w:val="3ADE5D64"/>
    <w:rsid w:val="3AE05B43"/>
    <w:rsid w:val="3AEF0379"/>
    <w:rsid w:val="3AEF2CAA"/>
    <w:rsid w:val="3AF33BF2"/>
    <w:rsid w:val="3AF630AE"/>
    <w:rsid w:val="3AFA0DF0"/>
    <w:rsid w:val="3B021A53"/>
    <w:rsid w:val="3B0330EB"/>
    <w:rsid w:val="3B0740FC"/>
    <w:rsid w:val="3B113817"/>
    <w:rsid w:val="3B13291E"/>
    <w:rsid w:val="3B191EE5"/>
    <w:rsid w:val="3B1B6368"/>
    <w:rsid w:val="3B1D5C75"/>
    <w:rsid w:val="3B2441FE"/>
    <w:rsid w:val="3B2A1891"/>
    <w:rsid w:val="3B316F0E"/>
    <w:rsid w:val="3B334302"/>
    <w:rsid w:val="3B351E28"/>
    <w:rsid w:val="3B3763D1"/>
    <w:rsid w:val="3B4B5B69"/>
    <w:rsid w:val="3B5417BF"/>
    <w:rsid w:val="3B5473C9"/>
    <w:rsid w:val="3B5B5BCA"/>
    <w:rsid w:val="3B5D137F"/>
    <w:rsid w:val="3B5F50F7"/>
    <w:rsid w:val="3B636CBF"/>
    <w:rsid w:val="3B67283A"/>
    <w:rsid w:val="3B6B3C2B"/>
    <w:rsid w:val="3B751FBD"/>
    <w:rsid w:val="3B7725AE"/>
    <w:rsid w:val="3B790BD3"/>
    <w:rsid w:val="3B7A54C4"/>
    <w:rsid w:val="3B9001C6"/>
    <w:rsid w:val="3B911029"/>
    <w:rsid w:val="3B936B4F"/>
    <w:rsid w:val="3B9603ED"/>
    <w:rsid w:val="3BA87A8D"/>
    <w:rsid w:val="3BC1190E"/>
    <w:rsid w:val="3BCB4FF9"/>
    <w:rsid w:val="3BDC4281"/>
    <w:rsid w:val="3BE51B6A"/>
    <w:rsid w:val="3BE525AB"/>
    <w:rsid w:val="3BF6437E"/>
    <w:rsid w:val="3BF7707B"/>
    <w:rsid w:val="3C016D8E"/>
    <w:rsid w:val="3C0D5AC9"/>
    <w:rsid w:val="3C1A1550"/>
    <w:rsid w:val="3C2F6E1E"/>
    <w:rsid w:val="3C3245BA"/>
    <w:rsid w:val="3C490E3C"/>
    <w:rsid w:val="3C4D2C53"/>
    <w:rsid w:val="3C4F64BA"/>
    <w:rsid w:val="3C5F3DF0"/>
    <w:rsid w:val="3C7005A8"/>
    <w:rsid w:val="3C722C08"/>
    <w:rsid w:val="3C7303B6"/>
    <w:rsid w:val="3C786B2D"/>
    <w:rsid w:val="3C8446EA"/>
    <w:rsid w:val="3C881051"/>
    <w:rsid w:val="3C9006BF"/>
    <w:rsid w:val="3C906601"/>
    <w:rsid w:val="3C9377CF"/>
    <w:rsid w:val="3C96721C"/>
    <w:rsid w:val="3C990195"/>
    <w:rsid w:val="3C9C1A33"/>
    <w:rsid w:val="3C9F32D2"/>
    <w:rsid w:val="3CA415DC"/>
    <w:rsid w:val="3CA575EF"/>
    <w:rsid w:val="3CAC09CB"/>
    <w:rsid w:val="3CB1587B"/>
    <w:rsid w:val="3CB66F99"/>
    <w:rsid w:val="3CBF360F"/>
    <w:rsid w:val="3CD218F9"/>
    <w:rsid w:val="3CD33E3D"/>
    <w:rsid w:val="3CD817E2"/>
    <w:rsid w:val="3CDA245A"/>
    <w:rsid w:val="3CEB2E52"/>
    <w:rsid w:val="3CEF6942"/>
    <w:rsid w:val="3CF60610"/>
    <w:rsid w:val="3CF7310E"/>
    <w:rsid w:val="3CF80362"/>
    <w:rsid w:val="3CFE419A"/>
    <w:rsid w:val="3D155B56"/>
    <w:rsid w:val="3D1B5230"/>
    <w:rsid w:val="3D1E06B7"/>
    <w:rsid w:val="3D257FD6"/>
    <w:rsid w:val="3D335DE1"/>
    <w:rsid w:val="3D536596"/>
    <w:rsid w:val="3D5D33B6"/>
    <w:rsid w:val="3D6428CB"/>
    <w:rsid w:val="3D672748"/>
    <w:rsid w:val="3D6E5770"/>
    <w:rsid w:val="3D6F0862"/>
    <w:rsid w:val="3D7563E3"/>
    <w:rsid w:val="3D7815DA"/>
    <w:rsid w:val="3D7D1E37"/>
    <w:rsid w:val="3D8044A2"/>
    <w:rsid w:val="3D874491"/>
    <w:rsid w:val="3D8C7CFA"/>
    <w:rsid w:val="3D962E9A"/>
    <w:rsid w:val="3D976F06"/>
    <w:rsid w:val="3D9848F1"/>
    <w:rsid w:val="3D9D1752"/>
    <w:rsid w:val="3DB343BF"/>
    <w:rsid w:val="3DB50A5D"/>
    <w:rsid w:val="3DC03054"/>
    <w:rsid w:val="3DD27E02"/>
    <w:rsid w:val="3DD523D5"/>
    <w:rsid w:val="3DE03BA2"/>
    <w:rsid w:val="3DEE4EAC"/>
    <w:rsid w:val="3DF80597"/>
    <w:rsid w:val="3DF859AA"/>
    <w:rsid w:val="3E014244"/>
    <w:rsid w:val="3E05114C"/>
    <w:rsid w:val="3E0570DD"/>
    <w:rsid w:val="3E061964"/>
    <w:rsid w:val="3E0D1785"/>
    <w:rsid w:val="3E133F77"/>
    <w:rsid w:val="3E1378B4"/>
    <w:rsid w:val="3E1529E5"/>
    <w:rsid w:val="3E1A34E5"/>
    <w:rsid w:val="3E233537"/>
    <w:rsid w:val="3E247F32"/>
    <w:rsid w:val="3E3826A3"/>
    <w:rsid w:val="3E397208"/>
    <w:rsid w:val="3E574458"/>
    <w:rsid w:val="3E6045A1"/>
    <w:rsid w:val="3E636CAD"/>
    <w:rsid w:val="3E642219"/>
    <w:rsid w:val="3E6A4896"/>
    <w:rsid w:val="3E6D7B2B"/>
    <w:rsid w:val="3E7762B5"/>
    <w:rsid w:val="3E80785E"/>
    <w:rsid w:val="3E86299B"/>
    <w:rsid w:val="3E866C1E"/>
    <w:rsid w:val="3E984202"/>
    <w:rsid w:val="3EA1722B"/>
    <w:rsid w:val="3EA82911"/>
    <w:rsid w:val="3EAC3D5F"/>
    <w:rsid w:val="3EB725EF"/>
    <w:rsid w:val="3ED10D4C"/>
    <w:rsid w:val="3ED743E4"/>
    <w:rsid w:val="3EDA0523"/>
    <w:rsid w:val="3EDE5E86"/>
    <w:rsid w:val="3EE407FD"/>
    <w:rsid w:val="3EF269CD"/>
    <w:rsid w:val="3EF525AD"/>
    <w:rsid w:val="3EFB4E8C"/>
    <w:rsid w:val="3EFF7B42"/>
    <w:rsid w:val="3F021FCA"/>
    <w:rsid w:val="3F040BBC"/>
    <w:rsid w:val="3F0802A4"/>
    <w:rsid w:val="3F0A4915"/>
    <w:rsid w:val="3F0E4E1B"/>
    <w:rsid w:val="3F23541F"/>
    <w:rsid w:val="3F2603F2"/>
    <w:rsid w:val="3F2A07B1"/>
    <w:rsid w:val="3F2E6343"/>
    <w:rsid w:val="3F3604C7"/>
    <w:rsid w:val="3F4105B4"/>
    <w:rsid w:val="3F4257E3"/>
    <w:rsid w:val="3F447DC3"/>
    <w:rsid w:val="3F4C39D9"/>
    <w:rsid w:val="3F585330"/>
    <w:rsid w:val="3F637183"/>
    <w:rsid w:val="3F6A5E19"/>
    <w:rsid w:val="3F6F5283"/>
    <w:rsid w:val="3F712FB6"/>
    <w:rsid w:val="3F717F20"/>
    <w:rsid w:val="3F757E04"/>
    <w:rsid w:val="3F813EB6"/>
    <w:rsid w:val="3F9244F0"/>
    <w:rsid w:val="3F966EEE"/>
    <w:rsid w:val="3F9F1F66"/>
    <w:rsid w:val="3FA132A1"/>
    <w:rsid w:val="3FA255B3"/>
    <w:rsid w:val="3FA4757D"/>
    <w:rsid w:val="3FA56E51"/>
    <w:rsid w:val="3FAF1A7E"/>
    <w:rsid w:val="3FB05F21"/>
    <w:rsid w:val="3FB70450"/>
    <w:rsid w:val="3FB74309"/>
    <w:rsid w:val="3FD31C10"/>
    <w:rsid w:val="3FD6525C"/>
    <w:rsid w:val="3FE773AA"/>
    <w:rsid w:val="3FEB51AC"/>
    <w:rsid w:val="3FEF3F72"/>
    <w:rsid w:val="3FFA59E9"/>
    <w:rsid w:val="400377D9"/>
    <w:rsid w:val="4004626D"/>
    <w:rsid w:val="400707F3"/>
    <w:rsid w:val="40110F38"/>
    <w:rsid w:val="401C5365"/>
    <w:rsid w:val="40237C7B"/>
    <w:rsid w:val="40395BA0"/>
    <w:rsid w:val="403C1487"/>
    <w:rsid w:val="4042621C"/>
    <w:rsid w:val="40452EED"/>
    <w:rsid w:val="40491ED2"/>
    <w:rsid w:val="40520BD7"/>
    <w:rsid w:val="40542A61"/>
    <w:rsid w:val="4063054B"/>
    <w:rsid w:val="40644F5E"/>
    <w:rsid w:val="406722F2"/>
    <w:rsid w:val="40703D60"/>
    <w:rsid w:val="407A6407"/>
    <w:rsid w:val="407C4872"/>
    <w:rsid w:val="407E54C3"/>
    <w:rsid w:val="408353E4"/>
    <w:rsid w:val="4087015A"/>
    <w:rsid w:val="40B00C12"/>
    <w:rsid w:val="40B25CC9"/>
    <w:rsid w:val="40B77DE3"/>
    <w:rsid w:val="40BA1DCF"/>
    <w:rsid w:val="40C559FD"/>
    <w:rsid w:val="40CE4185"/>
    <w:rsid w:val="40D043A1"/>
    <w:rsid w:val="40D40AD0"/>
    <w:rsid w:val="40D95004"/>
    <w:rsid w:val="40DC13F4"/>
    <w:rsid w:val="40E02699"/>
    <w:rsid w:val="40E2063B"/>
    <w:rsid w:val="40E74410"/>
    <w:rsid w:val="40E84714"/>
    <w:rsid w:val="40EB5D2C"/>
    <w:rsid w:val="40F1696F"/>
    <w:rsid w:val="40F21AC4"/>
    <w:rsid w:val="40F2439B"/>
    <w:rsid w:val="40F83A94"/>
    <w:rsid w:val="40FA2EBC"/>
    <w:rsid w:val="4102345C"/>
    <w:rsid w:val="410305B7"/>
    <w:rsid w:val="41263FC1"/>
    <w:rsid w:val="41323A55"/>
    <w:rsid w:val="41395DC0"/>
    <w:rsid w:val="413A6CF9"/>
    <w:rsid w:val="41436921"/>
    <w:rsid w:val="414B4EDC"/>
    <w:rsid w:val="414B67C1"/>
    <w:rsid w:val="414D1C8C"/>
    <w:rsid w:val="41523F5F"/>
    <w:rsid w:val="4159130B"/>
    <w:rsid w:val="415B1EBD"/>
    <w:rsid w:val="415C2CE1"/>
    <w:rsid w:val="415D42EA"/>
    <w:rsid w:val="415D61C7"/>
    <w:rsid w:val="41657605"/>
    <w:rsid w:val="416D1BF0"/>
    <w:rsid w:val="417411D1"/>
    <w:rsid w:val="41840250"/>
    <w:rsid w:val="4193026E"/>
    <w:rsid w:val="41934C3B"/>
    <w:rsid w:val="41964058"/>
    <w:rsid w:val="41A108A7"/>
    <w:rsid w:val="41A33F03"/>
    <w:rsid w:val="41AA074E"/>
    <w:rsid w:val="41AC7E24"/>
    <w:rsid w:val="41AF2B15"/>
    <w:rsid w:val="41BD389B"/>
    <w:rsid w:val="41C17BF0"/>
    <w:rsid w:val="41C54101"/>
    <w:rsid w:val="41C952EA"/>
    <w:rsid w:val="41D34932"/>
    <w:rsid w:val="41D640BB"/>
    <w:rsid w:val="41D7449A"/>
    <w:rsid w:val="41E13755"/>
    <w:rsid w:val="41E8485F"/>
    <w:rsid w:val="41E92AEB"/>
    <w:rsid w:val="41EC6FB9"/>
    <w:rsid w:val="41EE0F83"/>
    <w:rsid w:val="41F43CBE"/>
    <w:rsid w:val="41F845C1"/>
    <w:rsid w:val="41FA1184"/>
    <w:rsid w:val="41FA7928"/>
    <w:rsid w:val="41FE239B"/>
    <w:rsid w:val="4200449D"/>
    <w:rsid w:val="42131660"/>
    <w:rsid w:val="4213610B"/>
    <w:rsid w:val="42157E77"/>
    <w:rsid w:val="421C34E4"/>
    <w:rsid w:val="421D7038"/>
    <w:rsid w:val="42233522"/>
    <w:rsid w:val="42360234"/>
    <w:rsid w:val="423A3BCC"/>
    <w:rsid w:val="424167CF"/>
    <w:rsid w:val="424E57D2"/>
    <w:rsid w:val="42577237"/>
    <w:rsid w:val="425C74A5"/>
    <w:rsid w:val="425E5B6D"/>
    <w:rsid w:val="425E6442"/>
    <w:rsid w:val="4260560E"/>
    <w:rsid w:val="426B70B9"/>
    <w:rsid w:val="427750E2"/>
    <w:rsid w:val="427A0B10"/>
    <w:rsid w:val="42816906"/>
    <w:rsid w:val="4283791D"/>
    <w:rsid w:val="42927B60"/>
    <w:rsid w:val="42932CB3"/>
    <w:rsid w:val="429D6505"/>
    <w:rsid w:val="42AD2B62"/>
    <w:rsid w:val="42AE5C8C"/>
    <w:rsid w:val="42B234EB"/>
    <w:rsid w:val="42B26C49"/>
    <w:rsid w:val="42B6567A"/>
    <w:rsid w:val="42BB3775"/>
    <w:rsid w:val="42C50A67"/>
    <w:rsid w:val="42C8103A"/>
    <w:rsid w:val="42D31245"/>
    <w:rsid w:val="42D86F01"/>
    <w:rsid w:val="42DB59FD"/>
    <w:rsid w:val="42DC527F"/>
    <w:rsid w:val="42E02626"/>
    <w:rsid w:val="42E163F2"/>
    <w:rsid w:val="42F73EF6"/>
    <w:rsid w:val="42FB5D15"/>
    <w:rsid w:val="43063105"/>
    <w:rsid w:val="430640AA"/>
    <w:rsid w:val="430649CE"/>
    <w:rsid w:val="43093658"/>
    <w:rsid w:val="432D7E48"/>
    <w:rsid w:val="432F53AF"/>
    <w:rsid w:val="4332001A"/>
    <w:rsid w:val="433567E2"/>
    <w:rsid w:val="43386769"/>
    <w:rsid w:val="433A3D54"/>
    <w:rsid w:val="433A6FE6"/>
    <w:rsid w:val="434009FC"/>
    <w:rsid w:val="43442CD2"/>
    <w:rsid w:val="43457D85"/>
    <w:rsid w:val="43461A6B"/>
    <w:rsid w:val="43480868"/>
    <w:rsid w:val="4350713C"/>
    <w:rsid w:val="435A0E6C"/>
    <w:rsid w:val="435B43F6"/>
    <w:rsid w:val="43652320"/>
    <w:rsid w:val="43660D2E"/>
    <w:rsid w:val="436653E0"/>
    <w:rsid w:val="436C397A"/>
    <w:rsid w:val="43725A71"/>
    <w:rsid w:val="437E3CA6"/>
    <w:rsid w:val="438020AF"/>
    <w:rsid w:val="438B65E9"/>
    <w:rsid w:val="439C3E62"/>
    <w:rsid w:val="439F7064"/>
    <w:rsid w:val="43A03350"/>
    <w:rsid w:val="43AA6A1D"/>
    <w:rsid w:val="43B00C21"/>
    <w:rsid w:val="43BC2A83"/>
    <w:rsid w:val="43BD0C0D"/>
    <w:rsid w:val="43C4431A"/>
    <w:rsid w:val="43C46F34"/>
    <w:rsid w:val="43C85AEE"/>
    <w:rsid w:val="43CD03EF"/>
    <w:rsid w:val="43D70CA3"/>
    <w:rsid w:val="43D85A47"/>
    <w:rsid w:val="43DE2D77"/>
    <w:rsid w:val="43F73405"/>
    <w:rsid w:val="43FB34E3"/>
    <w:rsid w:val="44000AFA"/>
    <w:rsid w:val="440920A4"/>
    <w:rsid w:val="44104D7E"/>
    <w:rsid w:val="44127129"/>
    <w:rsid w:val="44140054"/>
    <w:rsid w:val="441D64D3"/>
    <w:rsid w:val="44202251"/>
    <w:rsid w:val="442A232C"/>
    <w:rsid w:val="442D1437"/>
    <w:rsid w:val="442F13DF"/>
    <w:rsid w:val="44301E08"/>
    <w:rsid w:val="443D6E8A"/>
    <w:rsid w:val="444F55DD"/>
    <w:rsid w:val="44562E10"/>
    <w:rsid w:val="445663BA"/>
    <w:rsid w:val="445A0ECD"/>
    <w:rsid w:val="4467501D"/>
    <w:rsid w:val="4468170E"/>
    <w:rsid w:val="4469669F"/>
    <w:rsid w:val="446D218D"/>
    <w:rsid w:val="4484065E"/>
    <w:rsid w:val="44881055"/>
    <w:rsid w:val="4489554D"/>
    <w:rsid w:val="448D7897"/>
    <w:rsid w:val="44A615DB"/>
    <w:rsid w:val="44A67A50"/>
    <w:rsid w:val="44B23A87"/>
    <w:rsid w:val="44B951CC"/>
    <w:rsid w:val="44BA53C1"/>
    <w:rsid w:val="44C22253"/>
    <w:rsid w:val="44CD14E0"/>
    <w:rsid w:val="44DF2C9A"/>
    <w:rsid w:val="44EE135A"/>
    <w:rsid w:val="44EF4E4C"/>
    <w:rsid w:val="44F20B0B"/>
    <w:rsid w:val="45014B29"/>
    <w:rsid w:val="450A1158"/>
    <w:rsid w:val="4517556E"/>
    <w:rsid w:val="4518283D"/>
    <w:rsid w:val="451F5006"/>
    <w:rsid w:val="452151CC"/>
    <w:rsid w:val="45224105"/>
    <w:rsid w:val="452A0524"/>
    <w:rsid w:val="452E5F4C"/>
    <w:rsid w:val="45323F15"/>
    <w:rsid w:val="453C6F4C"/>
    <w:rsid w:val="45460E14"/>
    <w:rsid w:val="454B20CD"/>
    <w:rsid w:val="45590B62"/>
    <w:rsid w:val="45612018"/>
    <w:rsid w:val="45667DC6"/>
    <w:rsid w:val="4567463B"/>
    <w:rsid w:val="45687B0A"/>
    <w:rsid w:val="45690DEB"/>
    <w:rsid w:val="456E6E15"/>
    <w:rsid w:val="456F14C8"/>
    <w:rsid w:val="45741A66"/>
    <w:rsid w:val="45823CD4"/>
    <w:rsid w:val="458946E9"/>
    <w:rsid w:val="458B61B4"/>
    <w:rsid w:val="459C4979"/>
    <w:rsid w:val="459E05CA"/>
    <w:rsid w:val="459F7FF5"/>
    <w:rsid w:val="45A47C0E"/>
    <w:rsid w:val="45A656D1"/>
    <w:rsid w:val="45B32AE0"/>
    <w:rsid w:val="45B95B02"/>
    <w:rsid w:val="45C75D73"/>
    <w:rsid w:val="45C9178A"/>
    <w:rsid w:val="45DE3BD5"/>
    <w:rsid w:val="45EF19A1"/>
    <w:rsid w:val="45FB0109"/>
    <w:rsid w:val="46015BF1"/>
    <w:rsid w:val="46054AED"/>
    <w:rsid w:val="460F771A"/>
    <w:rsid w:val="46103B49"/>
    <w:rsid w:val="46251BEC"/>
    <w:rsid w:val="462B66E0"/>
    <w:rsid w:val="46344F00"/>
    <w:rsid w:val="463B22BD"/>
    <w:rsid w:val="464078D3"/>
    <w:rsid w:val="46413A4D"/>
    <w:rsid w:val="46472A10"/>
    <w:rsid w:val="46483E29"/>
    <w:rsid w:val="464F1ED4"/>
    <w:rsid w:val="46577FD6"/>
    <w:rsid w:val="46602F53"/>
    <w:rsid w:val="466204F8"/>
    <w:rsid w:val="46737CA9"/>
    <w:rsid w:val="467B093B"/>
    <w:rsid w:val="4682613E"/>
    <w:rsid w:val="46884FD4"/>
    <w:rsid w:val="4688750A"/>
    <w:rsid w:val="468C10DF"/>
    <w:rsid w:val="46900FBA"/>
    <w:rsid w:val="46906BA5"/>
    <w:rsid w:val="4691580A"/>
    <w:rsid w:val="4696345C"/>
    <w:rsid w:val="469B55FA"/>
    <w:rsid w:val="469B5824"/>
    <w:rsid w:val="469F1111"/>
    <w:rsid w:val="46A34F9B"/>
    <w:rsid w:val="46A547F3"/>
    <w:rsid w:val="46A71700"/>
    <w:rsid w:val="46AE00CF"/>
    <w:rsid w:val="46B54833"/>
    <w:rsid w:val="46BB084E"/>
    <w:rsid w:val="46BC0309"/>
    <w:rsid w:val="46BF56D8"/>
    <w:rsid w:val="46C4216E"/>
    <w:rsid w:val="46CB6627"/>
    <w:rsid w:val="46D6318D"/>
    <w:rsid w:val="46D955A7"/>
    <w:rsid w:val="46E73F22"/>
    <w:rsid w:val="46EA5779"/>
    <w:rsid w:val="46F91B2B"/>
    <w:rsid w:val="46FA70DF"/>
    <w:rsid w:val="47007847"/>
    <w:rsid w:val="47133957"/>
    <w:rsid w:val="47134FE8"/>
    <w:rsid w:val="47163BC5"/>
    <w:rsid w:val="471C7D7D"/>
    <w:rsid w:val="47220768"/>
    <w:rsid w:val="472A3FB6"/>
    <w:rsid w:val="47331014"/>
    <w:rsid w:val="4739367F"/>
    <w:rsid w:val="473D46BC"/>
    <w:rsid w:val="47495429"/>
    <w:rsid w:val="474D57A3"/>
    <w:rsid w:val="474F326B"/>
    <w:rsid w:val="47532DA2"/>
    <w:rsid w:val="47555600"/>
    <w:rsid w:val="4757651D"/>
    <w:rsid w:val="475F1A92"/>
    <w:rsid w:val="47601E83"/>
    <w:rsid w:val="47737835"/>
    <w:rsid w:val="47756079"/>
    <w:rsid w:val="47796D88"/>
    <w:rsid w:val="477B0609"/>
    <w:rsid w:val="47803AED"/>
    <w:rsid w:val="4783283D"/>
    <w:rsid w:val="478A0415"/>
    <w:rsid w:val="478D2B7B"/>
    <w:rsid w:val="47911EEF"/>
    <w:rsid w:val="479C6D48"/>
    <w:rsid w:val="47A07E0C"/>
    <w:rsid w:val="47A22C9A"/>
    <w:rsid w:val="47AA594C"/>
    <w:rsid w:val="47B0072E"/>
    <w:rsid w:val="47BC0E64"/>
    <w:rsid w:val="47BE6865"/>
    <w:rsid w:val="47CB141F"/>
    <w:rsid w:val="47D06A35"/>
    <w:rsid w:val="47DE0355"/>
    <w:rsid w:val="47E64CED"/>
    <w:rsid w:val="47E85EB0"/>
    <w:rsid w:val="47EA3D2C"/>
    <w:rsid w:val="47FC67D2"/>
    <w:rsid w:val="47FC78CF"/>
    <w:rsid w:val="47FF75DD"/>
    <w:rsid w:val="480542FE"/>
    <w:rsid w:val="48096298"/>
    <w:rsid w:val="48096DEF"/>
    <w:rsid w:val="480F301E"/>
    <w:rsid w:val="481233E6"/>
    <w:rsid w:val="481354F0"/>
    <w:rsid w:val="48160E3A"/>
    <w:rsid w:val="48220A60"/>
    <w:rsid w:val="482F072B"/>
    <w:rsid w:val="48362D3C"/>
    <w:rsid w:val="48382F58"/>
    <w:rsid w:val="48420DC4"/>
    <w:rsid w:val="484232D5"/>
    <w:rsid w:val="48473080"/>
    <w:rsid w:val="484A4F29"/>
    <w:rsid w:val="484A762B"/>
    <w:rsid w:val="484C3CCD"/>
    <w:rsid w:val="48551B0C"/>
    <w:rsid w:val="48563CF1"/>
    <w:rsid w:val="48565BE8"/>
    <w:rsid w:val="48606215"/>
    <w:rsid w:val="48656583"/>
    <w:rsid w:val="4870272E"/>
    <w:rsid w:val="487E032C"/>
    <w:rsid w:val="48822425"/>
    <w:rsid w:val="48852288"/>
    <w:rsid w:val="48860E58"/>
    <w:rsid w:val="48894BB5"/>
    <w:rsid w:val="488C6E91"/>
    <w:rsid w:val="48947F0A"/>
    <w:rsid w:val="48977333"/>
    <w:rsid w:val="48A4239B"/>
    <w:rsid w:val="48A5451B"/>
    <w:rsid w:val="48AC624A"/>
    <w:rsid w:val="48AD7924"/>
    <w:rsid w:val="48B06F92"/>
    <w:rsid w:val="48BB37F1"/>
    <w:rsid w:val="48CF69F2"/>
    <w:rsid w:val="48D015CC"/>
    <w:rsid w:val="48D04759"/>
    <w:rsid w:val="48D12A38"/>
    <w:rsid w:val="48D12A65"/>
    <w:rsid w:val="48D67B5B"/>
    <w:rsid w:val="48DD4821"/>
    <w:rsid w:val="4900334A"/>
    <w:rsid w:val="4905293A"/>
    <w:rsid w:val="49065663"/>
    <w:rsid w:val="49065BC0"/>
    <w:rsid w:val="49094ECF"/>
    <w:rsid w:val="4913307D"/>
    <w:rsid w:val="4916740D"/>
    <w:rsid w:val="49176E65"/>
    <w:rsid w:val="491A440C"/>
    <w:rsid w:val="491E0AFA"/>
    <w:rsid w:val="491F1A22"/>
    <w:rsid w:val="4922204C"/>
    <w:rsid w:val="492E0AF5"/>
    <w:rsid w:val="49344461"/>
    <w:rsid w:val="493E3446"/>
    <w:rsid w:val="493F0393"/>
    <w:rsid w:val="49463453"/>
    <w:rsid w:val="49520049"/>
    <w:rsid w:val="49531EC7"/>
    <w:rsid w:val="495C77D2"/>
    <w:rsid w:val="49660B10"/>
    <w:rsid w:val="497129E0"/>
    <w:rsid w:val="49731D6E"/>
    <w:rsid w:val="49791213"/>
    <w:rsid w:val="497958A5"/>
    <w:rsid w:val="49857AF3"/>
    <w:rsid w:val="499441BE"/>
    <w:rsid w:val="49B14177"/>
    <w:rsid w:val="49B85748"/>
    <w:rsid w:val="49BA541C"/>
    <w:rsid w:val="49BF20F7"/>
    <w:rsid w:val="49C07F1A"/>
    <w:rsid w:val="49C14635"/>
    <w:rsid w:val="49CB472F"/>
    <w:rsid w:val="49CD3B48"/>
    <w:rsid w:val="49CF0244"/>
    <w:rsid w:val="49DC7715"/>
    <w:rsid w:val="49DE7B2F"/>
    <w:rsid w:val="49E60771"/>
    <w:rsid w:val="49E80CD6"/>
    <w:rsid w:val="49EB5DA8"/>
    <w:rsid w:val="49ED7A7E"/>
    <w:rsid w:val="49ED7D72"/>
    <w:rsid w:val="49F2635D"/>
    <w:rsid w:val="49F340B5"/>
    <w:rsid w:val="49F41101"/>
    <w:rsid w:val="49F45BD2"/>
    <w:rsid w:val="49F54A11"/>
    <w:rsid w:val="49FC7742"/>
    <w:rsid w:val="4A023139"/>
    <w:rsid w:val="4A0A4C18"/>
    <w:rsid w:val="4A0A4F59"/>
    <w:rsid w:val="4A196056"/>
    <w:rsid w:val="4A1C322B"/>
    <w:rsid w:val="4A2007F8"/>
    <w:rsid w:val="4A2E7440"/>
    <w:rsid w:val="4A3F249A"/>
    <w:rsid w:val="4A42707D"/>
    <w:rsid w:val="4A437992"/>
    <w:rsid w:val="4A453376"/>
    <w:rsid w:val="4A493BE6"/>
    <w:rsid w:val="4A4F1CEA"/>
    <w:rsid w:val="4A533FA8"/>
    <w:rsid w:val="4A5360F1"/>
    <w:rsid w:val="4A5437BE"/>
    <w:rsid w:val="4A5F6B2F"/>
    <w:rsid w:val="4A62250E"/>
    <w:rsid w:val="4A6B7F72"/>
    <w:rsid w:val="4A6D0536"/>
    <w:rsid w:val="4A6E5737"/>
    <w:rsid w:val="4A6F1F0F"/>
    <w:rsid w:val="4A762F51"/>
    <w:rsid w:val="4A765636"/>
    <w:rsid w:val="4A793333"/>
    <w:rsid w:val="4A7A13CA"/>
    <w:rsid w:val="4A7B576F"/>
    <w:rsid w:val="4A8471A8"/>
    <w:rsid w:val="4A9A1C0C"/>
    <w:rsid w:val="4A9C6892"/>
    <w:rsid w:val="4AA05114"/>
    <w:rsid w:val="4AA06B93"/>
    <w:rsid w:val="4AAD341B"/>
    <w:rsid w:val="4AB56AE2"/>
    <w:rsid w:val="4AC15AD6"/>
    <w:rsid w:val="4ACB00B3"/>
    <w:rsid w:val="4ADD142B"/>
    <w:rsid w:val="4AE559CC"/>
    <w:rsid w:val="4AEB06C7"/>
    <w:rsid w:val="4AEE2A22"/>
    <w:rsid w:val="4AEE2B5A"/>
    <w:rsid w:val="4AF55A6A"/>
    <w:rsid w:val="4AF561A9"/>
    <w:rsid w:val="4AF861BA"/>
    <w:rsid w:val="4B015F26"/>
    <w:rsid w:val="4B150E4D"/>
    <w:rsid w:val="4B187071"/>
    <w:rsid w:val="4B1D6FB7"/>
    <w:rsid w:val="4B2E7EB5"/>
    <w:rsid w:val="4B3814C1"/>
    <w:rsid w:val="4B3865D5"/>
    <w:rsid w:val="4B4158ED"/>
    <w:rsid w:val="4B481EFF"/>
    <w:rsid w:val="4B4C0582"/>
    <w:rsid w:val="4B4D6D1A"/>
    <w:rsid w:val="4B517637"/>
    <w:rsid w:val="4B5906C2"/>
    <w:rsid w:val="4B600C5B"/>
    <w:rsid w:val="4B6D6DCA"/>
    <w:rsid w:val="4B6E22D0"/>
    <w:rsid w:val="4B841920"/>
    <w:rsid w:val="4B842010"/>
    <w:rsid w:val="4B865D88"/>
    <w:rsid w:val="4B8C17EC"/>
    <w:rsid w:val="4B8E1ADD"/>
    <w:rsid w:val="4B91479A"/>
    <w:rsid w:val="4B94679F"/>
    <w:rsid w:val="4B9E1B4F"/>
    <w:rsid w:val="4BA162D3"/>
    <w:rsid w:val="4BAC19F1"/>
    <w:rsid w:val="4BAF5189"/>
    <w:rsid w:val="4BB07C37"/>
    <w:rsid w:val="4BB73B85"/>
    <w:rsid w:val="4BBE19C6"/>
    <w:rsid w:val="4BC220E1"/>
    <w:rsid w:val="4BC30E79"/>
    <w:rsid w:val="4BC33965"/>
    <w:rsid w:val="4BCD40B9"/>
    <w:rsid w:val="4BE3399F"/>
    <w:rsid w:val="4BE8259F"/>
    <w:rsid w:val="4BE909E0"/>
    <w:rsid w:val="4BEC0FE3"/>
    <w:rsid w:val="4BF00726"/>
    <w:rsid w:val="4BF22E9F"/>
    <w:rsid w:val="4C0116B6"/>
    <w:rsid w:val="4C0875E3"/>
    <w:rsid w:val="4C09147E"/>
    <w:rsid w:val="4C1102B4"/>
    <w:rsid w:val="4C124BC8"/>
    <w:rsid w:val="4C210300"/>
    <w:rsid w:val="4C224DB8"/>
    <w:rsid w:val="4C237A7B"/>
    <w:rsid w:val="4C273A82"/>
    <w:rsid w:val="4C3158E1"/>
    <w:rsid w:val="4C336756"/>
    <w:rsid w:val="4C485952"/>
    <w:rsid w:val="4C4A0649"/>
    <w:rsid w:val="4C4B0C8F"/>
    <w:rsid w:val="4C4D68A6"/>
    <w:rsid w:val="4C546E1B"/>
    <w:rsid w:val="4C653E05"/>
    <w:rsid w:val="4C6B006F"/>
    <w:rsid w:val="4C6E2B99"/>
    <w:rsid w:val="4C7E5ECA"/>
    <w:rsid w:val="4C876AA5"/>
    <w:rsid w:val="4C8A0C1D"/>
    <w:rsid w:val="4C8B61CE"/>
    <w:rsid w:val="4C8F299A"/>
    <w:rsid w:val="4C97604D"/>
    <w:rsid w:val="4CAA1387"/>
    <w:rsid w:val="4CB43CD7"/>
    <w:rsid w:val="4CCF418E"/>
    <w:rsid w:val="4CD31551"/>
    <w:rsid w:val="4CDD5E7C"/>
    <w:rsid w:val="4CDE13BE"/>
    <w:rsid w:val="4CDE2D1C"/>
    <w:rsid w:val="4CE32F81"/>
    <w:rsid w:val="4CE425FB"/>
    <w:rsid w:val="4CEE4E99"/>
    <w:rsid w:val="4CF109D4"/>
    <w:rsid w:val="4CF44D53"/>
    <w:rsid w:val="4D0C0535"/>
    <w:rsid w:val="4D0E00FB"/>
    <w:rsid w:val="4D176606"/>
    <w:rsid w:val="4D1A12FB"/>
    <w:rsid w:val="4D2E3FEE"/>
    <w:rsid w:val="4D3245B5"/>
    <w:rsid w:val="4D3402BA"/>
    <w:rsid w:val="4D371A30"/>
    <w:rsid w:val="4D4B1038"/>
    <w:rsid w:val="4D5711AA"/>
    <w:rsid w:val="4D5A665F"/>
    <w:rsid w:val="4D5E4344"/>
    <w:rsid w:val="4D5E6D65"/>
    <w:rsid w:val="4D636815"/>
    <w:rsid w:val="4D6B266C"/>
    <w:rsid w:val="4D7E060B"/>
    <w:rsid w:val="4D8F6A66"/>
    <w:rsid w:val="4D9A4DB8"/>
    <w:rsid w:val="4D9B50BA"/>
    <w:rsid w:val="4D9F3688"/>
    <w:rsid w:val="4DA70238"/>
    <w:rsid w:val="4DB01A1A"/>
    <w:rsid w:val="4DB43081"/>
    <w:rsid w:val="4DB80713"/>
    <w:rsid w:val="4DBE1A86"/>
    <w:rsid w:val="4DC91F90"/>
    <w:rsid w:val="4DC94652"/>
    <w:rsid w:val="4DD411CC"/>
    <w:rsid w:val="4DDA5BB6"/>
    <w:rsid w:val="4DE630CC"/>
    <w:rsid w:val="4DEC4FB0"/>
    <w:rsid w:val="4DEC5398"/>
    <w:rsid w:val="4DEF4176"/>
    <w:rsid w:val="4DF516A2"/>
    <w:rsid w:val="4DF67695"/>
    <w:rsid w:val="4DFB5605"/>
    <w:rsid w:val="4DFD41FB"/>
    <w:rsid w:val="4E0336C0"/>
    <w:rsid w:val="4E047438"/>
    <w:rsid w:val="4E06026C"/>
    <w:rsid w:val="4E075D8A"/>
    <w:rsid w:val="4E0E3D55"/>
    <w:rsid w:val="4E11738D"/>
    <w:rsid w:val="4E1521B0"/>
    <w:rsid w:val="4E1B3590"/>
    <w:rsid w:val="4E347D1E"/>
    <w:rsid w:val="4E3B5CAD"/>
    <w:rsid w:val="4E3C7A10"/>
    <w:rsid w:val="4E404914"/>
    <w:rsid w:val="4E4B5067"/>
    <w:rsid w:val="4E561001"/>
    <w:rsid w:val="4E5643FF"/>
    <w:rsid w:val="4E5B5471"/>
    <w:rsid w:val="4E68211A"/>
    <w:rsid w:val="4E6A1991"/>
    <w:rsid w:val="4E71255A"/>
    <w:rsid w:val="4E7356A1"/>
    <w:rsid w:val="4E7A5D97"/>
    <w:rsid w:val="4E7B3764"/>
    <w:rsid w:val="4E810A89"/>
    <w:rsid w:val="4E812288"/>
    <w:rsid w:val="4E8428DD"/>
    <w:rsid w:val="4E870795"/>
    <w:rsid w:val="4E8A7E8A"/>
    <w:rsid w:val="4E8E38F1"/>
    <w:rsid w:val="4E947BB8"/>
    <w:rsid w:val="4E962786"/>
    <w:rsid w:val="4E9E646A"/>
    <w:rsid w:val="4EB37C3D"/>
    <w:rsid w:val="4EB40E5E"/>
    <w:rsid w:val="4EBD3763"/>
    <w:rsid w:val="4EC00FAD"/>
    <w:rsid w:val="4EC201C3"/>
    <w:rsid w:val="4EC32FF8"/>
    <w:rsid w:val="4EC33BA0"/>
    <w:rsid w:val="4EC7103F"/>
    <w:rsid w:val="4EC83B07"/>
    <w:rsid w:val="4ECA0682"/>
    <w:rsid w:val="4ED96B17"/>
    <w:rsid w:val="4EE07EA5"/>
    <w:rsid w:val="4EE51E8F"/>
    <w:rsid w:val="4EF456FF"/>
    <w:rsid w:val="4EF83441"/>
    <w:rsid w:val="4EFE64FC"/>
    <w:rsid w:val="4F0040A4"/>
    <w:rsid w:val="4F074804"/>
    <w:rsid w:val="4F0F6E17"/>
    <w:rsid w:val="4F13001E"/>
    <w:rsid w:val="4F174463"/>
    <w:rsid w:val="4F1A7015"/>
    <w:rsid w:val="4F1D44DC"/>
    <w:rsid w:val="4F243C2C"/>
    <w:rsid w:val="4F280008"/>
    <w:rsid w:val="4F2C53DC"/>
    <w:rsid w:val="4F300C1C"/>
    <w:rsid w:val="4F332307"/>
    <w:rsid w:val="4F33740B"/>
    <w:rsid w:val="4F364DBE"/>
    <w:rsid w:val="4F3930A8"/>
    <w:rsid w:val="4F3F6884"/>
    <w:rsid w:val="4F493C9D"/>
    <w:rsid w:val="4F493FF8"/>
    <w:rsid w:val="4F553ABF"/>
    <w:rsid w:val="4F5737DA"/>
    <w:rsid w:val="4F5B577E"/>
    <w:rsid w:val="4F610D6D"/>
    <w:rsid w:val="4F6C3D97"/>
    <w:rsid w:val="4F7043C3"/>
    <w:rsid w:val="4F7277DF"/>
    <w:rsid w:val="4F813436"/>
    <w:rsid w:val="4F8624A9"/>
    <w:rsid w:val="4F967CD7"/>
    <w:rsid w:val="4F97429E"/>
    <w:rsid w:val="4F976143"/>
    <w:rsid w:val="4F9843DC"/>
    <w:rsid w:val="4FA36773"/>
    <w:rsid w:val="4FA965C7"/>
    <w:rsid w:val="4FAF0C94"/>
    <w:rsid w:val="4FBF5D0D"/>
    <w:rsid w:val="4FC24FED"/>
    <w:rsid w:val="4FC62A8C"/>
    <w:rsid w:val="4FD765C5"/>
    <w:rsid w:val="4FDA5733"/>
    <w:rsid w:val="4FDE7696"/>
    <w:rsid w:val="4FE20F0D"/>
    <w:rsid w:val="4FE47521"/>
    <w:rsid w:val="4FE51552"/>
    <w:rsid w:val="4FE6773D"/>
    <w:rsid w:val="4FEB6B02"/>
    <w:rsid w:val="4FEB7C28"/>
    <w:rsid w:val="4FED4FDF"/>
    <w:rsid w:val="4FFA6FC7"/>
    <w:rsid w:val="4FFC3E97"/>
    <w:rsid w:val="500364BB"/>
    <w:rsid w:val="50073BAB"/>
    <w:rsid w:val="5009759E"/>
    <w:rsid w:val="500B3889"/>
    <w:rsid w:val="500F77D1"/>
    <w:rsid w:val="501D3B75"/>
    <w:rsid w:val="50243DC2"/>
    <w:rsid w:val="502B1973"/>
    <w:rsid w:val="50340756"/>
    <w:rsid w:val="50371D47"/>
    <w:rsid w:val="503F0BFC"/>
    <w:rsid w:val="50446212"/>
    <w:rsid w:val="504B06AB"/>
    <w:rsid w:val="50504C4B"/>
    <w:rsid w:val="506B51B0"/>
    <w:rsid w:val="50821724"/>
    <w:rsid w:val="50821C8A"/>
    <w:rsid w:val="508403B9"/>
    <w:rsid w:val="508A0853"/>
    <w:rsid w:val="509C6E7C"/>
    <w:rsid w:val="50A40932"/>
    <w:rsid w:val="50A955ED"/>
    <w:rsid w:val="50AD025B"/>
    <w:rsid w:val="50B73A69"/>
    <w:rsid w:val="50BA24EF"/>
    <w:rsid w:val="50CB4205"/>
    <w:rsid w:val="50CE2A9D"/>
    <w:rsid w:val="50DA429D"/>
    <w:rsid w:val="50E81CB8"/>
    <w:rsid w:val="50E83434"/>
    <w:rsid w:val="50EF1F01"/>
    <w:rsid w:val="50FB51EE"/>
    <w:rsid w:val="5100038B"/>
    <w:rsid w:val="51085492"/>
    <w:rsid w:val="51121308"/>
    <w:rsid w:val="5119144D"/>
    <w:rsid w:val="511B50BD"/>
    <w:rsid w:val="511B51C5"/>
    <w:rsid w:val="511E568D"/>
    <w:rsid w:val="5133132A"/>
    <w:rsid w:val="51447ED3"/>
    <w:rsid w:val="5156591A"/>
    <w:rsid w:val="515C50ED"/>
    <w:rsid w:val="515D0B7B"/>
    <w:rsid w:val="515D5C50"/>
    <w:rsid w:val="51614251"/>
    <w:rsid w:val="5162104E"/>
    <w:rsid w:val="516C5A20"/>
    <w:rsid w:val="516C72A2"/>
    <w:rsid w:val="51711289"/>
    <w:rsid w:val="517319AD"/>
    <w:rsid w:val="51735001"/>
    <w:rsid w:val="51741536"/>
    <w:rsid w:val="51764AF1"/>
    <w:rsid w:val="518A25EC"/>
    <w:rsid w:val="5194178A"/>
    <w:rsid w:val="519D41BE"/>
    <w:rsid w:val="519F20E6"/>
    <w:rsid w:val="51A21356"/>
    <w:rsid w:val="51A50BFA"/>
    <w:rsid w:val="51AB3076"/>
    <w:rsid w:val="51AC28BD"/>
    <w:rsid w:val="51B019FC"/>
    <w:rsid w:val="51B028A0"/>
    <w:rsid w:val="51BD5BC1"/>
    <w:rsid w:val="51D8730D"/>
    <w:rsid w:val="51DD691E"/>
    <w:rsid w:val="51F06651"/>
    <w:rsid w:val="51F26FC8"/>
    <w:rsid w:val="51F8392E"/>
    <w:rsid w:val="51FC0A11"/>
    <w:rsid w:val="51FE0D6E"/>
    <w:rsid w:val="51FE2294"/>
    <w:rsid w:val="520420FD"/>
    <w:rsid w:val="52086E69"/>
    <w:rsid w:val="520F496B"/>
    <w:rsid w:val="5229133D"/>
    <w:rsid w:val="522C128B"/>
    <w:rsid w:val="52321467"/>
    <w:rsid w:val="523A13C9"/>
    <w:rsid w:val="52412A09"/>
    <w:rsid w:val="52455161"/>
    <w:rsid w:val="524644C3"/>
    <w:rsid w:val="52560EF8"/>
    <w:rsid w:val="525775DE"/>
    <w:rsid w:val="525B76A6"/>
    <w:rsid w:val="526112FD"/>
    <w:rsid w:val="5261584E"/>
    <w:rsid w:val="52674432"/>
    <w:rsid w:val="526947F5"/>
    <w:rsid w:val="52743DE8"/>
    <w:rsid w:val="52766C01"/>
    <w:rsid w:val="5281370D"/>
    <w:rsid w:val="529139AD"/>
    <w:rsid w:val="52975EEA"/>
    <w:rsid w:val="52A82A88"/>
    <w:rsid w:val="52AC5C47"/>
    <w:rsid w:val="52B23CBC"/>
    <w:rsid w:val="52B41F34"/>
    <w:rsid w:val="52B50E88"/>
    <w:rsid w:val="52BC45D8"/>
    <w:rsid w:val="52BE482B"/>
    <w:rsid w:val="52C823A8"/>
    <w:rsid w:val="52CB6C65"/>
    <w:rsid w:val="52CF270B"/>
    <w:rsid w:val="52D96D1C"/>
    <w:rsid w:val="52E74282"/>
    <w:rsid w:val="52E77591"/>
    <w:rsid w:val="52EA0C77"/>
    <w:rsid w:val="52EA7726"/>
    <w:rsid w:val="52ED2F38"/>
    <w:rsid w:val="53141638"/>
    <w:rsid w:val="5314246F"/>
    <w:rsid w:val="532002F2"/>
    <w:rsid w:val="53231E9E"/>
    <w:rsid w:val="532420A3"/>
    <w:rsid w:val="53302731"/>
    <w:rsid w:val="53382046"/>
    <w:rsid w:val="534239E1"/>
    <w:rsid w:val="53430783"/>
    <w:rsid w:val="534E1882"/>
    <w:rsid w:val="534F2226"/>
    <w:rsid w:val="535367A5"/>
    <w:rsid w:val="535B7CED"/>
    <w:rsid w:val="5365094C"/>
    <w:rsid w:val="536B290F"/>
    <w:rsid w:val="536C4A8A"/>
    <w:rsid w:val="53806410"/>
    <w:rsid w:val="53973C1A"/>
    <w:rsid w:val="539A6875"/>
    <w:rsid w:val="539D0113"/>
    <w:rsid w:val="539E62B6"/>
    <w:rsid w:val="53A00F43"/>
    <w:rsid w:val="53A039CC"/>
    <w:rsid w:val="53A122EC"/>
    <w:rsid w:val="53A1505A"/>
    <w:rsid w:val="53A441D1"/>
    <w:rsid w:val="53AD039C"/>
    <w:rsid w:val="53B37937"/>
    <w:rsid w:val="53B82C62"/>
    <w:rsid w:val="53B86F6A"/>
    <w:rsid w:val="53BA6F17"/>
    <w:rsid w:val="53BD2563"/>
    <w:rsid w:val="53BD6EA5"/>
    <w:rsid w:val="53C057E0"/>
    <w:rsid w:val="53C45C9E"/>
    <w:rsid w:val="53C53E81"/>
    <w:rsid w:val="53DA70F1"/>
    <w:rsid w:val="53DF59F7"/>
    <w:rsid w:val="53E144A4"/>
    <w:rsid w:val="53E36D11"/>
    <w:rsid w:val="53E42050"/>
    <w:rsid w:val="53E455B6"/>
    <w:rsid w:val="53E612C9"/>
    <w:rsid w:val="53FD5056"/>
    <w:rsid w:val="54027899"/>
    <w:rsid w:val="54063E08"/>
    <w:rsid w:val="54095C24"/>
    <w:rsid w:val="540B32CF"/>
    <w:rsid w:val="540E2DBF"/>
    <w:rsid w:val="54140B2A"/>
    <w:rsid w:val="541C372E"/>
    <w:rsid w:val="54342609"/>
    <w:rsid w:val="543437E8"/>
    <w:rsid w:val="543A2EA9"/>
    <w:rsid w:val="5445084F"/>
    <w:rsid w:val="54454DB1"/>
    <w:rsid w:val="544666CF"/>
    <w:rsid w:val="54475DED"/>
    <w:rsid w:val="544B1B62"/>
    <w:rsid w:val="544E700E"/>
    <w:rsid w:val="544F0844"/>
    <w:rsid w:val="544F58E0"/>
    <w:rsid w:val="54502D52"/>
    <w:rsid w:val="54657BD2"/>
    <w:rsid w:val="547215A0"/>
    <w:rsid w:val="54780C4E"/>
    <w:rsid w:val="548457F1"/>
    <w:rsid w:val="54883230"/>
    <w:rsid w:val="54883D71"/>
    <w:rsid w:val="549D6934"/>
    <w:rsid w:val="54A37B65"/>
    <w:rsid w:val="54A57CFE"/>
    <w:rsid w:val="54C0055D"/>
    <w:rsid w:val="54C8282A"/>
    <w:rsid w:val="54C82840"/>
    <w:rsid w:val="54D53FCC"/>
    <w:rsid w:val="54DC69F7"/>
    <w:rsid w:val="54DD4654"/>
    <w:rsid w:val="54EF7847"/>
    <w:rsid w:val="54F05465"/>
    <w:rsid w:val="54F26714"/>
    <w:rsid w:val="54F40207"/>
    <w:rsid w:val="54F73313"/>
    <w:rsid w:val="54F80955"/>
    <w:rsid w:val="550375D1"/>
    <w:rsid w:val="550C7C9E"/>
    <w:rsid w:val="55102B67"/>
    <w:rsid w:val="55147E09"/>
    <w:rsid w:val="551C775D"/>
    <w:rsid w:val="551D6150"/>
    <w:rsid w:val="55264684"/>
    <w:rsid w:val="552D1C3E"/>
    <w:rsid w:val="552D3719"/>
    <w:rsid w:val="55363E50"/>
    <w:rsid w:val="554848BA"/>
    <w:rsid w:val="554F60D0"/>
    <w:rsid w:val="555170A7"/>
    <w:rsid w:val="55592A2E"/>
    <w:rsid w:val="55681C52"/>
    <w:rsid w:val="556E384F"/>
    <w:rsid w:val="556F197D"/>
    <w:rsid w:val="557070DC"/>
    <w:rsid w:val="557742E6"/>
    <w:rsid w:val="557B26D6"/>
    <w:rsid w:val="557D1859"/>
    <w:rsid w:val="557E7D2B"/>
    <w:rsid w:val="558160E5"/>
    <w:rsid w:val="5583158B"/>
    <w:rsid w:val="5587107B"/>
    <w:rsid w:val="5587536D"/>
    <w:rsid w:val="558C3EFE"/>
    <w:rsid w:val="55932516"/>
    <w:rsid w:val="55966EF8"/>
    <w:rsid w:val="559A50C1"/>
    <w:rsid w:val="559B174B"/>
    <w:rsid w:val="55A734CB"/>
    <w:rsid w:val="55BB275B"/>
    <w:rsid w:val="55C61B82"/>
    <w:rsid w:val="55CC77A6"/>
    <w:rsid w:val="55CE0CF4"/>
    <w:rsid w:val="55CE2806"/>
    <w:rsid w:val="55DB4F23"/>
    <w:rsid w:val="55DE14CA"/>
    <w:rsid w:val="55E23A15"/>
    <w:rsid w:val="55F34962"/>
    <w:rsid w:val="55FB249F"/>
    <w:rsid w:val="56051FA0"/>
    <w:rsid w:val="56052390"/>
    <w:rsid w:val="56066443"/>
    <w:rsid w:val="560A4E39"/>
    <w:rsid w:val="56233E2B"/>
    <w:rsid w:val="562804CC"/>
    <w:rsid w:val="562E5978"/>
    <w:rsid w:val="56383990"/>
    <w:rsid w:val="563C64C0"/>
    <w:rsid w:val="563D09E9"/>
    <w:rsid w:val="563F54B2"/>
    <w:rsid w:val="56417C4B"/>
    <w:rsid w:val="56436DEA"/>
    <w:rsid w:val="56441C93"/>
    <w:rsid w:val="56451E4C"/>
    <w:rsid w:val="564735D2"/>
    <w:rsid w:val="564B02FA"/>
    <w:rsid w:val="564D1F93"/>
    <w:rsid w:val="56576C9F"/>
    <w:rsid w:val="565809C8"/>
    <w:rsid w:val="565847C5"/>
    <w:rsid w:val="56597128"/>
    <w:rsid w:val="565C5AA9"/>
    <w:rsid w:val="565D3B8A"/>
    <w:rsid w:val="565F3782"/>
    <w:rsid w:val="56625965"/>
    <w:rsid w:val="56644F18"/>
    <w:rsid w:val="567052A4"/>
    <w:rsid w:val="567275FC"/>
    <w:rsid w:val="567914D1"/>
    <w:rsid w:val="5685000B"/>
    <w:rsid w:val="56867CBB"/>
    <w:rsid w:val="568715E9"/>
    <w:rsid w:val="568B06F7"/>
    <w:rsid w:val="5697709C"/>
    <w:rsid w:val="569A3030"/>
    <w:rsid w:val="569B3810"/>
    <w:rsid w:val="56A96DCF"/>
    <w:rsid w:val="56B219D7"/>
    <w:rsid w:val="56B22A9C"/>
    <w:rsid w:val="56B539C6"/>
    <w:rsid w:val="56B91F1D"/>
    <w:rsid w:val="56BC4D54"/>
    <w:rsid w:val="56BE5ABA"/>
    <w:rsid w:val="56C24C59"/>
    <w:rsid w:val="56C97471"/>
    <w:rsid w:val="56CA65A1"/>
    <w:rsid w:val="56CC4F86"/>
    <w:rsid w:val="56CD7B35"/>
    <w:rsid w:val="56CF2477"/>
    <w:rsid w:val="56D123A7"/>
    <w:rsid w:val="56D20B13"/>
    <w:rsid w:val="56D45B12"/>
    <w:rsid w:val="56D90919"/>
    <w:rsid w:val="56E31118"/>
    <w:rsid w:val="56E83D9B"/>
    <w:rsid w:val="56F4648F"/>
    <w:rsid w:val="56F50A93"/>
    <w:rsid w:val="57223EA4"/>
    <w:rsid w:val="57253D43"/>
    <w:rsid w:val="57354D93"/>
    <w:rsid w:val="574A2B91"/>
    <w:rsid w:val="57521214"/>
    <w:rsid w:val="575223DF"/>
    <w:rsid w:val="57533D66"/>
    <w:rsid w:val="57570C9A"/>
    <w:rsid w:val="57645497"/>
    <w:rsid w:val="57696EE6"/>
    <w:rsid w:val="577072BF"/>
    <w:rsid w:val="57795F69"/>
    <w:rsid w:val="577D60E1"/>
    <w:rsid w:val="57805B1E"/>
    <w:rsid w:val="5785458A"/>
    <w:rsid w:val="57885615"/>
    <w:rsid w:val="578D2770"/>
    <w:rsid w:val="578E1256"/>
    <w:rsid w:val="579051E9"/>
    <w:rsid w:val="579346D1"/>
    <w:rsid w:val="5794182D"/>
    <w:rsid w:val="57953DAE"/>
    <w:rsid w:val="579F0B0E"/>
    <w:rsid w:val="57AD28EF"/>
    <w:rsid w:val="57B72A76"/>
    <w:rsid w:val="57BA277F"/>
    <w:rsid w:val="57BB4089"/>
    <w:rsid w:val="57BC7813"/>
    <w:rsid w:val="57BE7B82"/>
    <w:rsid w:val="57C11FC5"/>
    <w:rsid w:val="57C3426C"/>
    <w:rsid w:val="57C72B11"/>
    <w:rsid w:val="57CE1F93"/>
    <w:rsid w:val="57CF318E"/>
    <w:rsid w:val="57D47AED"/>
    <w:rsid w:val="57DB56AE"/>
    <w:rsid w:val="57DF0B24"/>
    <w:rsid w:val="57DF393A"/>
    <w:rsid w:val="57E16E8F"/>
    <w:rsid w:val="57E95AC7"/>
    <w:rsid w:val="57F8000E"/>
    <w:rsid w:val="58020E8D"/>
    <w:rsid w:val="5807028E"/>
    <w:rsid w:val="580E682E"/>
    <w:rsid w:val="581E589F"/>
    <w:rsid w:val="5823146A"/>
    <w:rsid w:val="58391D10"/>
    <w:rsid w:val="58396153"/>
    <w:rsid w:val="583F4356"/>
    <w:rsid w:val="583F79EB"/>
    <w:rsid w:val="58417C07"/>
    <w:rsid w:val="58472DCB"/>
    <w:rsid w:val="584A2216"/>
    <w:rsid w:val="58546918"/>
    <w:rsid w:val="58562F86"/>
    <w:rsid w:val="585D60C3"/>
    <w:rsid w:val="58603B9A"/>
    <w:rsid w:val="586229DF"/>
    <w:rsid w:val="58680F22"/>
    <w:rsid w:val="586D09FC"/>
    <w:rsid w:val="586E7E8F"/>
    <w:rsid w:val="587538B5"/>
    <w:rsid w:val="58757B0F"/>
    <w:rsid w:val="587672C9"/>
    <w:rsid w:val="587A4C3C"/>
    <w:rsid w:val="587B083D"/>
    <w:rsid w:val="58845D45"/>
    <w:rsid w:val="588743D1"/>
    <w:rsid w:val="5887701A"/>
    <w:rsid w:val="58970BBD"/>
    <w:rsid w:val="5898359F"/>
    <w:rsid w:val="589A7ED5"/>
    <w:rsid w:val="58A01EEE"/>
    <w:rsid w:val="58A41F44"/>
    <w:rsid w:val="58AA50DC"/>
    <w:rsid w:val="58B373D2"/>
    <w:rsid w:val="58C46E3D"/>
    <w:rsid w:val="58C90842"/>
    <w:rsid w:val="58CD4FF7"/>
    <w:rsid w:val="58D2376D"/>
    <w:rsid w:val="58D41EBB"/>
    <w:rsid w:val="58DB5C12"/>
    <w:rsid w:val="58DE3625"/>
    <w:rsid w:val="58E72AE7"/>
    <w:rsid w:val="58E81EDF"/>
    <w:rsid w:val="58E862D4"/>
    <w:rsid w:val="58ED5699"/>
    <w:rsid w:val="58EF0374"/>
    <w:rsid w:val="58F20A2E"/>
    <w:rsid w:val="58F20F01"/>
    <w:rsid w:val="58F44EBC"/>
    <w:rsid w:val="590100CA"/>
    <w:rsid w:val="59050C34"/>
    <w:rsid w:val="590564D7"/>
    <w:rsid w:val="590956AA"/>
    <w:rsid w:val="590B32DC"/>
    <w:rsid w:val="590E1874"/>
    <w:rsid w:val="59372D3D"/>
    <w:rsid w:val="5938332B"/>
    <w:rsid w:val="59385E71"/>
    <w:rsid w:val="593B10F6"/>
    <w:rsid w:val="594120C4"/>
    <w:rsid w:val="594E2814"/>
    <w:rsid w:val="59507A54"/>
    <w:rsid w:val="595B0854"/>
    <w:rsid w:val="595B56FE"/>
    <w:rsid w:val="596120F0"/>
    <w:rsid w:val="596204D4"/>
    <w:rsid w:val="596423F7"/>
    <w:rsid w:val="596974D2"/>
    <w:rsid w:val="596F4300"/>
    <w:rsid w:val="597A3BB3"/>
    <w:rsid w:val="59803DCC"/>
    <w:rsid w:val="5984081B"/>
    <w:rsid w:val="5986567D"/>
    <w:rsid w:val="598A5B73"/>
    <w:rsid w:val="598A7039"/>
    <w:rsid w:val="598A7F20"/>
    <w:rsid w:val="598D6049"/>
    <w:rsid w:val="59900BE9"/>
    <w:rsid w:val="59945B14"/>
    <w:rsid w:val="599668F7"/>
    <w:rsid w:val="59AF0332"/>
    <w:rsid w:val="59B24FF7"/>
    <w:rsid w:val="59C0439F"/>
    <w:rsid w:val="59C80A21"/>
    <w:rsid w:val="59C95F43"/>
    <w:rsid w:val="59CD0BD9"/>
    <w:rsid w:val="59D37031"/>
    <w:rsid w:val="59DB5E85"/>
    <w:rsid w:val="59DD74BB"/>
    <w:rsid w:val="59EE33AE"/>
    <w:rsid w:val="59F24F7E"/>
    <w:rsid w:val="59F3772A"/>
    <w:rsid w:val="59F51695"/>
    <w:rsid w:val="59F57EA7"/>
    <w:rsid w:val="5A131A8C"/>
    <w:rsid w:val="5A1D61FA"/>
    <w:rsid w:val="5A1F62FB"/>
    <w:rsid w:val="5A243AEA"/>
    <w:rsid w:val="5A2E267B"/>
    <w:rsid w:val="5A2E2818"/>
    <w:rsid w:val="5A333433"/>
    <w:rsid w:val="5A382944"/>
    <w:rsid w:val="5A3879CE"/>
    <w:rsid w:val="5A464451"/>
    <w:rsid w:val="5A493177"/>
    <w:rsid w:val="5A4B6B1B"/>
    <w:rsid w:val="5A4E660B"/>
    <w:rsid w:val="5A5343F7"/>
    <w:rsid w:val="5A544645"/>
    <w:rsid w:val="5A544A98"/>
    <w:rsid w:val="5A606013"/>
    <w:rsid w:val="5A690B5A"/>
    <w:rsid w:val="5A691E77"/>
    <w:rsid w:val="5A6B7714"/>
    <w:rsid w:val="5A7122F9"/>
    <w:rsid w:val="5A75365A"/>
    <w:rsid w:val="5A826344"/>
    <w:rsid w:val="5A8E2657"/>
    <w:rsid w:val="5A9643C6"/>
    <w:rsid w:val="5A9D3DC6"/>
    <w:rsid w:val="5AA068EF"/>
    <w:rsid w:val="5AA77AC9"/>
    <w:rsid w:val="5AA91A93"/>
    <w:rsid w:val="5ABE2233"/>
    <w:rsid w:val="5ABF12B7"/>
    <w:rsid w:val="5ABF2EA2"/>
    <w:rsid w:val="5AC034D1"/>
    <w:rsid w:val="5AC610F4"/>
    <w:rsid w:val="5ADA5831"/>
    <w:rsid w:val="5ADD07DB"/>
    <w:rsid w:val="5ADD34EB"/>
    <w:rsid w:val="5AE244BD"/>
    <w:rsid w:val="5AE259CE"/>
    <w:rsid w:val="5AE34FA5"/>
    <w:rsid w:val="5AE5731D"/>
    <w:rsid w:val="5AEC3D25"/>
    <w:rsid w:val="5AEF2DFF"/>
    <w:rsid w:val="5AF11533"/>
    <w:rsid w:val="5AF32F02"/>
    <w:rsid w:val="5AF45982"/>
    <w:rsid w:val="5AF5497E"/>
    <w:rsid w:val="5AF7109D"/>
    <w:rsid w:val="5AF8090C"/>
    <w:rsid w:val="5B0A4D6B"/>
    <w:rsid w:val="5B1172C6"/>
    <w:rsid w:val="5B127639"/>
    <w:rsid w:val="5B166A16"/>
    <w:rsid w:val="5B186800"/>
    <w:rsid w:val="5B2847D6"/>
    <w:rsid w:val="5B2B06FA"/>
    <w:rsid w:val="5B3A5112"/>
    <w:rsid w:val="5B4B35D6"/>
    <w:rsid w:val="5B5019C1"/>
    <w:rsid w:val="5B503C92"/>
    <w:rsid w:val="5B547308"/>
    <w:rsid w:val="5B632B72"/>
    <w:rsid w:val="5B6339F0"/>
    <w:rsid w:val="5B634980"/>
    <w:rsid w:val="5B693586"/>
    <w:rsid w:val="5B6F05E7"/>
    <w:rsid w:val="5B7200D7"/>
    <w:rsid w:val="5B793214"/>
    <w:rsid w:val="5B7F0130"/>
    <w:rsid w:val="5B886DCE"/>
    <w:rsid w:val="5B8A7735"/>
    <w:rsid w:val="5B9242D5"/>
    <w:rsid w:val="5B994919"/>
    <w:rsid w:val="5BA37815"/>
    <w:rsid w:val="5BAB5397"/>
    <w:rsid w:val="5BC33CA3"/>
    <w:rsid w:val="5BC4623A"/>
    <w:rsid w:val="5BC5230E"/>
    <w:rsid w:val="5BC56459"/>
    <w:rsid w:val="5BD45438"/>
    <w:rsid w:val="5BD635B4"/>
    <w:rsid w:val="5BDA4670"/>
    <w:rsid w:val="5BDF5D95"/>
    <w:rsid w:val="5BDF697F"/>
    <w:rsid w:val="5BE320EB"/>
    <w:rsid w:val="5BE32D83"/>
    <w:rsid w:val="5BF21A53"/>
    <w:rsid w:val="5BF26EDC"/>
    <w:rsid w:val="5BF83865"/>
    <w:rsid w:val="5BFE7528"/>
    <w:rsid w:val="5C005E8D"/>
    <w:rsid w:val="5C02714E"/>
    <w:rsid w:val="5C0703B3"/>
    <w:rsid w:val="5C0827EA"/>
    <w:rsid w:val="5C0A7E72"/>
    <w:rsid w:val="5C2C4C6B"/>
    <w:rsid w:val="5C383DA3"/>
    <w:rsid w:val="5C3A6600"/>
    <w:rsid w:val="5C3B666F"/>
    <w:rsid w:val="5C470ACE"/>
    <w:rsid w:val="5C48498B"/>
    <w:rsid w:val="5C4E40FD"/>
    <w:rsid w:val="5C557C0D"/>
    <w:rsid w:val="5C5D6C9C"/>
    <w:rsid w:val="5C5E30D8"/>
    <w:rsid w:val="5C654924"/>
    <w:rsid w:val="5C657C3C"/>
    <w:rsid w:val="5C6B59C8"/>
    <w:rsid w:val="5C6D4B06"/>
    <w:rsid w:val="5C775059"/>
    <w:rsid w:val="5C806B65"/>
    <w:rsid w:val="5C8E203C"/>
    <w:rsid w:val="5C906794"/>
    <w:rsid w:val="5C9F327F"/>
    <w:rsid w:val="5CA00E74"/>
    <w:rsid w:val="5CA41329"/>
    <w:rsid w:val="5CA57FF1"/>
    <w:rsid w:val="5CAA7713"/>
    <w:rsid w:val="5CAC022B"/>
    <w:rsid w:val="5CC051CE"/>
    <w:rsid w:val="5CC15922"/>
    <w:rsid w:val="5CC3183C"/>
    <w:rsid w:val="5CC76201"/>
    <w:rsid w:val="5CC901CB"/>
    <w:rsid w:val="5CCB18FE"/>
    <w:rsid w:val="5CD31049"/>
    <w:rsid w:val="5CD639E3"/>
    <w:rsid w:val="5CD918DD"/>
    <w:rsid w:val="5CDC12BC"/>
    <w:rsid w:val="5CEF46CF"/>
    <w:rsid w:val="5CF3349A"/>
    <w:rsid w:val="5CFA0FA9"/>
    <w:rsid w:val="5CFE770A"/>
    <w:rsid w:val="5D0822A8"/>
    <w:rsid w:val="5D0B433F"/>
    <w:rsid w:val="5D0F6B14"/>
    <w:rsid w:val="5D131446"/>
    <w:rsid w:val="5D145980"/>
    <w:rsid w:val="5D2B0BA2"/>
    <w:rsid w:val="5D40333D"/>
    <w:rsid w:val="5D4367C0"/>
    <w:rsid w:val="5D4B35B7"/>
    <w:rsid w:val="5D4F02C2"/>
    <w:rsid w:val="5D50508A"/>
    <w:rsid w:val="5D5346BB"/>
    <w:rsid w:val="5D5E0913"/>
    <w:rsid w:val="5D604EDA"/>
    <w:rsid w:val="5D754EB8"/>
    <w:rsid w:val="5D762C66"/>
    <w:rsid w:val="5D7D01F9"/>
    <w:rsid w:val="5D81605E"/>
    <w:rsid w:val="5D836C1B"/>
    <w:rsid w:val="5D8663E4"/>
    <w:rsid w:val="5D8A6ECC"/>
    <w:rsid w:val="5D973E25"/>
    <w:rsid w:val="5D9E058D"/>
    <w:rsid w:val="5DA42896"/>
    <w:rsid w:val="5DA57F32"/>
    <w:rsid w:val="5DA672C1"/>
    <w:rsid w:val="5DA86A39"/>
    <w:rsid w:val="5DA97A45"/>
    <w:rsid w:val="5DAB1E3B"/>
    <w:rsid w:val="5DAE1930"/>
    <w:rsid w:val="5DAE78AC"/>
    <w:rsid w:val="5DB572EF"/>
    <w:rsid w:val="5DB67E9C"/>
    <w:rsid w:val="5DC12509"/>
    <w:rsid w:val="5DD0709C"/>
    <w:rsid w:val="5DDB002E"/>
    <w:rsid w:val="5DF245F1"/>
    <w:rsid w:val="5DF63241"/>
    <w:rsid w:val="5DFD0936"/>
    <w:rsid w:val="5E007C1C"/>
    <w:rsid w:val="5E036BB0"/>
    <w:rsid w:val="5E0968EF"/>
    <w:rsid w:val="5E0C3CAE"/>
    <w:rsid w:val="5E1452DD"/>
    <w:rsid w:val="5E1513A5"/>
    <w:rsid w:val="5E153F01"/>
    <w:rsid w:val="5E2467F1"/>
    <w:rsid w:val="5E3641C2"/>
    <w:rsid w:val="5E391380"/>
    <w:rsid w:val="5E3B2F89"/>
    <w:rsid w:val="5E457D25"/>
    <w:rsid w:val="5E48511F"/>
    <w:rsid w:val="5E51556C"/>
    <w:rsid w:val="5E53174C"/>
    <w:rsid w:val="5E574118"/>
    <w:rsid w:val="5E5B0410"/>
    <w:rsid w:val="5E62666A"/>
    <w:rsid w:val="5E6A778C"/>
    <w:rsid w:val="5E762B30"/>
    <w:rsid w:val="5E7F7B66"/>
    <w:rsid w:val="5E895FEC"/>
    <w:rsid w:val="5EA15D4B"/>
    <w:rsid w:val="5EA62054"/>
    <w:rsid w:val="5EA92062"/>
    <w:rsid w:val="5EBB2505"/>
    <w:rsid w:val="5EC10DCB"/>
    <w:rsid w:val="5EC549C2"/>
    <w:rsid w:val="5EDD61AF"/>
    <w:rsid w:val="5EE211F5"/>
    <w:rsid w:val="5EEF341C"/>
    <w:rsid w:val="5EF027A2"/>
    <w:rsid w:val="5EF06C4F"/>
    <w:rsid w:val="5EF64B7B"/>
    <w:rsid w:val="5EFA2462"/>
    <w:rsid w:val="5EFC2720"/>
    <w:rsid w:val="5F0932AE"/>
    <w:rsid w:val="5F096FA4"/>
    <w:rsid w:val="5F0E502B"/>
    <w:rsid w:val="5F116711"/>
    <w:rsid w:val="5F1A2B43"/>
    <w:rsid w:val="5F1F422E"/>
    <w:rsid w:val="5F2976B3"/>
    <w:rsid w:val="5F2C29DB"/>
    <w:rsid w:val="5F306D8B"/>
    <w:rsid w:val="5F3E5E3E"/>
    <w:rsid w:val="5F4F2140"/>
    <w:rsid w:val="5F571ABE"/>
    <w:rsid w:val="5F593525"/>
    <w:rsid w:val="5F5F4E16"/>
    <w:rsid w:val="5F692A55"/>
    <w:rsid w:val="5F6A7425"/>
    <w:rsid w:val="5F6F0822"/>
    <w:rsid w:val="5F6F4C44"/>
    <w:rsid w:val="5F702936"/>
    <w:rsid w:val="5F70500B"/>
    <w:rsid w:val="5F716230"/>
    <w:rsid w:val="5F816A4C"/>
    <w:rsid w:val="5F8C1FFD"/>
    <w:rsid w:val="5F926365"/>
    <w:rsid w:val="5F9873C4"/>
    <w:rsid w:val="5F9D139A"/>
    <w:rsid w:val="5FA32F55"/>
    <w:rsid w:val="5FA840C8"/>
    <w:rsid w:val="5FAD5B82"/>
    <w:rsid w:val="5FB837BB"/>
    <w:rsid w:val="5FC32030"/>
    <w:rsid w:val="5FC7404B"/>
    <w:rsid w:val="5FC827E0"/>
    <w:rsid w:val="5FD56E87"/>
    <w:rsid w:val="5FDD7591"/>
    <w:rsid w:val="5FDE58EB"/>
    <w:rsid w:val="5FE07D05"/>
    <w:rsid w:val="5FE35555"/>
    <w:rsid w:val="5FE77A3C"/>
    <w:rsid w:val="5FEC7DEC"/>
    <w:rsid w:val="5FEE2EC4"/>
    <w:rsid w:val="5FEF53F7"/>
    <w:rsid w:val="5FFE5B9B"/>
    <w:rsid w:val="600137F9"/>
    <w:rsid w:val="60025ECE"/>
    <w:rsid w:val="6005151A"/>
    <w:rsid w:val="60056E82"/>
    <w:rsid w:val="60124491"/>
    <w:rsid w:val="601D48A9"/>
    <w:rsid w:val="60234096"/>
    <w:rsid w:val="602D3A1C"/>
    <w:rsid w:val="603262EF"/>
    <w:rsid w:val="603E67DA"/>
    <w:rsid w:val="604757E5"/>
    <w:rsid w:val="604829DB"/>
    <w:rsid w:val="60506A49"/>
    <w:rsid w:val="60510748"/>
    <w:rsid w:val="605325BC"/>
    <w:rsid w:val="605373E7"/>
    <w:rsid w:val="60625708"/>
    <w:rsid w:val="60632846"/>
    <w:rsid w:val="606515C6"/>
    <w:rsid w:val="60677D0C"/>
    <w:rsid w:val="606930DB"/>
    <w:rsid w:val="60747DE8"/>
    <w:rsid w:val="60805044"/>
    <w:rsid w:val="60866601"/>
    <w:rsid w:val="60906C21"/>
    <w:rsid w:val="60A551E3"/>
    <w:rsid w:val="60B41741"/>
    <w:rsid w:val="60B81FC6"/>
    <w:rsid w:val="60C47ACF"/>
    <w:rsid w:val="60CB6517"/>
    <w:rsid w:val="60CC405A"/>
    <w:rsid w:val="60CE5DB0"/>
    <w:rsid w:val="60DD5FF3"/>
    <w:rsid w:val="60E07841"/>
    <w:rsid w:val="60EA22BD"/>
    <w:rsid w:val="60F0178A"/>
    <w:rsid w:val="60F670B5"/>
    <w:rsid w:val="60F73F8D"/>
    <w:rsid w:val="610139B4"/>
    <w:rsid w:val="6101652E"/>
    <w:rsid w:val="610379FC"/>
    <w:rsid w:val="61046F44"/>
    <w:rsid w:val="610B7004"/>
    <w:rsid w:val="610D0C72"/>
    <w:rsid w:val="61130ED3"/>
    <w:rsid w:val="6115769F"/>
    <w:rsid w:val="611759A9"/>
    <w:rsid w:val="611B344F"/>
    <w:rsid w:val="611F0EB5"/>
    <w:rsid w:val="611F514C"/>
    <w:rsid w:val="612560C5"/>
    <w:rsid w:val="61291671"/>
    <w:rsid w:val="61324CCE"/>
    <w:rsid w:val="614845B4"/>
    <w:rsid w:val="61500EBB"/>
    <w:rsid w:val="61572491"/>
    <w:rsid w:val="6159768F"/>
    <w:rsid w:val="615D559B"/>
    <w:rsid w:val="61600AAB"/>
    <w:rsid w:val="616E1356"/>
    <w:rsid w:val="61803767"/>
    <w:rsid w:val="618A6A46"/>
    <w:rsid w:val="618B6149"/>
    <w:rsid w:val="61923215"/>
    <w:rsid w:val="619335A0"/>
    <w:rsid w:val="61972646"/>
    <w:rsid w:val="619850C5"/>
    <w:rsid w:val="6199791F"/>
    <w:rsid w:val="619D2C5A"/>
    <w:rsid w:val="61A308B4"/>
    <w:rsid w:val="61AB2D15"/>
    <w:rsid w:val="61AB60F1"/>
    <w:rsid w:val="61AD4FE4"/>
    <w:rsid w:val="61BD035E"/>
    <w:rsid w:val="61BD7BD2"/>
    <w:rsid w:val="61BF5E45"/>
    <w:rsid w:val="61C91E35"/>
    <w:rsid w:val="61D16C2E"/>
    <w:rsid w:val="61D62F3C"/>
    <w:rsid w:val="61E215D8"/>
    <w:rsid w:val="61E55405"/>
    <w:rsid w:val="61EB0BE3"/>
    <w:rsid w:val="61F1298B"/>
    <w:rsid w:val="61F37E6F"/>
    <w:rsid w:val="61FC40F2"/>
    <w:rsid w:val="61FF01EB"/>
    <w:rsid w:val="620530C5"/>
    <w:rsid w:val="621A0C60"/>
    <w:rsid w:val="621B3775"/>
    <w:rsid w:val="621C3CEA"/>
    <w:rsid w:val="621D6AA4"/>
    <w:rsid w:val="62233ED9"/>
    <w:rsid w:val="62273244"/>
    <w:rsid w:val="622A0D38"/>
    <w:rsid w:val="62364782"/>
    <w:rsid w:val="62382A94"/>
    <w:rsid w:val="623B10F8"/>
    <w:rsid w:val="624F73B2"/>
    <w:rsid w:val="62582E76"/>
    <w:rsid w:val="625C0C89"/>
    <w:rsid w:val="625E2A66"/>
    <w:rsid w:val="626101CD"/>
    <w:rsid w:val="62636F31"/>
    <w:rsid w:val="626C3986"/>
    <w:rsid w:val="62775FD3"/>
    <w:rsid w:val="627E1822"/>
    <w:rsid w:val="627F52AC"/>
    <w:rsid w:val="628864B6"/>
    <w:rsid w:val="62894684"/>
    <w:rsid w:val="629167CA"/>
    <w:rsid w:val="62921F5D"/>
    <w:rsid w:val="62967742"/>
    <w:rsid w:val="62980A4D"/>
    <w:rsid w:val="629B61F5"/>
    <w:rsid w:val="62A51328"/>
    <w:rsid w:val="62A54D47"/>
    <w:rsid w:val="62A80F69"/>
    <w:rsid w:val="62B1780C"/>
    <w:rsid w:val="62B32B5C"/>
    <w:rsid w:val="62BA1744"/>
    <w:rsid w:val="62C31218"/>
    <w:rsid w:val="62C63EB7"/>
    <w:rsid w:val="62C765F0"/>
    <w:rsid w:val="62D8390F"/>
    <w:rsid w:val="62D92E88"/>
    <w:rsid w:val="62D97BC9"/>
    <w:rsid w:val="62DB6432"/>
    <w:rsid w:val="62E179C1"/>
    <w:rsid w:val="62F6339C"/>
    <w:rsid w:val="62F772F7"/>
    <w:rsid w:val="62FC5438"/>
    <w:rsid w:val="6300246C"/>
    <w:rsid w:val="6304211F"/>
    <w:rsid w:val="6306019D"/>
    <w:rsid w:val="630A1768"/>
    <w:rsid w:val="630B4679"/>
    <w:rsid w:val="631515F2"/>
    <w:rsid w:val="631A3228"/>
    <w:rsid w:val="631D5758"/>
    <w:rsid w:val="631F6AF4"/>
    <w:rsid w:val="63351CAA"/>
    <w:rsid w:val="63370F5F"/>
    <w:rsid w:val="63377300"/>
    <w:rsid w:val="63393B10"/>
    <w:rsid w:val="634429BD"/>
    <w:rsid w:val="6352192B"/>
    <w:rsid w:val="635A6EFB"/>
    <w:rsid w:val="635F6700"/>
    <w:rsid w:val="63694D48"/>
    <w:rsid w:val="636F1A45"/>
    <w:rsid w:val="63770F3A"/>
    <w:rsid w:val="63795746"/>
    <w:rsid w:val="637E2C22"/>
    <w:rsid w:val="637E4E58"/>
    <w:rsid w:val="637F7835"/>
    <w:rsid w:val="638221FF"/>
    <w:rsid w:val="638601B6"/>
    <w:rsid w:val="6386606E"/>
    <w:rsid w:val="638B37B2"/>
    <w:rsid w:val="638D0C6D"/>
    <w:rsid w:val="6394356A"/>
    <w:rsid w:val="6396402E"/>
    <w:rsid w:val="639855BF"/>
    <w:rsid w:val="639D5F0D"/>
    <w:rsid w:val="63A159FD"/>
    <w:rsid w:val="63B079EF"/>
    <w:rsid w:val="63B50BF2"/>
    <w:rsid w:val="63B5399A"/>
    <w:rsid w:val="63C61B2C"/>
    <w:rsid w:val="63CC234F"/>
    <w:rsid w:val="63CE7FF6"/>
    <w:rsid w:val="63D35B23"/>
    <w:rsid w:val="63D40BE9"/>
    <w:rsid w:val="63E853DA"/>
    <w:rsid w:val="63E878EA"/>
    <w:rsid w:val="63EB4ECB"/>
    <w:rsid w:val="63F72784"/>
    <w:rsid w:val="63F7386F"/>
    <w:rsid w:val="63FB41F7"/>
    <w:rsid w:val="640116B3"/>
    <w:rsid w:val="640F6E0B"/>
    <w:rsid w:val="64102431"/>
    <w:rsid w:val="64142C2F"/>
    <w:rsid w:val="64183E80"/>
    <w:rsid w:val="642E6B65"/>
    <w:rsid w:val="643028DD"/>
    <w:rsid w:val="64352553"/>
    <w:rsid w:val="644A5CC1"/>
    <w:rsid w:val="644C3595"/>
    <w:rsid w:val="646A2293"/>
    <w:rsid w:val="6472739A"/>
    <w:rsid w:val="6476781C"/>
    <w:rsid w:val="647C54E3"/>
    <w:rsid w:val="649C7F73"/>
    <w:rsid w:val="64A31301"/>
    <w:rsid w:val="64A5243A"/>
    <w:rsid w:val="64A62BA0"/>
    <w:rsid w:val="64A66831"/>
    <w:rsid w:val="64A66A16"/>
    <w:rsid w:val="64A70DF2"/>
    <w:rsid w:val="64A82A93"/>
    <w:rsid w:val="64AC0EEF"/>
    <w:rsid w:val="64B07ABF"/>
    <w:rsid w:val="64DB0A9B"/>
    <w:rsid w:val="64DD208C"/>
    <w:rsid w:val="64DE058B"/>
    <w:rsid w:val="64E35BA2"/>
    <w:rsid w:val="64E61363"/>
    <w:rsid w:val="64ED6433"/>
    <w:rsid w:val="64F22C4F"/>
    <w:rsid w:val="64F531DE"/>
    <w:rsid w:val="64FD2397"/>
    <w:rsid w:val="65013772"/>
    <w:rsid w:val="650B36A5"/>
    <w:rsid w:val="65140808"/>
    <w:rsid w:val="651D2358"/>
    <w:rsid w:val="65206C7A"/>
    <w:rsid w:val="65250642"/>
    <w:rsid w:val="65256CF4"/>
    <w:rsid w:val="652A4D5F"/>
    <w:rsid w:val="65322C66"/>
    <w:rsid w:val="65373578"/>
    <w:rsid w:val="653831CC"/>
    <w:rsid w:val="653B3089"/>
    <w:rsid w:val="6544632F"/>
    <w:rsid w:val="654614FB"/>
    <w:rsid w:val="65476131"/>
    <w:rsid w:val="654E28BE"/>
    <w:rsid w:val="655A374A"/>
    <w:rsid w:val="655E28EA"/>
    <w:rsid w:val="656D038A"/>
    <w:rsid w:val="65713906"/>
    <w:rsid w:val="657C1F62"/>
    <w:rsid w:val="65827169"/>
    <w:rsid w:val="65841133"/>
    <w:rsid w:val="65870C23"/>
    <w:rsid w:val="658A1928"/>
    <w:rsid w:val="658A7C58"/>
    <w:rsid w:val="659A2704"/>
    <w:rsid w:val="659B6099"/>
    <w:rsid w:val="65B17A4E"/>
    <w:rsid w:val="65B366EA"/>
    <w:rsid w:val="65C85F90"/>
    <w:rsid w:val="65CB43FB"/>
    <w:rsid w:val="65CC4888"/>
    <w:rsid w:val="65CF7132"/>
    <w:rsid w:val="65D5198E"/>
    <w:rsid w:val="65E47E23"/>
    <w:rsid w:val="65E55C69"/>
    <w:rsid w:val="65EA561C"/>
    <w:rsid w:val="65F20086"/>
    <w:rsid w:val="65FF6A0B"/>
    <w:rsid w:val="66005868"/>
    <w:rsid w:val="660D4A4B"/>
    <w:rsid w:val="660E4EA0"/>
    <w:rsid w:val="6617413C"/>
    <w:rsid w:val="66225632"/>
    <w:rsid w:val="66276EC1"/>
    <w:rsid w:val="66291CDA"/>
    <w:rsid w:val="66294109"/>
    <w:rsid w:val="66303DC2"/>
    <w:rsid w:val="663536A5"/>
    <w:rsid w:val="663568D1"/>
    <w:rsid w:val="663743F7"/>
    <w:rsid w:val="663F4EBC"/>
    <w:rsid w:val="66427552"/>
    <w:rsid w:val="6649257D"/>
    <w:rsid w:val="66650F64"/>
    <w:rsid w:val="66677E85"/>
    <w:rsid w:val="666B2582"/>
    <w:rsid w:val="666F5E1C"/>
    <w:rsid w:val="66780FBD"/>
    <w:rsid w:val="66807B4C"/>
    <w:rsid w:val="66870BE5"/>
    <w:rsid w:val="66A23F66"/>
    <w:rsid w:val="66B15D46"/>
    <w:rsid w:val="66B3358D"/>
    <w:rsid w:val="66B82C33"/>
    <w:rsid w:val="66C8643E"/>
    <w:rsid w:val="66D4381F"/>
    <w:rsid w:val="66DE298A"/>
    <w:rsid w:val="66E3770B"/>
    <w:rsid w:val="66E63727"/>
    <w:rsid w:val="66E72EEC"/>
    <w:rsid w:val="66E856F1"/>
    <w:rsid w:val="66EF20EF"/>
    <w:rsid w:val="66F3668F"/>
    <w:rsid w:val="66F81DD8"/>
    <w:rsid w:val="66FB2F38"/>
    <w:rsid w:val="66FB71D3"/>
    <w:rsid w:val="66FD38E6"/>
    <w:rsid w:val="66FE5F57"/>
    <w:rsid w:val="67047645"/>
    <w:rsid w:val="670D6F06"/>
    <w:rsid w:val="670E2295"/>
    <w:rsid w:val="670E22CE"/>
    <w:rsid w:val="671C4941"/>
    <w:rsid w:val="671E7365"/>
    <w:rsid w:val="671F124A"/>
    <w:rsid w:val="673E2C7A"/>
    <w:rsid w:val="674E19F8"/>
    <w:rsid w:val="67544B35"/>
    <w:rsid w:val="675618F8"/>
    <w:rsid w:val="67566CD3"/>
    <w:rsid w:val="675D27C2"/>
    <w:rsid w:val="676669E2"/>
    <w:rsid w:val="676677FE"/>
    <w:rsid w:val="67670EBA"/>
    <w:rsid w:val="676A3BC6"/>
    <w:rsid w:val="676E209B"/>
    <w:rsid w:val="676F218E"/>
    <w:rsid w:val="677A33C6"/>
    <w:rsid w:val="678D631F"/>
    <w:rsid w:val="679D12D4"/>
    <w:rsid w:val="679D4072"/>
    <w:rsid w:val="67AB0BF9"/>
    <w:rsid w:val="67AF38F8"/>
    <w:rsid w:val="67B6134C"/>
    <w:rsid w:val="67C26AFE"/>
    <w:rsid w:val="67C63C85"/>
    <w:rsid w:val="67D76A10"/>
    <w:rsid w:val="67E763A5"/>
    <w:rsid w:val="67EC69EE"/>
    <w:rsid w:val="67F24FAC"/>
    <w:rsid w:val="67FA1B80"/>
    <w:rsid w:val="681A6E8B"/>
    <w:rsid w:val="681C5653"/>
    <w:rsid w:val="681F6961"/>
    <w:rsid w:val="682409AB"/>
    <w:rsid w:val="68243BF9"/>
    <w:rsid w:val="683459B3"/>
    <w:rsid w:val="683631DC"/>
    <w:rsid w:val="684131D7"/>
    <w:rsid w:val="68424519"/>
    <w:rsid w:val="68430416"/>
    <w:rsid w:val="684C1346"/>
    <w:rsid w:val="684E3059"/>
    <w:rsid w:val="685B26EF"/>
    <w:rsid w:val="685B6C2B"/>
    <w:rsid w:val="685E3EBD"/>
    <w:rsid w:val="685F3791"/>
    <w:rsid w:val="68610A2F"/>
    <w:rsid w:val="686739D9"/>
    <w:rsid w:val="686F6E01"/>
    <w:rsid w:val="687063BF"/>
    <w:rsid w:val="68742AA3"/>
    <w:rsid w:val="68774438"/>
    <w:rsid w:val="68805514"/>
    <w:rsid w:val="68A224C1"/>
    <w:rsid w:val="68A85138"/>
    <w:rsid w:val="68A85467"/>
    <w:rsid w:val="68AA7AA8"/>
    <w:rsid w:val="68AE4F9A"/>
    <w:rsid w:val="68B77FE9"/>
    <w:rsid w:val="68BA4E6C"/>
    <w:rsid w:val="68C16928"/>
    <w:rsid w:val="68C77CB4"/>
    <w:rsid w:val="68C87588"/>
    <w:rsid w:val="68D134EA"/>
    <w:rsid w:val="68D42E3C"/>
    <w:rsid w:val="68D662DC"/>
    <w:rsid w:val="68D93E6E"/>
    <w:rsid w:val="68DF5215"/>
    <w:rsid w:val="68E777AA"/>
    <w:rsid w:val="68E94247"/>
    <w:rsid w:val="68EC69D0"/>
    <w:rsid w:val="68F15ADF"/>
    <w:rsid w:val="68F47416"/>
    <w:rsid w:val="68F5791B"/>
    <w:rsid w:val="68FC3FFB"/>
    <w:rsid w:val="690028D2"/>
    <w:rsid w:val="690031C6"/>
    <w:rsid w:val="69004F74"/>
    <w:rsid w:val="6903292F"/>
    <w:rsid w:val="69061224"/>
    <w:rsid w:val="6909793D"/>
    <w:rsid w:val="690C3919"/>
    <w:rsid w:val="690C55A3"/>
    <w:rsid w:val="69116D5B"/>
    <w:rsid w:val="691F2BE3"/>
    <w:rsid w:val="69207B74"/>
    <w:rsid w:val="69224EEB"/>
    <w:rsid w:val="69236EB5"/>
    <w:rsid w:val="69272501"/>
    <w:rsid w:val="6931512E"/>
    <w:rsid w:val="69316E2F"/>
    <w:rsid w:val="69330DF7"/>
    <w:rsid w:val="693370F8"/>
    <w:rsid w:val="693727D9"/>
    <w:rsid w:val="693E784B"/>
    <w:rsid w:val="6942558D"/>
    <w:rsid w:val="69482477"/>
    <w:rsid w:val="6949691B"/>
    <w:rsid w:val="694C5DA9"/>
    <w:rsid w:val="694E2071"/>
    <w:rsid w:val="695417C2"/>
    <w:rsid w:val="6954706E"/>
    <w:rsid w:val="695B1A33"/>
    <w:rsid w:val="695B21AB"/>
    <w:rsid w:val="69692B1A"/>
    <w:rsid w:val="69735746"/>
    <w:rsid w:val="69766163"/>
    <w:rsid w:val="697A3B33"/>
    <w:rsid w:val="697A71F6"/>
    <w:rsid w:val="69846021"/>
    <w:rsid w:val="698C4871"/>
    <w:rsid w:val="699E2F58"/>
    <w:rsid w:val="699F653B"/>
    <w:rsid w:val="69A05F97"/>
    <w:rsid w:val="69A973BA"/>
    <w:rsid w:val="69AD6D13"/>
    <w:rsid w:val="69B23B9D"/>
    <w:rsid w:val="69BA679F"/>
    <w:rsid w:val="69BE0825"/>
    <w:rsid w:val="69BF3B13"/>
    <w:rsid w:val="69C24530"/>
    <w:rsid w:val="69C3307B"/>
    <w:rsid w:val="69C84780"/>
    <w:rsid w:val="69D12417"/>
    <w:rsid w:val="69D372E8"/>
    <w:rsid w:val="69D44760"/>
    <w:rsid w:val="69DC05AC"/>
    <w:rsid w:val="69F05057"/>
    <w:rsid w:val="69F410A8"/>
    <w:rsid w:val="69F80D0F"/>
    <w:rsid w:val="6A086D94"/>
    <w:rsid w:val="6A232950"/>
    <w:rsid w:val="6A284C5E"/>
    <w:rsid w:val="6A34231F"/>
    <w:rsid w:val="6A376E77"/>
    <w:rsid w:val="6A43771D"/>
    <w:rsid w:val="6A4569B1"/>
    <w:rsid w:val="6A4E0D05"/>
    <w:rsid w:val="6A5116A1"/>
    <w:rsid w:val="6A520EC7"/>
    <w:rsid w:val="6A573EC4"/>
    <w:rsid w:val="6A687275"/>
    <w:rsid w:val="6A6D0853"/>
    <w:rsid w:val="6A7C018E"/>
    <w:rsid w:val="6A842025"/>
    <w:rsid w:val="6A8568FA"/>
    <w:rsid w:val="6A876B90"/>
    <w:rsid w:val="6A8A5DA2"/>
    <w:rsid w:val="6AA4489F"/>
    <w:rsid w:val="6AA61B4B"/>
    <w:rsid w:val="6AC1415C"/>
    <w:rsid w:val="6AC525E6"/>
    <w:rsid w:val="6AC83870"/>
    <w:rsid w:val="6ACA548D"/>
    <w:rsid w:val="6ACD70D8"/>
    <w:rsid w:val="6AD67827"/>
    <w:rsid w:val="6AE71E94"/>
    <w:rsid w:val="6AE83F12"/>
    <w:rsid w:val="6AEA177F"/>
    <w:rsid w:val="6AEE41CC"/>
    <w:rsid w:val="6AF87E20"/>
    <w:rsid w:val="6AFC2F65"/>
    <w:rsid w:val="6AFE7291"/>
    <w:rsid w:val="6AFF6BBA"/>
    <w:rsid w:val="6B0B19AE"/>
    <w:rsid w:val="6B0B2767"/>
    <w:rsid w:val="6B0F5943"/>
    <w:rsid w:val="6B180D44"/>
    <w:rsid w:val="6B230226"/>
    <w:rsid w:val="6B252979"/>
    <w:rsid w:val="6B2931F3"/>
    <w:rsid w:val="6B2D7B77"/>
    <w:rsid w:val="6B322639"/>
    <w:rsid w:val="6B36000C"/>
    <w:rsid w:val="6B3D5CD6"/>
    <w:rsid w:val="6B3F07C8"/>
    <w:rsid w:val="6B49728D"/>
    <w:rsid w:val="6B4F0D37"/>
    <w:rsid w:val="6B553F4E"/>
    <w:rsid w:val="6B6C68AA"/>
    <w:rsid w:val="6B712159"/>
    <w:rsid w:val="6B74731A"/>
    <w:rsid w:val="6B770B57"/>
    <w:rsid w:val="6B853FEC"/>
    <w:rsid w:val="6B883445"/>
    <w:rsid w:val="6B8E07FD"/>
    <w:rsid w:val="6B96571C"/>
    <w:rsid w:val="6B9B737D"/>
    <w:rsid w:val="6B9F6CC6"/>
    <w:rsid w:val="6BA02A3F"/>
    <w:rsid w:val="6BA11BBA"/>
    <w:rsid w:val="6BA46F9F"/>
    <w:rsid w:val="6BAD3E9C"/>
    <w:rsid w:val="6BB14984"/>
    <w:rsid w:val="6BB22A33"/>
    <w:rsid w:val="6BB67B6C"/>
    <w:rsid w:val="6BC373D1"/>
    <w:rsid w:val="6BC52268"/>
    <w:rsid w:val="6BC524A5"/>
    <w:rsid w:val="6BC97BF5"/>
    <w:rsid w:val="6BCE4D71"/>
    <w:rsid w:val="6BD372D9"/>
    <w:rsid w:val="6BE26BB3"/>
    <w:rsid w:val="6BEA5A68"/>
    <w:rsid w:val="6BEB4639"/>
    <w:rsid w:val="6BF5021A"/>
    <w:rsid w:val="6BF95CAB"/>
    <w:rsid w:val="6BF973A6"/>
    <w:rsid w:val="6BFD1C3F"/>
    <w:rsid w:val="6C0208BD"/>
    <w:rsid w:val="6C112E52"/>
    <w:rsid w:val="6C180A51"/>
    <w:rsid w:val="6C2052A3"/>
    <w:rsid w:val="6C27495B"/>
    <w:rsid w:val="6C292A34"/>
    <w:rsid w:val="6C3F6237"/>
    <w:rsid w:val="6C4935C3"/>
    <w:rsid w:val="6C512363"/>
    <w:rsid w:val="6C524B28"/>
    <w:rsid w:val="6C557385"/>
    <w:rsid w:val="6C5A65E2"/>
    <w:rsid w:val="6C5B7F1B"/>
    <w:rsid w:val="6C5F2275"/>
    <w:rsid w:val="6C636C38"/>
    <w:rsid w:val="6C69186D"/>
    <w:rsid w:val="6C6B54E9"/>
    <w:rsid w:val="6C6F2161"/>
    <w:rsid w:val="6C7C0F9C"/>
    <w:rsid w:val="6C8163CC"/>
    <w:rsid w:val="6C827810"/>
    <w:rsid w:val="6C8655BE"/>
    <w:rsid w:val="6C892993"/>
    <w:rsid w:val="6C9426DB"/>
    <w:rsid w:val="6CA0324F"/>
    <w:rsid w:val="6CA45CA7"/>
    <w:rsid w:val="6CA85181"/>
    <w:rsid w:val="6CAB0C56"/>
    <w:rsid w:val="6CB347D0"/>
    <w:rsid w:val="6CC56897"/>
    <w:rsid w:val="6CCA46B3"/>
    <w:rsid w:val="6CCC48CD"/>
    <w:rsid w:val="6CD63284"/>
    <w:rsid w:val="6CD7567B"/>
    <w:rsid w:val="6CE632CD"/>
    <w:rsid w:val="6CE87EDF"/>
    <w:rsid w:val="6CEB0EC0"/>
    <w:rsid w:val="6CF86297"/>
    <w:rsid w:val="6CF92406"/>
    <w:rsid w:val="6D035AE3"/>
    <w:rsid w:val="6D0668D1"/>
    <w:rsid w:val="6D0943F7"/>
    <w:rsid w:val="6D0A4613"/>
    <w:rsid w:val="6D1147C7"/>
    <w:rsid w:val="6D15307C"/>
    <w:rsid w:val="6D1920DA"/>
    <w:rsid w:val="6D1C037E"/>
    <w:rsid w:val="6D1C4347"/>
    <w:rsid w:val="6D1F321F"/>
    <w:rsid w:val="6D2356D5"/>
    <w:rsid w:val="6D29585F"/>
    <w:rsid w:val="6D2C4FB6"/>
    <w:rsid w:val="6D3934CC"/>
    <w:rsid w:val="6D413DAD"/>
    <w:rsid w:val="6D4A4BAC"/>
    <w:rsid w:val="6D4E30D4"/>
    <w:rsid w:val="6D570689"/>
    <w:rsid w:val="6D574DE6"/>
    <w:rsid w:val="6D5A2094"/>
    <w:rsid w:val="6D5D78EF"/>
    <w:rsid w:val="6D6205F3"/>
    <w:rsid w:val="6D637C61"/>
    <w:rsid w:val="6D655D6D"/>
    <w:rsid w:val="6D67340C"/>
    <w:rsid w:val="6D6A6E60"/>
    <w:rsid w:val="6D6E47AC"/>
    <w:rsid w:val="6D714162"/>
    <w:rsid w:val="6D755573"/>
    <w:rsid w:val="6D765805"/>
    <w:rsid w:val="6D851995"/>
    <w:rsid w:val="6D8860A5"/>
    <w:rsid w:val="6D8C327A"/>
    <w:rsid w:val="6DA7098A"/>
    <w:rsid w:val="6DB042DB"/>
    <w:rsid w:val="6DB15728"/>
    <w:rsid w:val="6DB34098"/>
    <w:rsid w:val="6DB462E4"/>
    <w:rsid w:val="6DB545B6"/>
    <w:rsid w:val="6DB63056"/>
    <w:rsid w:val="6DBD2988"/>
    <w:rsid w:val="6DCE5641"/>
    <w:rsid w:val="6DD644F6"/>
    <w:rsid w:val="6DDE15FC"/>
    <w:rsid w:val="6DE02FB4"/>
    <w:rsid w:val="6DE25953"/>
    <w:rsid w:val="6DE313AF"/>
    <w:rsid w:val="6DE85812"/>
    <w:rsid w:val="6DF131B8"/>
    <w:rsid w:val="6DF40E20"/>
    <w:rsid w:val="6DF60CDD"/>
    <w:rsid w:val="6DFD0543"/>
    <w:rsid w:val="6DFD137A"/>
    <w:rsid w:val="6DFE57FA"/>
    <w:rsid w:val="6E0950DD"/>
    <w:rsid w:val="6E0B1F3F"/>
    <w:rsid w:val="6E196EE0"/>
    <w:rsid w:val="6E1D63BF"/>
    <w:rsid w:val="6E2E4776"/>
    <w:rsid w:val="6E387103"/>
    <w:rsid w:val="6E4771A1"/>
    <w:rsid w:val="6E514CED"/>
    <w:rsid w:val="6E515A07"/>
    <w:rsid w:val="6E565636"/>
    <w:rsid w:val="6E57044A"/>
    <w:rsid w:val="6E5A48B8"/>
    <w:rsid w:val="6E5B1C8C"/>
    <w:rsid w:val="6E5B575C"/>
    <w:rsid w:val="6E657628"/>
    <w:rsid w:val="6E6623CD"/>
    <w:rsid w:val="6E674F91"/>
    <w:rsid w:val="6E704291"/>
    <w:rsid w:val="6E811281"/>
    <w:rsid w:val="6E943FBB"/>
    <w:rsid w:val="6EAA005F"/>
    <w:rsid w:val="6EAF7A82"/>
    <w:rsid w:val="6EB563D5"/>
    <w:rsid w:val="6EBE093D"/>
    <w:rsid w:val="6EC15AA3"/>
    <w:rsid w:val="6ED053E9"/>
    <w:rsid w:val="6ED92677"/>
    <w:rsid w:val="6EDA3E50"/>
    <w:rsid w:val="6EE17B7F"/>
    <w:rsid w:val="6EE34660"/>
    <w:rsid w:val="6EEB6413"/>
    <w:rsid w:val="6EED4DD5"/>
    <w:rsid w:val="6F002C0D"/>
    <w:rsid w:val="6F0C76CD"/>
    <w:rsid w:val="6F0F3530"/>
    <w:rsid w:val="6F1A48B6"/>
    <w:rsid w:val="6F225983"/>
    <w:rsid w:val="6F245233"/>
    <w:rsid w:val="6F285CF7"/>
    <w:rsid w:val="6F2860B3"/>
    <w:rsid w:val="6F2A34B2"/>
    <w:rsid w:val="6F2C5FF8"/>
    <w:rsid w:val="6F325E67"/>
    <w:rsid w:val="6F3938DE"/>
    <w:rsid w:val="6F42334D"/>
    <w:rsid w:val="6F451933"/>
    <w:rsid w:val="6F481423"/>
    <w:rsid w:val="6F4B7DD1"/>
    <w:rsid w:val="6F4E1E36"/>
    <w:rsid w:val="6F515D60"/>
    <w:rsid w:val="6F5722E8"/>
    <w:rsid w:val="6F5E577F"/>
    <w:rsid w:val="6F636E31"/>
    <w:rsid w:val="6F6B1524"/>
    <w:rsid w:val="6F6C3363"/>
    <w:rsid w:val="6F751AEC"/>
    <w:rsid w:val="6F836B0B"/>
    <w:rsid w:val="6F850120"/>
    <w:rsid w:val="6F8E216A"/>
    <w:rsid w:val="6F916D91"/>
    <w:rsid w:val="6F926156"/>
    <w:rsid w:val="6F9854BB"/>
    <w:rsid w:val="6FA028AE"/>
    <w:rsid w:val="6FA128E1"/>
    <w:rsid w:val="6FA26B38"/>
    <w:rsid w:val="6FAF1B80"/>
    <w:rsid w:val="6FC0720B"/>
    <w:rsid w:val="6FC35714"/>
    <w:rsid w:val="6FCE7B7A"/>
    <w:rsid w:val="6FD131C7"/>
    <w:rsid w:val="6FD14B4C"/>
    <w:rsid w:val="6FD20959"/>
    <w:rsid w:val="6FD77184"/>
    <w:rsid w:val="6FDC550E"/>
    <w:rsid w:val="6FDE08CA"/>
    <w:rsid w:val="6FE5312D"/>
    <w:rsid w:val="6FEF2BB1"/>
    <w:rsid w:val="6FEF7BA6"/>
    <w:rsid w:val="6FF5479D"/>
    <w:rsid w:val="6FFC5590"/>
    <w:rsid w:val="70070860"/>
    <w:rsid w:val="700A2EBA"/>
    <w:rsid w:val="70102B68"/>
    <w:rsid w:val="701148BF"/>
    <w:rsid w:val="70131BF2"/>
    <w:rsid w:val="70165DEE"/>
    <w:rsid w:val="7023779A"/>
    <w:rsid w:val="702A28D7"/>
    <w:rsid w:val="702C6A27"/>
    <w:rsid w:val="702E686B"/>
    <w:rsid w:val="702F0163"/>
    <w:rsid w:val="70383246"/>
    <w:rsid w:val="703E35EF"/>
    <w:rsid w:val="70482C3B"/>
    <w:rsid w:val="705160B5"/>
    <w:rsid w:val="705C4D2F"/>
    <w:rsid w:val="70661C56"/>
    <w:rsid w:val="706707E4"/>
    <w:rsid w:val="7068367F"/>
    <w:rsid w:val="706C2EEF"/>
    <w:rsid w:val="706D1DD0"/>
    <w:rsid w:val="70787407"/>
    <w:rsid w:val="707D4F7F"/>
    <w:rsid w:val="70827064"/>
    <w:rsid w:val="70856B87"/>
    <w:rsid w:val="70896CFF"/>
    <w:rsid w:val="708E7A0F"/>
    <w:rsid w:val="70926DFA"/>
    <w:rsid w:val="70991987"/>
    <w:rsid w:val="709D6074"/>
    <w:rsid w:val="709D6A1D"/>
    <w:rsid w:val="70A427B6"/>
    <w:rsid w:val="70A503D6"/>
    <w:rsid w:val="70A75200"/>
    <w:rsid w:val="70B22F52"/>
    <w:rsid w:val="70B96C2C"/>
    <w:rsid w:val="70BC0FD8"/>
    <w:rsid w:val="70BE6479"/>
    <w:rsid w:val="70C504E8"/>
    <w:rsid w:val="70C50E09"/>
    <w:rsid w:val="70C76378"/>
    <w:rsid w:val="70D527EE"/>
    <w:rsid w:val="70D60FB3"/>
    <w:rsid w:val="70E47AC7"/>
    <w:rsid w:val="70E7214C"/>
    <w:rsid w:val="70EB6F9A"/>
    <w:rsid w:val="70ED20E8"/>
    <w:rsid w:val="70F74C48"/>
    <w:rsid w:val="710254C8"/>
    <w:rsid w:val="71061024"/>
    <w:rsid w:val="71075032"/>
    <w:rsid w:val="71151464"/>
    <w:rsid w:val="71175551"/>
    <w:rsid w:val="711E56C5"/>
    <w:rsid w:val="71214BE1"/>
    <w:rsid w:val="7124712B"/>
    <w:rsid w:val="712E741F"/>
    <w:rsid w:val="713A4D9B"/>
    <w:rsid w:val="713D45EF"/>
    <w:rsid w:val="713E68F1"/>
    <w:rsid w:val="713F1985"/>
    <w:rsid w:val="714B0D57"/>
    <w:rsid w:val="71522EF9"/>
    <w:rsid w:val="71557E27"/>
    <w:rsid w:val="715B486D"/>
    <w:rsid w:val="715B5300"/>
    <w:rsid w:val="715C11B6"/>
    <w:rsid w:val="715C2CB4"/>
    <w:rsid w:val="71676D88"/>
    <w:rsid w:val="716A7A68"/>
    <w:rsid w:val="716D35B7"/>
    <w:rsid w:val="71724BF4"/>
    <w:rsid w:val="7172726B"/>
    <w:rsid w:val="71731A4B"/>
    <w:rsid w:val="71755DD4"/>
    <w:rsid w:val="717946E8"/>
    <w:rsid w:val="717D51C0"/>
    <w:rsid w:val="718166DC"/>
    <w:rsid w:val="71A00ED1"/>
    <w:rsid w:val="71A010A2"/>
    <w:rsid w:val="71A17BF5"/>
    <w:rsid w:val="71A60AD7"/>
    <w:rsid w:val="71A62431"/>
    <w:rsid w:val="71AB2D08"/>
    <w:rsid w:val="71AC44D9"/>
    <w:rsid w:val="71AC7D91"/>
    <w:rsid w:val="71B15694"/>
    <w:rsid w:val="71C226B0"/>
    <w:rsid w:val="71C82CA0"/>
    <w:rsid w:val="71D27F8A"/>
    <w:rsid w:val="71D371D0"/>
    <w:rsid w:val="71D451F0"/>
    <w:rsid w:val="71D800C8"/>
    <w:rsid w:val="71E2535D"/>
    <w:rsid w:val="71E573FD"/>
    <w:rsid w:val="71E63F20"/>
    <w:rsid w:val="71ED71C6"/>
    <w:rsid w:val="71F20E07"/>
    <w:rsid w:val="71F83599"/>
    <w:rsid w:val="71F907B3"/>
    <w:rsid w:val="720D5E2F"/>
    <w:rsid w:val="721457F0"/>
    <w:rsid w:val="72165809"/>
    <w:rsid w:val="722E2B52"/>
    <w:rsid w:val="72371DBD"/>
    <w:rsid w:val="723B70AA"/>
    <w:rsid w:val="72402885"/>
    <w:rsid w:val="72440855"/>
    <w:rsid w:val="72553024"/>
    <w:rsid w:val="725C39A2"/>
    <w:rsid w:val="725F32CD"/>
    <w:rsid w:val="72600832"/>
    <w:rsid w:val="726E34C9"/>
    <w:rsid w:val="72781E83"/>
    <w:rsid w:val="727F1DE7"/>
    <w:rsid w:val="729D7BEE"/>
    <w:rsid w:val="729F135A"/>
    <w:rsid w:val="72AB36C3"/>
    <w:rsid w:val="72AD7197"/>
    <w:rsid w:val="72AF2E9B"/>
    <w:rsid w:val="72BD7A32"/>
    <w:rsid w:val="72CF7087"/>
    <w:rsid w:val="72D059B7"/>
    <w:rsid w:val="72D944E7"/>
    <w:rsid w:val="72DA0637"/>
    <w:rsid w:val="72DD1E82"/>
    <w:rsid w:val="72E840ED"/>
    <w:rsid w:val="72F316A6"/>
    <w:rsid w:val="72FC1970"/>
    <w:rsid w:val="72FD36BB"/>
    <w:rsid w:val="72FE60E2"/>
    <w:rsid w:val="72FF6553"/>
    <w:rsid w:val="7306141C"/>
    <w:rsid w:val="73092D65"/>
    <w:rsid w:val="73122968"/>
    <w:rsid w:val="73131037"/>
    <w:rsid w:val="73134035"/>
    <w:rsid w:val="731765E6"/>
    <w:rsid w:val="731D6B1E"/>
    <w:rsid w:val="731F5D5E"/>
    <w:rsid w:val="73203F87"/>
    <w:rsid w:val="732147ED"/>
    <w:rsid w:val="73221F8B"/>
    <w:rsid w:val="73267628"/>
    <w:rsid w:val="732F4E6A"/>
    <w:rsid w:val="73342A8E"/>
    <w:rsid w:val="73366493"/>
    <w:rsid w:val="7341582F"/>
    <w:rsid w:val="73441D26"/>
    <w:rsid w:val="734E77D5"/>
    <w:rsid w:val="73530396"/>
    <w:rsid w:val="735B696D"/>
    <w:rsid w:val="735C5933"/>
    <w:rsid w:val="7362505B"/>
    <w:rsid w:val="73625BB7"/>
    <w:rsid w:val="73661E78"/>
    <w:rsid w:val="736808B4"/>
    <w:rsid w:val="736A40BC"/>
    <w:rsid w:val="736D1458"/>
    <w:rsid w:val="73700F48"/>
    <w:rsid w:val="737316E8"/>
    <w:rsid w:val="73776163"/>
    <w:rsid w:val="73796CBD"/>
    <w:rsid w:val="73797DFD"/>
    <w:rsid w:val="737D5D23"/>
    <w:rsid w:val="737E1A25"/>
    <w:rsid w:val="7386076C"/>
    <w:rsid w:val="738F5872"/>
    <w:rsid w:val="7393030F"/>
    <w:rsid w:val="739F538A"/>
    <w:rsid w:val="73AD766A"/>
    <w:rsid w:val="73AF2610"/>
    <w:rsid w:val="73AF515A"/>
    <w:rsid w:val="73BA5622"/>
    <w:rsid w:val="73BA5F48"/>
    <w:rsid w:val="73C51AD5"/>
    <w:rsid w:val="73C91FB4"/>
    <w:rsid w:val="73CC76C9"/>
    <w:rsid w:val="73D7251E"/>
    <w:rsid w:val="73E96378"/>
    <w:rsid w:val="73F12089"/>
    <w:rsid w:val="73F152F7"/>
    <w:rsid w:val="73F73418"/>
    <w:rsid w:val="74041A81"/>
    <w:rsid w:val="741B5F6F"/>
    <w:rsid w:val="741E793C"/>
    <w:rsid w:val="742C5B79"/>
    <w:rsid w:val="74373814"/>
    <w:rsid w:val="7444128F"/>
    <w:rsid w:val="74463A57"/>
    <w:rsid w:val="745E3944"/>
    <w:rsid w:val="74714F78"/>
    <w:rsid w:val="74732A9E"/>
    <w:rsid w:val="747800B5"/>
    <w:rsid w:val="747F58E7"/>
    <w:rsid w:val="74861462"/>
    <w:rsid w:val="7488601C"/>
    <w:rsid w:val="74910796"/>
    <w:rsid w:val="74A022AC"/>
    <w:rsid w:val="74A4410A"/>
    <w:rsid w:val="74A85EB0"/>
    <w:rsid w:val="74AB5178"/>
    <w:rsid w:val="74AB5C30"/>
    <w:rsid w:val="74AF103D"/>
    <w:rsid w:val="74C36C69"/>
    <w:rsid w:val="74C3761C"/>
    <w:rsid w:val="74CE370B"/>
    <w:rsid w:val="74D55507"/>
    <w:rsid w:val="74DB737D"/>
    <w:rsid w:val="74DF6386"/>
    <w:rsid w:val="74E267D1"/>
    <w:rsid w:val="74E67714"/>
    <w:rsid w:val="74F720BF"/>
    <w:rsid w:val="75047846"/>
    <w:rsid w:val="75066682"/>
    <w:rsid w:val="750B0F29"/>
    <w:rsid w:val="750D2EF3"/>
    <w:rsid w:val="750D4B8A"/>
    <w:rsid w:val="750D5F35"/>
    <w:rsid w:val="75120509"/>
    <w:rsid w:val="75130A3C"/>
    <w:rsid w:val="75134281"/>
    <w:rsid w:val="751F0834"/>
    <w:rsid w:val="75226272"/>
    <w:rsid w:val="752A665F"/>
    <w:rsid w:val="75332942"/>
    <w:rsid w:val="75385A96"/>
    <w:rsid w:val="75442FFC"/>
    <w:rsid w:val="754A46E7"/>
    <w:rsid w:val="754B3061"/>
    <w:rsid w:val="754D3A38"/>
    <w:rsid w:val="754E66B7"/>
    <w:rsid w:val="75577A04"/>
    <w:rsid w:val="75592207"/>
    <w:rsid w:val="755D72AA"/>
    <w:rsid w:val="7561323F"/>
    <w:rsid w:val="75784922"/>
    <w:rsid w:val="757F5473"/>
    <w:rsid w:val="758E6DA3"/>
    <w:rsid w:val="759635CE"/>
    <w:rsid w:val="75994833"/>
    <w:rsid w:val="759B0CC7"/>
    <w:rsid w:val="759D778A"/>
    <w:rsid w:val="759E7FEF"/>
    <w:rsid w:val="75A66BB7"/>
    <w:rsid w:val="75A82C1C"/>
    <w:rsid w:val="75AD3016"/>
    <w:rsid w:val="75B97201"/>
    <w:rsid w:val="75BD6FA0"/>
    <w:rsid w:val="75BE5493"/>
    <w:rsid w:val="75BF2CF2"/>
    <w:rsid w:val="75C64E50"/>
    <w:rsid w:val="75C83DA3"/>
    <w:rsid w:val="75D25E44"/>
    <w:rsid w:val="75D62EAF"/>
    <w:rsid w:val="75E122E8"/>
    <w:rsid w:val="75E314E1"/>
    <w:rsid w:val="75E34C58"/>
    <w:rsid w:val="75EA6D90"/>
    <w:rsid w:val="75EC5087"/>
    <w:rsid w:val="75EF43A6"/>
    <w:rsid w:val="75F44454"/>
    <w:rsid w:val="75F57767"/>
    <w:rsid w:val="75FD6934"/>
    <w:rsid w:val="760616F0"/>
    <w:rsid w:val="760969FB"/>
    <w:rsid w:val="761C777D"/>
    <w:rsid w:val="761E403F"/>
    <w:rsid w:val="76205882"/>
    <w:rsid w:val="7629149D"/>
    <w:rsid w:val="762E7A1A"/>
    <w:rsid w:val="762F0BB1"/>
    <w:rsid w:val="7635099D"/>
    <w:rsid w:val="7646556A"/>
    <w:rsid w:val="76530DD9"/>
    <w:rsid w:val="765863F0"/>
    <w:rsid w:val="76592168"/>
    <w:rsid w:val="765B2104"/>
    <w:rsid w:val="765B5EE0"/>
    <w:rsid w:val="765B7C8E"/>
    <w:rsid w:val="76611C1D"/>
    <w:rsid w:val="76663C03"/>
    <w:rsid w:val="766B58D1"/>
    <w:rsid w:val="766D7DC9"/>
    <w:rsid w:val="767629A6"/>
    <w:rsid w:val="767D7DFF"/>
    <w:rsid w:val="76805946"/>
    <w:rsid w:val="768A40CF"/>
    <w:rsid w:val="768D033D"/>
    <w:rsid w:val="769245DD"/>
    <w:rsid w:val="7693517B"/>
    <w:rsid w:val="7696369C"/>
    <w:rsid w:val="769661E4"/>
    <w:rsid w:val="76A2794A"/>
    <w:rsid w:val="76A628BE"/>
    <w:rsid w:val="76A66CFD"/>
    <w:rsid w:val="76AE72EF"/>
    <w:rsid w:val="76B64EC4"/>
    <w:rsid w:val="76D26107"/>
    <w:rsid w:val="76D62116"/>
    <w:rsid w:val="76D762F1"/>
    <w:rsid w:val="76D91011"/>
    <w:rsid w:val="76D93845"/>
    <w:rsid w:val="76DE441B"/>
    <w:rsid w:val="76DE4B6E"/>
    <w:rsid w:val="76E81EA9"/>
    <w:rsid w:val="76EF6628"/>
    <w:rsid w:val="770342A5"/>
    <w:rsid w:val="770863A3"/>
    <w:rsid w:val="770976EA"/>
    <w:rsid w:val="771377F9"/>
    <w:rsid w:val="7717339E"/>
    <w:rsid w:val="771B06F9"/>
    <w:rsid w:val="772054B7"/>
    <w:rsid w:val="77216056"/>
    <w:rsid w:val="773329B9"/>
    <w:rsid w:val="77354636"/>
    <w:rsid w:val="7739358F"/>
    <w:rsid w:val="77620D2F"/>
    <w:rsid w:val="77676119"/>
    <w:rsid w:val="77762421"/>
    <w:rsid w:val="777C4360"/>
    <w:rsid w:val="77965360"/>
    <w:rsid w:val="779C1A04"/>
    <w:rsid w:val="77B315C6"/>
    <w:rsid w:val="77B31E9C"/>
    <w:rsid w:val="77B56B1F"/>
    <w:rsid w:val="77BD355A"/>
    <w:rsid w:val="77BE04D4"/>
    <w:rsid w:val="77C20D0A"/>
    <w:rsid w:val="77C22409"/>
    <w:rsid w:val="77D44A90"/>
    <w:rsid w:val="77D60D85"/>
    <w:rsid w:val="77DC2E91"/>
    <w:rsid w:val="77E34CB2"/>
    <w:rsid w:val="77E4165D"/>
    <w:rsid w:val="77E624EC"/>
    <w:rsid w:val="77F9775E"/>
    <w:rsid w:val="78012CBC"/>
    <w:rsid w:val="7801310F"/>
    <w:rsid w:val="78034139"/>
    <w:rsid w:val="780A2C37"/>
    <w:rsid w:val="780C2A7F"/>
    <w:rsid w:val="780F09F4"/>
    <w:rsid w:val="780F0D30"/>
    <w:rsid w:val="780F56EE"/>
    <w:rsid w:val="781B5927"/>
    <w:rsid w:val="78222BDF"/>
    <w:rsid w:val="78283ED7"/>
    <w:rsid w:val="782E0265"/>
    <w:rsid w:val="7842045C"/>
    <w:rsid w:val="784E54AF"/>
    <w:rsid w:val="785249A2"/>
    <w:rsid w:val="78543C5E"/>
    <w:rsid w:val="78590D35"/>
    <w:rsid w:val="785A7E30"/>
    <w:rsid w:val="785E6707"/>
    <w:rsid w:val="78656092"/>
    <w:rsid w:val="786D2419"/>
    <w:rsid w:val="78722E90"/>
    <w:rsid w:val="787768D5"/>
    <w:rsid w:val="788306DC"/>
    <w:rsid w:val="78830FA6"/>
    <w:rsid w:val="78992CEF"/>
    <w:rsid w:val="78A90480"/>
    <w:rsid w:val="78AC47D1"/>
    <w:rsid w:val="78B30547"/>
    <w:rsid w:val="78BA18A6"/>
    <w:rsid w:val="78C32321"/>
    <w:rsid w:val="78CC445B"/>
    <w:rsid w:val="78D12489"/>
    <w:rsid w:val="78D37FAF"/>
    <w:rsid w:val="78D976CD"/>
    <w:rsid w:val="78DA7590"/>
    <w:rsid w:val="78E57CE3"/>
    <w:rsid w:val="78E61E81"/>
    <w:rsid w:val="78E7170A"/>
    <w:rsid w:val="78F40C42"/>
    <w:rsid w:val="78FB3062"/>
    <w:rsid w:val="790243F1"/>
    <w:rsid w:val="79147406"/>
    <w:rsid w:val="791800B8"/>
    <w:rsid w:val="79185DAB"/>
    <w:rsid w:val="791A0209"/>
    <w:rsid w:val="792069BF"/>
    <w:rsid w:val="79316479"/>
    <w:rsid w:val="793706B1"/>
    <w:rsid w:val="7941563C"/>
    <w:rsid w:val="7945303A"/>
    <w:rsid w:val="7949313E"/>
    <w:rsid w:val="794959B2"/>
    <w:rsid w:val="794C1B10"/>
    <w:rsid w:val="795400C0"/>
    <w:rsid w:val="79594D3D"/>
    <w:rsid w:val="7965129C"/>
    <w:rsid w:val="796C7F0F"/>
    <w:rsid w:val="796E7CD8"/>
    <w:rsid w:val="797409B5"/>
    <w:rsid w:val="797B1C1E"/>
    <w:rsid w:val="797C074E"/>
    <w:rsid w:val="79892B16"/>
    <w:rsid w:val="798A32FE"/>
    <w:rsid w:val="79961451"/>
    <w:rsid w:val="799A4B52"/>
    <w:rsid w:val="799E680F"/>
    <w:rsid w:val="79A00398"/>
    <w:rsid w:val="79A25E80"/>
    <w:rsid w:val="79A47D6C"/>
    <w:rsid w:val="79A6315D"/>
    <w:rsid w:val="79B82979"/>
    <w:rsid w:val="79BE539F"/>
    <w:rsid w:val="79C46A79"/>
    <w:rsid w:val="79C92E1E"/>
    <w:rsid w:val="79CC1CC4"/>
    <w:rsid w:val="79D600F4"/>
    <w:rsid w:val="79E17625"/>
    <w:rsid w:val="79E27D26"/>
    <w:rsid w:val="79EE75AE"/>
    <w:rsid w:val="79F772B7"/>
    <w:rsid w:val="79F8577F"/>
    <w:rsid w:val="79FB27FE"/>
    <w:rsid w:val="79FB7B5D"/>
    <w:rsid w:val="79FD523D"/>
    <w:rsid w:val="79FE105C"/>
    <w:rsid w:val="79FF0080"/>
    <w:rsid w:val="7A0D74F1"/>
    <w:rsid w:val="7A170370"/>
    <w:rsid w:val="7A177637"/>
    <w:rsid w:val="7A1E525A"/>
    <w:rsid w:val="7A212F9C"/>
    <w:rsid w:val="7A301431"/>
    <w:rsid w:val="7A316FC1"/>
    <w:rsid w:val="7A364017"/>
    <w:rsid w:val="7A3A5E0C"/>
    <w:rsid w:val="7A4532FE"/>
    <w:rsid w:val="7A4564C6"/>
    <w:rsid w:val="7A460BE1"/>
    <w:rsid w:val="7A4822D7"/>
    <w:rsid w:val="7A504709"/>
    <w:rsid w:val="7A593E62"/>
    <w:rsid w:val="7A660973"/>
    <w:rsid w:val="7A6D4269"/>
    <w:rsid w:val="7A7008DF"/>
    <w:rsid w:val="7A740443"/>
    <w:rsid w:val="7A772BBC"/>
    <w:rsid w:val="7A8265E1"/>
    <w:rsid w:val="7A8632CB"/>
    <w:rsid w:val="7A897628"/>
    <w:rsid w:val="7A937688"/>
    <w:rsid w:val="7A944DBE"/>
    <w:rsid w:val="7A965E6A"/>
    <w:rsid w:val="7A9B68AB"/>
    <w:rsid w:val="7AA43E73"/>
    <w:rsid w:val="7AC625C2"/>
    <w:rsid w:val="7ACC115A"/>
    <w:rsid w:val="7ACD6C80"/>
    <w:rsid w:val="7ACF17C1"/>
    <w:rsid w:val="7AD90E11"/>
    <w:rsid w:val="7AE21A39"/>
    <w:rsid w:val="7AE364A4"/>
    <w:rsid w:val="7AE37DFE"/>
    <w:rsid w:val="7AE53FCA"/>
    <w:rsid w:val="7AEC39B9"/>
    <w:rsid w:val="7AF0722F"/>
    <w:rsid w:val="7AF56302"/>
    <w:rsid w:val="7B0B038E"/>
    <w:rsid w:val="7B1B79EC"/>
    <w:rsid w:val="7B2F6525"/>
    <w:rsid w:val="7B33304D"/>
    <w:rsid w:val="7B333BF2"/>
    <w:rsid w:val="7B426F7D"/>
    <w:rsid w:val="7B4539DB"/>
    <w:rsid w:val="7B4574FB"/>
    <w:rsid w:val="7B4909FD"/>
    <w:rsid w:val="7B4C3525"/>
    <w:rsid w:val="7B506513"/>
    <w:rsid w:val="7B560F34"/>
    <w:rsid w:val="7B5A2BED"/>
    <w:rsid w:val="7B5D5641"/>
    <w:rsid w:val="7B6453BE"/>
    <w:rsid w:val="7B686D42"/>
    <w:rsid w:val="7B6D006E"/>
    <w:rsid w:val="7B763167"/>
    <w:rsid w:val="7B841746"/>
    <w:rsid w:val="7B854452"/>
    <w:rsid w:val="7B8657AD"/>
    <w:rsid w:val="7B8A4216"/>
    <w:rsid w:val="7B9D450C"/>
    <w:rsid w:val="7BA31D75"/>
    <w:rsid w:val="7BA44BC8"/>
    <w:rsid w:val="7BAC7041"/>
    <w:rsid w:val="7BB0138C"/>
    <w:rsid w:val="7BB26861"/>
    <w:rsid w:val="7BC24F9E"/>
    <w:rsid w:val="7BC26559"/>
    <w:rsid w:val="7BC55205"/>
    <w:rsid w:val="7BCF76DB"/>
    <w:rsid w:val="7BDC361B"/>
    <w:rsid w:val="7BDE7231"/>
    <w:rsid w:val="7BE76803"/>
    <w:rsid w:val="7BE8003D"/>
    <w:rsid w:val="7BFA6F52"/>
    <w:rsid w:val="7BFD106A"/>
    <w:rsid w:val="7C001AA6"/>
    <w:rsid w:val="7C0641F8"/>
    <w:rsid w:val="7C0D0660"/>
    <w:rsid w:val="7C0D4B58"/>
    <w:rsid w:val="7C117FA6"/>
    <w:rsid w:val="7C1728A9"/>
    <w:rsid w:val="7C213E9C"/>
    <w:rsid w:val="7C237D33"/>
    <w:rsid w:val="7C2C186C"/>
    <w:rsid w:val="7C2D15F7"/>
    <w:rsid w:val="7C2E2834"/>
    <w:rsid w:val="7C336E5B"/>
    <w:rsid w:val="7C3519BC"/>
    <w:rsid w:val="7C4531C0"/>
    <w:rsid w:val="7C4F582A"/>
    <w:rsid w:val="7C6B25F6"/>
    <w:rsid w:val="7C6C5AC7"/>
    <w:rsid w:val="7C7255FA"/>
    <w:rsid w:val="7C725D31"/>
    <w:rsid w:val="7C7902CF"/>
    <w:rsid w:val="7C7D6098"/>
    <w:rsid w:val="7C8A41BB"/>
    <w:rsid w:val="7C9944BA"/>
    <w:rsid w:val="7CA61FCD"/>
    <w:rsid w:val="7CB2612E"/>
    <w:rsid w:val="7CB65C1E"/>
    <w:rsid w:val="7CBE11B0"/>
    <w:rsid w:val="7CBE4456"/>
    <w:rsid w:val="7CBF4430"/>
    <w:rsid w:val="7CC31605"/>
    <w:rsid w:val="7CC6544B"/>
    <w:rsid w:val="7CCA7F56"/>
    <w:rsid w:val="7CCD242C"/>
    <w:rsid w:val="7CCD328D"/>
    <w:rsid w:val="7CEE6037"/>
    <w:rsid w:val="7CEF7382"/>
    <w:rsid w:val="7CF34035"/>
    <w:rsid w:val="7CF51217"/>
    <w:rsid w:val="7CFB28AA"/>
    <w:rsid w:val="7D0239FF"/>
    <w:rsid w:val="7D0B5C51"/>
    <w:rsid w:val="7D0D1D47"/>
    <w:rsid w:val="7D1459E1"/>
    <w:rsid w:val="7D147451"/>
    <w:rsid w:val="7D152149"/>
    <w:rsid w:val="7D1D4E05"/>
    <w:rsid w:val="7D2A2168"/>
    <w:rsid w:val="7D363315"/>
    <w:rsid w:val="7D3725CD"/>
    <w:rsid w:val="7D3A1533"/>
    <w:rsid w:val="7D3F0F24"/>
    <w:rsid w:val="7D423956"/>
    <w:rsid w:val="7D537911"/>
    <w:rsid w:val="7D572A32"/>
    <w:rsid w:val="7D5A6B4B"/>
    <w:rsid w:val="7D5E40CD"/>
    <w:rsid w:val="7D6E49FE"/>
    <w:rsid w:val="7D755AD9"/>
    <w:rsid w:val="7D7615E3"/>
    <w:rsid w:val="7D76392E"/>
    <w:rsid w:val="7D7F1A46"/>
    <w:rsid w:val="7D826BA0"/>
    <w:rsid w:val="7D87352C"/>
    <w:rsid w:val="7D8768FA"/>
    <w:rsid w:val="7D8775BA"/>
    <w:rsid w:val="7D980C12"/>
    <w:rsid w:val="7D983576"/>
    <w:rsid w:val="7DA84717"/>
    <w:rsid w:val="7DAC0DCF"/>
    <w:rsid w:val="7DAD5CA9"/>
    <w:rsid w:val="7DAE659C"/>
    <w:rsid w:val="7DC30A8A"/>
    <w:rsid w:val="7DC41F1A"/>
    <w:rsid w:val="7DCD470D"/>
    <w:rsid w:val="7DCD56F2"/>
    <w:rsid w:val="7DD21606"/>
    <w:rsid w:val="7DD4482F"/>
    <w:rsid w:val="7DD70981"/>
    <w:rsid w:val="7DDD71DA"/>
    <w:rsid w:val="7DDF73F6"/>
    <w:rsid w:val="7DE57330"/>
    <w:rsid w:val="7DF2712A"/>
    <w:rsid w:val="7DF32EA2"/>
    <w:rsid w:val="7DF64E2A"/>
    <w:rsid w:val="7DF90701"/>
    <w:rsid w:val="7E030AED"/>
    <w:rsid w:val="7E0351C1"/>
    <w:rsid w:val="7E0F55C9"/>
    <w:rsid w:val="7E142EA9"/>
    <w:rsid w:val="7E1A042F"/>
    <w:rsid w:val="7E20088D"/>
    <w:rsid w:val="7E2662DE"/>
    <w:rsid w:val="7E2E7A36"/>
    <w:rsid w:val="7E332628"/>
    <w:rsid w:val="7E36368B"/>
    <w:rsid w:val="7E402B23"/>
    <w:rsid w:val="7E4804EE"/>
    <w:rsid w:val="7E4A6641"/>
    <w:rsid w:val="7E4C76AB"/>
    <w:rsid w:val="7E4F012F"/>
    <w:rsid w:val="7E5A75B8"/>
    <w:rsid w:val="7E5C45EE"/>
    <w:rsid w:val="7E617E0B"/>
    <w:rsid w:val="7E6472C9"/>
    <w:rsid w:val="7E6B2A38"/>
    <w:rsid w:val="7E6D67B0"/>
    <w:rsid w:val="7E7C60C0"/>
    <w:rsid w:val="7E8532D4"/>
    <w:rsid w:val="7E881360"/>
    <w:rsid w:val="7E8B057B"/>
    <w:rsid w:val="7E9204D8"/>
    <w:rsid w:val="7E945AEE"/>
    <w:rsid w:val="7EA50335"/>
    <w:rsid w:val="7EA63565"/>
    <w:rsid w:val="7EA641FD"/>
    <w:rsid w:val="7EAD4DFF"/>
    <w:rsid w:val="7EC46660"/>
    <w:rsid w:val="7ED0232C"/>
    <w:rsid w:val="7ED24865"/>
    <w:rsid w:val="7ED92098"/>
    <w:rsid w:val="7EDE7ED6"/>
    <w:rsid w:val="7EE51E2F"/>
    <w:rsid w:val="7EE60C15"/>
    <w:rsid w:val="7EE84E7B"/>
    <w:rsid w:val="7EEA0AB4"/>
    <w:rsid w:val="7EEB619F"/>
    <w:rsid w:val="7EF03CB6"/>
    <w:rsid w:val="7EF2014F"/>
    <w:rsid w:val="7EF23CD9"/>
    <w:rsid w:val="7EF420C9"/>
    <w:rsid w:val="7EF939F5"/>
    <w:rsid w:val="7EFB3DBC"/>
    <w:rsid w:val="7EFF3101"/>
    <w:rsid w:val="7F001CE7"/>
    <w:rsid w:val="7F097F27"/>
    <w:rsid w:val="7F0E3D76"/>
    <w:rsid w:val="7F114720"/>
    <w:rsid w:val="7F2344A4"/>
    <w:rsid w:val="7F2350C1"/>
    <w:rsid w:val="7F2D7AE1"/>
    <w:rsid w:val="7F33260A"/>
    <w:rsid w:val="7F345520"/>
    <w:rsid w:val="7F3511B2"/>
    <w:rsid w:val="7F3F44B7"/>
    <w:rsid w:val="7F470740"/>
    <w:rsid w:val="7F500519"/>
    <w:rsid w:val="7F524E4C"/>
    <w:rsid w:val="7F58348A"/>
    <w:rsid w:val="7F5E72BF"/>
    <w:rsid w:val="7F5F640D"/>
    <w:rsid w:val="7F623584"/>
    <w:rsid w:val="7F6D1E2C"/>
    <w:rsid w:val="7F792C6D"/>
    <w:rsid w:val="7F7B314F"/>
    <w:rsid w:val="7F7D0072"/>
    <w:rsid w:val="7F7D2B0A"/>
    <w:rsid w:val="7F8D7991"/>
    <w:rsid w:val="7F9B10FB"/>
    <w:rsid w:val="7F9E2695"/>
    <w:rsid w:val="7FA727B4"/>
    <w:rsid w:val="7FB4759E"/>
    <w:rsid w:val="7FB65D58"/>
    <w:rsid w:val="7FC27DBB"/>
    <w:rsid w:val="7FD83FB8"/>
    <w:rsid w:val="7FE47E50"/>
    <w:rsid w:val="7FEB5F33"/>
    <w:rsid w:val="7FEC31D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99"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99"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2"/>
    <w:next w:val="1"/>
    <w:link w:val="50"/>
    <w:qFormat/>
    <w:locked/>
    <w:uiPriority w:val="9"/>
    <w:pPr>
      <w:keepNext/>
      <w:keepLines/>
      <w:widowControl/>
      <w:tabs>
        <w:tab w:val="left" w:pos="360"/>
        <w:tab w:val="left" w:pos="432"/>
      </w:tabs>
      <w:spacing w:before="10" w:after="10" w:line="360" w:lineRule="auto"/>
      <w:ind w:firstLine="200" w:firstLineChars="200"/>
      <w:jc w:val="left"/>
      <w:outlineLvl w:val="1"/>
    </w:pPr>
    <w:rPr>
      <w:rFonts w:ascii="Times New Roman" w:hAnsi="Times New Roman"/>
      <w:sz w:val="24"/>
      <w:szCs w:val="32"/>
    </w:rPr>
  </w:style>
  <w:style w:type="paragraph" w:styleId="4">
    <w:name w:val="heading 3"/>
    <w:basedOn w:val="3"/>
    <w:next w:val="1"/>
    <w:qFormat/>
    <w:locked/>
    <w:uiPriority w:val="0"/>
    <w:pPr>
      <w:spacing w:line="360" w:lineRule="auto"/>
      <w:ind w:firstLine="0" w:firstLineChars="0"/>
      <w:outlineLvl w:val="2"/>
    </w:pPr>
    <w:rPr>
      <w:rFonts w:ascii="Times New Roman" w:hAnsi="Times New Roman" w:eastAsia="宋体"/>
      <w:color w:val="000000"/>
      <w:sz w:val="24"/>
    </w:rPr>
  </w:style>
  <w:style w:type="paragraph" w:styleId="5">
    <w:name w:val="heading 4"/>
    <w:basedOn w:val="1"/>
    <w:next w:val="1"/>
    <w:qFormat/>
    <w:locked/>
    <w:uiPriority w:val="0"/>
    <w:pPr>
      <w:keepNext/>
      <w:keepLines/>
      <w:spacing w:before="280" w:after="290" w:line="376" w:lineRule="auto"/>
      <w:outlineLvl w:val="3"/>
    </w:pPr>
    <w:rPr>
      <w:rFonts w:ascii="Cambria" w:hAnsi="Cambria"/>
      <w:b/>
      <w:bCs/>
      <w:sz w:val="28"/>
      <w:szCs w:val="28"/>
    </w:rPr>
  </w:style>
  <w:style w:type="character" w:default="1" w:styleId="35">
    <w:name w:val="Default Paragraph Font"/>
    <w:semiHidden/>
    <w:qFormat/>
    <w:uiPriority w:val="0"/>
  </w:style>
  <w:style w:type="table" w:default="1" w:styleId="3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table of authorities"/>
    <w:basedOn w:val="1"/>
    <w:next w:val="1"/>
    <w:qFormat/>
    <w:locked/>
    <w:uiPriority w:val="0"/>
    <w:pPr>
      <w:ind w:left="420" w:leftChars="200"/>
    </w:pPr>
  </w:style>
  <w:style w:type="paragraph" w:styleId="7">
    <w:name w:val="Normal Indent"/>
    <w:basedOn w:val="1"/>
    <w:next w:val="5"/>
    <w:qFormat/>
    <w:locked/>
    <w:uiPriority w:val="0"/>
    <w:pPr>
      <w:adjustRightInd w:val="0"/>
      <w:spacing w:line="312" w:lineRule="atLeast"/>
      <w:ind w:firstLine="420"/>
      <w:textAlignment w:val="baseline"/>
    </w:pPr>
    <w:rPr>
      <w:rFonts w:ascii="宋体" w:hAnsi="Courier New"/>
      <w:kern w:val="0"/>
      <w:szCs w:val="20"/>
    </w:rPr>
  </w:style>
  <w:style w:type="paragraph" w:styleId="8">
    <w:name w:val="caption"/>
    <w:basedOn w:val="1"/>
    <w:next w:val="9"/>
    <w:qFormat/>
    <w:locked/>
    <w:uiPriority w:val="99"/>
    <w:pPr>
      <w:keepNext/>
      <w:spacing w:before="163" w:beforeLines="50" w:line="240" w:lineRule="auto"/>
      <w:jc w:val="center"/>
    </w:pPr>
    <w:rPr>
      <w:rFonts w:ascii="Times New Roman" w:hAnsi="Times New Roman"/>
      <w:b/>
      <w:sz w:val="22"/>
      <w:szCs w:val="22"/>
    </w:rPr>
  </w:style>
  <w:style w:type="paragraph" w:customStyle="1" w:styleId="9">
    <w:name w:val="表内表"/>
    <w:basedOn w:val="1"/>
    <w:qFormat/>
    <w:uiPriority w:val="0"/>
    <w:pPr>
      <w:adjustRightInd w:val="0"/>
      <w:snapToGrid w:val="0"/>
      <w:jc w:val="center"/>
    </w:pPr>
    <w:rPr>
      <w:rFonts w:ascii="Times New Roman" w:hAnsi="Times New Roman"/>
      <w:sz w:val="21"/>
    </w:rPr>
  </w:style>
  <w:style w:type="paragraph" w:styleId="10">
    <w:name w:val="annotation text"/>
    <w:basedOn w:val="1"/>
    <w:link w:val="51"/>
    <w:qFormat/>
    <w:uiPriority w:val="0"/>
    <w:pPr>
      <w:jc w:val="left"/>
    </w:pPr>
    <w:rPr>
      <w:kern w:val="0"/>
      <w:sz w:val="24"/>
      <w:szCs w:val="20"/>
    </w:rPr>
  </w:style>
  <w:style w:type="paragraph" w:styleId="11">
    <w:name w:val="Salutation"/>
    <w:basedOn w:val="1"/>
    <w:next w:val="1"/>
    <w:qFormat/>
    <w:locked/>
    <w:uiPriority w:val="0"/>
    <w:pPr>
      <w:spacing w:before="60" w:beforeLines="0"/>
      <w:ind w:firstLine="482"/>
    </w:pPr>
    <w:rPr>
      <w:rFonts w:ascii="Arial" w:hAnsi="Arial" w:eastAsia="仿宋_GB2312"/>
      <w:kern w:val="0"/>
      <w:sz w:val="24"/>
      <w:szCs w:val="20"/>
    </w:rPr>
  </w:style>
  <w:style w:type="paragraph" w:styleId="12">
    <w:name w:val="Body Text"/>
    <w:basedOn w:val="1"/>
    <w:next w:val="13"/>
    <w:link w:val="52"/>
    <w:qFormat/>
    <w:uiPriority w:val="0"/>
    <w:pPr>
      <w:widowControl/>
      <w:snapToGrid w:val="0"/>
      <w:spacing w:before="60" w:after="160" w:line="259" w:lineRule="auto"/>
      <w:ind w:right="113"/>
    </w:pPr>
    <w:rPr>
      <w:kern w:val="0"/>
      <w:sz w:val="18"/>
      <w:szCs w:val="20"/>
    </w:rPr>
  </w:style>
  <w:style w:type="paragraph" w:customStyle="1" w:styleId="13">
    <w:name w:val="xl27"/>
    <w:basedOn w:val="6"/>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4">
    <w:name w:val="Body Text Indent"/>
    <w:basedOn w:val="1"/>
    <w:link w:val="53"/>
    <w:qFormat/>
    <w:uiPriority w:val="0"/>
    <w:pPr>
      <w:spacing w:after="120"/>
      <w:ind w:left="420" w:leftChars="200"/>
    </w:pPr>
    <w:rPr>
      <w:kern w:val="0"/>
      <w:sz w:val="24"/>
      <w:szCs w:val="20"/>
    </w:rPr>
  </w:style>
  <w:style w:type="paragraph" w:styleId="15">
    <w:name w:val="Block Text"/>
    <w:basedOn w:val="1"/>
    <w:next w:val="1"/>
    <w:qFormat/>
    <w:locked/>
    <w:uiPriority w:val="0"/>
    <w:pPr>
      <w:spacing w:line="300" w:lineRule="exact"/>
      <w:ind w:left="-96" w:leftChars="-40" w:right="-16" w:firstLine="482" w:firstLineChars="200"/>
    </w:pPr>
    <w:rPr>
      <w:rFonts w:ascii="宋体" w:hAnsi="宋体"/>
    </w:rPr>
  </w:style>
  <w:style w:type="paragraph" w:styleId="16">
    <w:name w:val="Plain Text"/>
    <w:basedOn w:val="1"/>
    <w:link w:val="54"/>
    <w:qFormat/>
    <w:locked/>
    <w:uiPriority w:val="0"/>
    <w:rPr>
      <w:rFonts w:ascii="宋体" w:hAnsi="Courier New" w:cs="Courier New"/>
      <w:szCs w:val="21"/>
    </w:rPr>
  </w:style>
  <w:style w:type="paragraph" w:styleId="17">
    <w:name w:val="List Bullet 5"/>
    <w:basedOn w:val="1"/>
    <w:qFormat/>
    <w:locked/>
    <w:uiPriority w:val="0"/>
    <w:pPr>
      <w:numPr>
        <w:ilvl w:val="0"/>
        <w:numId w:val="1"/>
      </w:numPr>
    </w:pPr>
  </w:style>
  <w:style w:type="paragraph" w:styleId="18">
    <w:name w:val="Date"/>
    <w:basedOn w:val="1"/>
    <w:next w:val="1"/>
    <w:link w:val="55"/>
    <w:qFormat/>
    <w:uiPriority w:val="0"/>
    <w:pPr>
      <w:ind w:left="100" w:leftChars="2500"/>
    </w:pPr>
    <w:rPr>
      <w:kern w:val="0"/>
      <w:sz w:val="24"/>
      <w:szCs w:val="20"/>
    </w:rPr>
  </w:style>
  <w:style w:type="paragraph" w:styleId="19">
    <w:name w:val="Body Text Indent 2"/>
    <w:basedOn w:val="1"/>
    <w:next w:val="20"/>
    <w:qFormat/>
    <w:locked/>
    <w:uiPriority w:val="0"/>
    <w:pPr>
      <w:spacing w:line="360" w:lineRule="exact"/>
      <w:ind w:firstLine="420" w:firstLineChars="200"/>
    </w:pPr>
    <w:rPr>
      <w:rFonts w:ascii="仿宋_GB2312" w:eastAsia="仿宋_GB2312"/>
    </w:rPr>
  </w:style>
  <w:style w:type="paragraph" w:customStyle="1" w:styleId="20">
    <w:name w:val="reader-word-layer reader-word-s46-2"/>
    <w:basedOn w:val="1"/>
    <w:next w:val="21"/>
    <w:autoRedefine/>
    <w:qFormat/>
    <w:uiPriority w:val="0"/>
    <w:pPr>
      <w:widowControl/>
      <w:spacing w:before="280" w:after="280" w:line="240" w:lineRule="auto"/>
      <w:jc w:val="both"/>
    </w:pPr>
    <w:rPr>
      <w:rFonts w:ascii="宋体"/>
      <w:sz w:val="24"/>
    </w:rPr>
  </w:style>
  <w:style w:type="paragraph" w:customStyle="1" w:styleId="21">
    <w:name w:val="xl35"/>
    <w:basedOn w:val="1"/>
    <w:next w:val="1"/>
    <w:autoRedefine/>
    <w:qFormat/>
    <w:uiPriority w:val="0"/>
    <w:pPr>
      <w:widowControl/>
      <w:shd w:val="clear" w:color="FFFFFF" w:fill="FFFFFF"/>
      <w:spacing w:before="280" w:after="280" w:line="240" w:lineRule="auto"/>
      <w:jc w:val="both"/>
    </w:pPr>
    <w:rPr>
      <w:rFonts w:ascii="Arial Unicode MS" w:eastAsia="Arial Unicode MS"/>
      <w:sz w:val="24"/>
    </w:rPr>
  </w:style>
  <w:style w:type="paragraph" w:styleId="22">
    <w:name w:val="Balloon Text"/>
    <w:basedOn w:val="1"/>
    <w:link w:val="56"/>
    <w:semiHidden/>
    <w:qFormat/>
    <w:uiPriority w:val="0"/>
    <w:rPr>
      <w:kern w:val="0"/>
      <w:sz w:val="18"/>
      <w:szCs w:val="20"/>
    </w:rPr>
  </w:style>
  <w:style w:type="paragraph" w:styleId="23">
    <w:name w:val="footer"/>
    <w:basedOn w:val="1"/>
    <w:link w:val="57"/>
    <w:qFormat/>
    <w:uiPriority w:val="99"/>
    <w:pPr>
      <w:tabs>
        <w:tab w:val="center" w:pos="4153"/>
        <w:tab w:val="right" w:pos="8306"/>
      </w:tabs>
      <w:snapToGrid w:val="0"/>
      <w:jc w:val="left"/>
    </w:pPr>
    <w:rPr>
      <w:kern w:val="0"/>
      <w:sz w:val="18"/>
      <w:szCs w:val="20"/>
    </w:rPr>
  </w:style>
  <w:style w:type="paragraph" w:styleId="24">
    <w:name w:val="header"/>
    <w:basedOn w:val="1"/>
    <w:link w:val="58"/>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qFormat/>
    <w:locked/>
    <w:uiPriority w:val="0"/>
  </w:style>
  <w:style w:type="paragraph" w:styleId="26">
    <w:name w:val="List"/>
    <w:basedOn w:val="1"/>
    <w:qFormat/>
    <w:locked/>
    <w:uiPriority w:val="0"/>
    <w:pPr>
      <w:ind w:left="200" w:hanging="200" w:hangingChars="200"/>
    </w:pPr>
    <w:rPr>
      <w:szCs w:val="20"/>
    </w:rPr>
  </w:style>
  <w:style w:type="paragraph" w:styleId="27">
    <w:name w:val="Body Text Indent 3"/>
    <w:basedOn w:val="1"/>
    <w:qFormat/>
    <w:locked/>
    <w:uiPriority w:val="0"/>
    <w:pPr>
      <w:snapToGrid w:val="0"/>
      <w:spacing w:line="336" w:lineRule="auto"/>
      <w:ind w:firstLine="560"/>
    </w:pPr>
    <w:rPr>
      <w:rFonts w:eastAsia="仿宋_GB2312"/>
      <w:sz w:val="28"/>
    </w:rPr>
  </w:style>
  <w:style w:type="paragraph" w:styleId="28">
    <w:name w:val="toc 2"/>
    <w:basedOn w:val="1"/>
    <w:next w:val="1"/>
    <w:qFormat/>
    <w:locked/>
    <w:uiPriority w:val="0"/>
    <w:pPr>
      <w:ind w:left="420" w:leftChars="200"/>
    </w:pPr>
  </w:style>
  <w:style w:type="paragraph" w:styleId="29">
    <w:name w:val="Normal (Web)"/>
    <w:basedOn w:val="1"/>
    <w:link w:val="59"/>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0"/>
    <w:next w:val="10"/>
    <w:link w:val="60"/>
    <w:semiHidden/>
    <w:qFormat/>
    <w:uiPriority w:val="0"/>
    <w:rPr>
      <w:b/>
      <w:sz w:val="24"/>
      <w:szCs w:val="20"/>
    </w:rPr>
  </w:style>
  <w:style w:type="paragraph" w:styleId="31">
    <w:name w:val="Body Text First Indent"/>
    <w:basedOn w:val="12"/>
    <w:next w:val="1"/>
    <w:qFormat/>
    <w:locked/>
    <w:uiPriority w:val="0"/>
    <w:pPr>
      <w:spacing w:after="120" w:line="240" w:lineRule="auto"/>
      <w:ind w:firstLine="420" w:firstLineChars="100"/>
    </w:pPr>
    <w:rPr>
      <w:rFonts w:ascii="Times New Roman" w:eastAsia="宋体"/>
      <w:sz w:val="21"/>
    </w:rPr>
  </w:style>
  <w:style w:type="paragraph" w:styleId="32">
    <w:name w:val="Body Text First Indent 2"/>
    <w:basedOn w:val="14"/>
    <w:next w:val="1"/>
    <w:qFormat/>
    <w:locked/>
    <w:uiPriority w:val="0"/>
    <w:pPr>
      <w:tabs>
        <w:tab w:val="left" w:pos="420"/>
        <w:tab w:val="left" w:pos="870"/>
        <w:tab w:val="left" w:pos="3150"/>
      </w:tabs>
      <w:autoSpaceDE w:val="0"/>
      <w:autoSpaceDN w:val="0"/>
      <w:adjustRightInd w:val="0"/>
      <w:spacing w:beforeLines="25" w:after="0" w:line="336" w:lineRule="auto"/>
      <w:ind w:left="0" w:leftChars="0" w:firstLine="527"/>
      <w:textAlignment w:val="baseline"/>
    </w:pPr>
    <w:rPr>
      <w:rFonts w:ascii="宋体" w:hAnsi="Times New Roman" w:eastAsia="宋体" w:cs="Times New Roman"/>
      <w:sz w:val="24"/>
      <w:szCs w:val="28"/>
    </w:rPr>
  </w:style>
  <w:style w:type="table" w:styleId="34">
    <w:name w:val="Table Grid"/>
    <w:basedOn w:val="33"/>
    <w:qFormat/>
    <w:uiPriority w:val="9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locked/>
    <w:uiPriority w:val="0"/>
    <w:rPr>
      <w:b/>
    </w:rPr>
  </w:style>
  <w:style w:type="character" w:styleId="37">
    <w:name w:val="page number"/>
    <w:qFormat/>
    <w:locked/>
    <w:uiPriority w:val="0"/>
  </w:style>
  <w:style w:type="character" w:styleId="38">
    <w:name w:val="Emphasis"/>
    <w:basedOn w:val="35"/>
    <w:qFormat/>
    <w:locked/>
    <w:uiPriority w:val="0"/>
    <w:rPr>
      <w:i/>
    </w:rPr>
  </w:style>
  <w:style w:type="character" w:styleId="39">
    <w:name w:val="Hyperlink"/>
    <w:basedOn w:val="35"/>
    <w:qFormat/>
    <w:locked/>
    <w:uiPriority w:val="0"/>
    <w:rPr>
      <w:color w:val="0000FF"/>
      <w:u w:val="single"/>
    </w:rPr>
  </w:style>
  <w:style w:type="character" w:styleId="40">
    <w:name w:val="annotation reference"/>
    <w:qFormat/>
    <w:uiPriority w:val="99"/>
    <w:rPr>
      <w:sz w:val="21"/>
    </w:rPr>
  </w:style>
  <w:style w:type="paragraph" w:customStyle="1" w:styleId="41">
    <w:name w:val="表头"/>
    <w:basedOn w:val="7"/>
    <w:qFormat/>
    <w:uiPriority w:val="0"/>
    <w:pPr>
      <w:spacing w:line="240" w:lineRule="auto"/>
      <w:ind w:firstLine="0" w:firstLineChars="0"/>
      <w:jc w:val="center"/>
    </w:pPr>
    <w:rPr>
      <w:b/>
      <w:bCs/>
      <w:kern w:val="0"/>
      <w:sz w:val="21"/>
      <w:szCs w:val="21"/>
    </w:rPr>
  </w:style>
  <w:style w:type="paragraph" w:customStyle="1" w:styleId="42">
    <w:name w:val="表格内容"/>
    <w:basedOn w:val="43"/>
    <w:next w:val="1"/>
    <w:qFormat/>
    <w:uiPriority w:val="0"/>
    <w:pPr>
      <w:spacing w:line="240" w:lineRule="auto"/>
      <w:ind w:firstLine="0" w:firstLineChars="0"/>
      <w:jc w:val="center"/>
    </w:pPr>
    <w:rPr>
      <w:rFonts w:ascii="Times New Roman" w:hAnsi="Times New Roman"/>
      <w:bCs/>
      <w:sz w:val="21"/>
    </w:rPr>
  </w:style>
  <w:style w:type="paragraph" w:customStyle="1" w:styleId="43">
    <w:name w:val="表 图 内容"/>
    <w:basedOn w:val="1"/>
    <w:qFormat/>
    <w:uiPriority w:val="0"/>
    <w:pPr>
      <w:jc w:val="center"/>
    </w:pPr>
    <w:rPr>
      <w:color w:val="000000"/>
    </w:rPr>
  </w:style>
  <w:style w:type="paragraph" w:customStyle="1" w:styleId="44">
    <w:name w:val="Default"/>
    <w:basedOn w:val="45"/>
    <w:next w:val="32"/>
    <w:unhideWhenUsed/>
    <w:qFormat/>
    <w:uiPriority w:val="99"/>
    <w:pPr>
      <w:widowControl w:val="0"/>
      <w:autoSpaceDE w:val="0"/>
      <w:autoSpaceDN w:val="0"/>
      <w:adjustRightInd w:val="0"/>
      <w:spacing w:beforeLines="0" w:afterLines="0"/>
    </w:pPr>
    <w:rPr>
      <w:rFonts w:hint="eastAsia" w:ascii="Times New Roman" w:hAnsi="Times New Roman" w:eastAsia="Times New Roman"/>
      <w:color w:val="000000"/>
      <w:sz w:val="24"/>
      <w:szCs w:val="24"/>
    </w:rPr>
  </w:style>
  <w:style w:type="paragraph" w:customStyle="1" w:styleId="45">
    <w:name w:val="！正文 Alt+0"/>
    <w:basedOn w:val="1"/>
    <w:qFormat/>
    <w:uiPriority w:val="0"/>
    <w:pPr>
      <w:spacing w:line="360" w:lineRule="auto"/>
      <w:ind w:firstLine="200" w:firstLineChars="200"/>
    </w:pPr>
    <w:rPr>
      <w:rFonts w:ascii="Times New Roman" w:hAnsi="Times New Roman"/>
      <w:sz w:val="28"/>
      <w:szCs w:val="28"/>
    </w:rPr>
  </w:style>
  <w:style w:type="paragraph" w:customStyle="1" w:styleId="46">
    <w:name w:val="Default2"/>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47">
    <w:name w:val="电子邮件签名1"/>
    <w:basedOn w:val="1"/>
    <w:next w:val="48"/>
    <w:qFormat/>
    <w:uiPriority w:val="0"/>
    <w:pPr>
      <w:spacing w:line="460" w:lineRule="exact"/>
      <w:ind w:firstLine="200"/>
    </w:pPr>
  </w:style>
  <w:style w:type="paragraph" w:customStyle="1" w:styleId="48">
    <w:name w:val="文章"/>
    <w:basedOn w:val="14"/>
    <w:next w:val="26"/>
    <w:qFormat/>
    <w:uiPriority w:val="0"/>
    <w:pPr>
      <w:widowControl/>
      <w:spacing w:line="240" w:lineRule="auto"/>
      <w:ind w:firstLine="480"/>
      <w:jc w:val="center"/>
    </w:pPr>
    <w:rPr>
      <w:sz w:val="26"/>
    </w:rPr>
  </w:style>
  <w:style w:type="paragraph" w:customStyle="1" w:styleId="49">
    <w:name w:val="一级条标题"/>
    <w:basedOn w:val="2"/>
    <w:next w:val="1"/>
    <w:qFormat/>
    <w:uiPriority w:val="0"/>
    <w:pPr>
      <w:keepNext w:val="0"/>
      <w:keepLines w:val="0"/>
      <w:widowControl/>
      <w:tabs>
        <w:tab w:val="left" w:pos="360"/>
        <w:tab w:val="left" w:pos="432"/>
      </w:tabs>
      <w:spacing w:before="0" w:after="0"/>
      <w:outlineLvl w:val="2"/>
    </w:pPr>
    <w:rPr>
      <w:rFonts w:ascii="黑体" w:eastAsia="黑体"/>
      <w:kern w:val="0"/>
      <w:sz w:val="21"/>
    </w:rPr>
  </w:style>
  <w:style w:type="character" w:customStyle="1" w:styleId="50">
    <w:name w:val="标题 2 字符"/>
    <w:link w:val="3"/>
    <w:qFormat/>
    <w:uiPriority w:val="9"/>
    <w:rPr>
      <w:rFonts w:ascii="Times New Roman" w:hAnsi="Times New Roman"/>
      <w:b/>
      <w:bCs/>
      <w:sz w:val="24"/>
      <w:szCs w:val="32"/>
    </w:rPr>
  </w:style>
  <w:style w:type="character" w:customStyle="1" w:styleId="51">
    <w:name w:val="批注文字 字符2"/>
    <w:link w:val="10"/>
    <w:qFormat/>
    <w:locked/>
    <w:uiPriority w:val="0"/>
    <w:rPr>
      <w:rFonts w:ascii="Times New Roman" w:hAnsi="Times New Roman" w:eastAsia="宋体"/>
      <w:sz w:val="24"/>
    </w:rPr>
  </w:style>
  <w:style w:type="character" w:customStyle="1" w:styleId="52">
    <w:name w:val="正文文本 字符"/>
    <w:link w:val="12"/>
    <w:qFormat/>
    <w:locked/>
    <w:uiPriority w:val="0"/>
    <w:rPr>
      <w:sz w:val="18"/>
    </w:rPr>
  </w:style>
  <w:style w:type="character" w:customStyle="1" w:styleId="53">
    <w:name w:val="正文文本缩进 字符"/>
    <w:link w:val="14"/>
    <w:semiHidden/>
    <w:qFormat/>
    <w:locked/>
    <w:uiPriority w:val="0"/>
    <w:rPr>
      <w:rFonts w:ascii="Times New Roman" w:hAnsi="Times New Roman" w:eastAsia="宋体"/>
      <w:sz w:val="24"/>
    </w:rPr>
  </w:style>
  <w:style w:type="character" w:customStyle="1" w:styleId="54">
    <w:name w:val="纯文本 字符"/>
    <w:link w:val="16"/>
    <w:qFormat/>
    <w:uiPriority w:val="0"/>
    <w:rPr>
      <w:rFonts w:ascii="宋体" w:hAnsi="Courier New" w:cs="Courier New"/>
      <w:kern w:val="2"/>
      <w:sz w:val="21"/>
      <w:szCs w:val="21"/>
    </w:rPr>
  </w:style>
  <w:style w:type="character" w:customStyle="1" w:styleId="55">
    <w:name w:val="日期 字符1"/>
    <w:link w:val="18"/>
    <w:qFormat/>
    <w:locked/>
    <w:uiPriority w:val="0"/>
    <w:rPr>
      <w:rFonts w:ascii="Times New Roman" w:hAnsi="Times New Roman" w:eastAsia="宋体"/>
      <w:sz w:val="24"/>
    </w:rPr>
  </w:style>
  <w:style w:type="character" w:customStyle="1" w:styleId="56">
    <w:name w:val="批注框文本 字符"/>
    <w:link w:val="22"/>
    <w:semiHidden/>
    <w:qFormat/>
    <w:locked/>
    <w:uiPriority w:val="0"/>
    <w:rPr>
      <w:rFonts w:ascii="Times New Roman" w:hAnsi="Times New Roman" w:eastAsia="宋体"/>
      <w:sz w:val="18"/>
    </w:rPr>
  </w:style>
  <w:style w:type="character" w:customStyle="1" w:styleId="57">
    <w:name w:val="页脚 字符1"/>
    <w:link w:val="23"/>
    <w:qFormat/>
    <w:locked/>
    <w:uiPriority w:val="99"/>
    <w:rPr>
      <w:sz w:val="18"/>
    </w:rPr>
  </w:style>
  <w:style w:type="character" w:customStyle="1" w:styleId="58">
    <w:name w:val="页眉 字符"/>
    <w:link w:val="24"/>
    <w:qFormat/>
    <w:locked/>
    <w:uiPriority w:val="0"/>
    <w:rPr>
      <w:sz w:val="18"/>
    </w:rPr>
  </w:style>
  <w:style w:type="character" w:customStyle="1" w:styleId="59">
    <w:name w:val="普通(网站) 字符1"/>
    <w:link w:val="29"/>
    <w:qFormat/>
    <w:locked/>
    <w:uiPriority w:val="0"/>
    <w:rPr>
      <w:rFonts w:ascii="宋体" w:hAnsi="宋体" w:eastAsia="宋体"/>
      <w:sz w:val="24"/>
    </w:rPr>
  </w:style>
  <w:style w:type="character" w:customStyle="1" w:styleId="60">
    <w:name w:val="批注主题 字符"/>
    <w:link w:val="30"/>
    <w:semiHidden/>
    <w:qFormat/>
    <w:locked/>
    <w:uiPriority w:val="0"/>
    <w:rPr>
      <w:rFonts w:ascii="Times New Roman" w:hAnsi="Times New Roman" w:eastAsia="宋体"/>
      <w:b/>
      <w:kern w:val="2"/>
      <w:sz w:val="24"/>
    </w:rPr>
  </w:style>
  <w:style w:type="character" w:customStyle="1" w:styleId="61">
    <w:name w:val="16"/>
    <w:qFormat/>
    <w:uiPriority w:val="0"/>
    <w:rPr>
      <w:rFonts w:hint="default" w:ascii="Times New Roman" w:hAnsi="Times New Roman" w:cs="Times New Roman"/>
      <w:color w:val="000000"/>
      <w:sz w:val="20"/>
      <w:szCs w:val="20"/>
    </w:rPr>
  </w:style>
  <w:style w:type="character" w:customStyle="1" w:styleId="62">
    <w:name w:val="日期 字符"/>
    <w:semiHidden/>
    <w:qFormat/>
    <w:uiPriority w:val="0"/>
    <w:rPr>
      <w:rFonts w:ascii="Times New Roman" w:hAnsi="Times New Roman" w:eastAsia="宋体"/>
      <w:sz w:val="24"/>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character" w:customStyle="1" w:styleId="65">
    <w:name w:val="页脚 字符"/>
    <w:qFormat/>
    <w:uiPriority w:val="99"/>
  </w:style>
  <w:style w:type="character" w:customStyle="1" w:styleId="66">
    <w:name w:val="表格 Char"/>
    <w:link w:val="67"/>
    <w:qFormat/>
    <w:locked/>
    <w:uiPriority w:val="0"/>
    <w:rPr>
      <w:rFonts w:ascii="宋体"/>
      <w:sz w:val="21"/>
    </w:rPr>
  </w:style>
  <w:style w:type="paragraph" w:customStyle="1" w:styleId="67">
    <w:name w:val="表格"/>
    <w:basedOn w:val="1"/>
    <w:next w:val="1"/>
    <w:link w:val="66"/>
    <w:qFormat/>
    <w:uiPriority w:val="0"/>
    <w:pPr>
      <w:adjustRightInd w:val="0"/>
      <w:snapToGrid w:val="0"/>
      <w:spacing w:beforeLines="10" w:afterLines="10" w:line="259" w:lineRule="auto"/>
      <w:jc w:val="center"/>
    </w:pPr>
    <w:rPr>
      <w:rFonts w:ascii="宋体"/>
      <w:kern w:val="0"/>
      <w:szCs w:val="20"/>
    </w:rPr>
  </w:style>
  <w:style w:type="character" w:customStyle="1" w:styleId="68">
    <w:name w:val="15"/>
    <w:qFormat/>
    <w:uiPriority w:val="0"/>
    <w:rPr>
      <w:rFonts w:ascii="Times New Roman" w:hAnsi="Times New Roman" w:eastAsia="宋体" w:cs="Times New Roman"/>
      <w:color w:val="000000"/>
    </w:rPr>
  </w:style>
  <w:style w:type="paragraph" w:customStyle="1" w:styleId="69">
    <w:name w:val="表内样式"/>
    <w:basedOn w:val="1"/>
    <w:next w:val="1"/>
    <w:qFormat/>
    <w:uiPriority w:val="0"/>
    <w:pPr>
      <w:jc w:val="center"/>
    </w:pPr>
    <w:rPr>
      <w:kern w:val="0"/>
    </w:rPr>
  </w:style>
  <w:style w:type="paragraph" w:customStyle="1" w:styleId="70">
    <w:name w:val="大表格标题"/>
    <w:basedOn w:val="1"/>
    <w:qFormat/>
    <w:uiPriority w:val="0"/>
    <w:pPr>
      <w:jc w:val="center"/>
    </w:pPr>
    <w:rPr>
      <w:b/>
      <w:bCs/>
      <w:sz w:val="24"/>
    </w:rPr>
  </w:style>
  <w:style w:type="paragraph" w:customStyle="1" w:styleId="71">
    <w:name w:val="2级"/>
    <w:basedOn w:val="70"/>
    <w:qFormat/>
    <w:uiPriority w:val="0"/>
    <w:pPr>
      <w:widowControl w:val="0"/>
      <w:spacing w:line="520" w:lineRule="exact"/>
      <w:ind w:firstLine="200" w:firstLineChars="200"/>
    </w:pPr>
    <w:rPr>
      <w:rFonts w:ascii="Times New Roman" w:hAnsi="Times New Roman" w:eastAsia="宋体" w:cs="Times New Roman"/>
      <w:szCs w:val="24"/>
    </w:rPr>
  </w:style>
  <w:style w:type="paragraph" w:customStyle="1" w:styleId="72">
    <w:name w:val="报告书正文"/>
    <w:basedOn w:val="1"/>
    <w:link w:val="169"/>
    <w:qFormat/>
    <w:uiPriority w:val="0"/>
    <w:pPr>
      <w:adjustRightInd w:val="0"/>
      <w:snapToGrid w:val="0"/>
      <w:ind w:firstLine="425"/>
      <w:textAlignment w:val="baseline"/>
    </w:pPr>
    <w:rPr>
      <w:rFonts w:hAnsi="Arial"/>
    </w:rPr>
  </w:style>
  <w:style w:type="paragraph" w:customStyle="1" w:styleId="7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5">
    <w:name w:val="样式5"/>
    <w:basedOn w:val="76"/>
    <w:qFormat/>
    <w:uiPriority w:val="0"/>
    <w:pPr>
      <w:widowControl w:val="0"/>
      <w:tabs>
        <w:tab w:val="left" w:pos="420"/>
        <w:tab w:val="left" w:pos="1260"/>
      </w:tabs>
      <w:ind w:left="420" w:hanging="420"/>
      <w:jc w:val="both"/>
    </w:pPr>
    <w:rPr>
      <w:rFonts w:ascii="Times New Roman" w:hAnsi="Times New Roman" w:eastAsia="宋体" w:cs="Times New Roman"/>
      <w:kern w:val="0"/>
      <w:sz w:val="20"/>
      <w:szCs w:val="20"/>
    </w:rPr>
  </w:style>
  <w:style w:type="paragraph" w:customStyle="1" w:styleId="76">
    <w:name w:val="样式12"/>
    <w:basedOn w:val="1"/>
    <w:qFormat/>
    <w:uiPriority w:val="0"/>
    <w:pPr>
      <w:spacing w:line="360" w:lineRule="auto"/>
    </w:pPr>
    <w:rPr>
      <w:rFonts w:ascii="Arial" w:hAnsi="Arial" w:cs="Arial"/>
      <w:b/>
      <w:bCs/>
      <w:sz w:val="24"/>
      <w:szCs w:val="24"/>
    </w:rPr>
  </w:style>
  <w:style w:type="paragraph" w:customStyle="1" w:styleId="77">
    <w:name w:val="表内"/>
    <w:basedOn w:val="1"/>
    <w:qFormat/>
    <w:uiPriority w:val="0"/>
    <w:pPr>
      <w:spacing w:line="360" w:lineRule="auto"/>
      <w:ind w:firstLine="482"/>
    </w:pPr>
    <w:rPr>
      <w:rFonts w:ascii="Times New Roman" w:hAnsi="Times New Roman"/>
    </w:rPr>
  </w:style>
  <w:style w:type="paragraph" w:customStyle="1" w:styleId="78">
    <w:name w:val="新表"/>
    <w:basedOn w:val="1"/>
    <w:qFormat/>
    <w:uiPriority w:val="0"/>
    <w:pPr>
      <w:spacing w:line="360" w:lineRule="exact"/>
    </w:pPr>
    <w:rPr>
      <w:rFonts w:eastAsia="仿宋_GB2312"/>
      <w:bCs/>
      <w:kern w:val="0"/>
      <w:sz w:val="24"/>
    </w:rPr>
  </w:style>
  <w:style w:type="paragraph" w:customStyle="1" w:styleId="79">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80">
    <w:name w:val="普通(网站) 字符"/>
    <w:qFormat/>
    <w:uiPriority w:val="0"/>
    <w:rPr>
      <w:rFonts w:ascii="宋体" w:hAnsi="宋体" w:cs="宋体"/>
      <w:sz w:val="24"/>
      <w:szCs w:val="24"/>
    </w:rPr>
  </w:style>
  <w:style w:type="paragraph" w:styleId="81">
    <w:name w:val="No Spacing"/>
    <w:qFormat/>
    <w:uiPriority w:val="0"/>
    <w:rPr>
      <w:rFonts w:ascii="Times New Roman" w:hAnsi="Times New Roman" w:eastAsia="宋体" w:cs="Times New Roman"/>
      <w:sz w:val="22"/>
      <w:szCs w:val="21"/>
      <w:lang w:val="en-US" w:eastAsia="zh-CN" w:bidi="ar-SA"/>
    </w:rPr>
  </w:style>
  <w:style w:type="character" w:customStyle="1" w:styleId="82">
    <w:name w:val="t_tag"/>
    <w:qFormat/>
    <w:uiPriority w:val="0"/>
  </w:style>
  <w:style w:type="paragraph" w:customStyle="1" w:styleId="83">
    <w:name w:val="应表格"/>
    <w:basedOn w:val="1"/>
    <w:qFormat/>
    <w:uiPriority w:val="0"/>
    <w:pPr>
      <w:widowControl/>
      <w:adjustRightInd w:val="0"/>
      <w:snapToGrid w:val="0"/>
      <w:spacing w:line="400" w:lineRule="exact"/>
      <w:jc w:val="center"/>
      <w:textAlignment w:val="baseline"/>
    </w:pPr>
    <w:rPr>
      <w:rFonts w:eastAsia="仿宋"/>
      <w:kern w:val="0"/>
      <w:szCs w:val="21"/>
    </w:rPr>
  </w:style>
  <w:style w:type="character" w:customStyle="1" w:styleId="84">
    <w:name w:val="批注文字 字符"/>
    <w:semiHidden/>
    <w:qFormat/>
    <w:uiPriority w:val="99"/>
    <w:rPr>
      <w:kern w:val="2"/>
      <w:sz w:val="21"/>
      <w:szCs w:val="22"/>
    </w:rPr>
  </w:style>
  <w:style w:type="character" w:customStyle="1" w:styleId="85">
    <w:name w:val="正文文本 Char"/>
    <w:qFormat/>
    <w:locked/>
    <w:uiPriority w:val="0"/>
    <w:rPr>
      <w:sz w:val="18"/>
    </w:rPr>
  </w:style>
  <w:style w:type="paragraph" w:customStyle="1" w:styleId="86">
    <w:name w:val="纯文本1"/>
    <w:basedOn w:val="1"/>
    <w:qFormat/>
    <w:uiPriority w:val="0"/>
    <w:pPr>
      <w:adjustRightInd w:val="0"/>
    </w:pPr>
    <w:rPr>
      <w:rFonts w:ascii="宋体" w:hAnsi="Courier New"/>
      <w:szCs w:val="20"/>
    </w:rPr>
  </w:style>
  <w:style w:type="paragraph" w:customStyle="1" w:styleId="87">
    <w:name w:val="样式35"/>
    <w:basedOn w:val="88"/>
    <w:next w:val="90"/>
    <w:qFormat/>
    <w:uiPriority w:val="0"/>
    <w:pPr>
      <w:tabs>
        <w:tab w:val="left" w:pos="0"/>
        <w:tab w:val="left" w:pos="360"/>
        <w:tab w:val="left" w:pos="540"/>
        <w:tab w:val="left" w:pos="567"/>
      </w:tabs>
      <w:spacing w:line="312" w:lineRule="auto"/>
      <w:ind w:firstLine="567"/>
    </w:pPr>
    <w:rPr>
      <w:rFonts w:ascii="宋体"/>
      <w:sz w:val="28"/>
    </w:rPr>
  </w:style>
  <w:style w:type="paragraph" w:customStyle="1" w:styleId="88">
    <w:name w:val="样式26"/>
    <w:basedOn w:val="89"/>
    <w:qFormat/>
    <w:uiPriority w:val="0"/>
    <w:pPr>
      <w:tabs>
        <w:tab w:val="left" w:pos="0"/>
        <w:tab w:val="left" w:pos="360"/>
        <w:tab w:val="left" w:pos="540"/>
        <w:tab w:val="left" w:pos="567"/>
      </w:tabs>
    </w:pPr>
  </w:style>
  <w:style w:type="paragraph" w:customStyle="1" w:styleId="89">
    <w:name w:val="样式21"/>
    <w:basedOn w:val="75"/>
    <w:qFormat/>
    <w:uiPriority w:val="0"/>
    <w:pPr>
      <w:tabs>
        <w:tab w:val="left" w:pos="360"/>
        <w:tab w:val="left" w:pos="567"/>
        <w:tab w:val="clear" w:pos="420"/>
        <w:tab w:val="clear" w:pos="1260"/>
      </w:tabs>
      <w:spacing w:before="120" w:beforeLines="0" w:after="120" w:afterLines="0"/>
      <w:ind w:hanging="992"/>
    </w:pPr>
  </w:style>
  <w:style w:type="paragraph" w:customStyle="1" w:styleId="90">
    <w:name w:val="font6"/>
    <w:basedOn w:val="1"/>
    <w:next w:val="28"/>
    <w:qFormat/>
    <w:uiPriority w:val="0"/>
    <w:pPr>
      <w:widowControl/>
      <w:spacing w:before="280" w:after="280" w:line="240" w:lineRule="auto"/>
      <w:ind w:firstLine="0"/>
    </w:pPr>
    <w:rPr>
      <w:sz w:val="21"/>
    </w:rPr>
  </w:style>
  <w:style w:type="paragraph" w:customStyle="1" w:styleId="91">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92">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93">
    <w:name w:val="正文 首行缩进:  2 字符"/>
    <w:basedOn w:val="1"/>
    <w:qFormat/>
    <w:uiPriority w:val="0"/>
    <w:pPr>
      <w:ind w:firstLine="579" w:firstLineChars="200"/>
    </w:pPr>
    <w:rPr>
      <w:rFonts w:cs="宋体"/>
    </w:rPr>
  </w:style>
  <w:style w:type="paragraph" w:customStyle="1" w:styleId="94">
    <w:name w:val="Table Paragraph"/>
    <w:basedOn w:val="1"/>
    <w:qFormat/>
    <w:uiPriority w:val="0"/>
  </w:style>
  <w:style w:type="paragraph" w:customStyle="1" w:styleId="95">
    <w:name w:val="环评表头"/>
    <w:basedOn w:val="1"/>
    <w:qFormat/>
    <w:uiPriority w:val="0"/>
    <w:pPr>
      <w:widowControl/>
      <w:spacing w:line="240" w:lineRule="auto"/>
      <w:ind w:firstLine="0" w:firstLineChars="0"/>
      <w:jc w:val="center"/>
    </w:pPr>
    <w:rPr>
      <w:b/>
      <w:kern w:val="0"/>
      <w:szCs w:val="20"/>
    </w:rPr>
  </w:style>
  <w:style w:type="paragraph" w:customStyle="1" w:styleId="96">
    <w:name w:val="1 正文"/>
    <w:basedOn w:val="1"/>
    <w:qFormat/>
    <w:uiPriority w:val="0"/>
    <w:pPr>
      <w:spacing w:line="360" w:lineRule="auto"/>
      <w:ind w:firstLine="200" w:firstLineChars="200"/>
    </w:pPr>
    <w:rPr>
      <w:kern w:val="0"/>
      <w:sz w:val="24"/>
      <w:szCs w:val="20"/>
    </w:rPr>
  </w:style>
  <w:style w:type="paragraph" w:customStyle="1" w:styleId="97">
    <w:name w:val="正文文字"/>
    <w:basedOn w:val="1"/>
    <w:qFormat/>
    <w:uiPriority w:val="0"/>
    <w:pPr>
      <w:spacing w:line="560" w:lineRule="exact"/>
      <w:ind w:firstLine="200" w:firstLineChars="200"/>
    </w:pPr>
    <w:rPr>
      <w:rFonts w:ascii="宋体" w:hAnsi="宋体"/>
      <w:sz w:val="24"/>
      <w:szCs w:val="20"/>
    </w:rPr>
  </w:style>
  <w:style w:type="table" w:customStyle="1" w:styleId="98">
    <w:name w:val="Table Normal"/>
    <w:unhideWhenUsed/>
    <w:qFormat/>
    <w:uiPriority w:val="0"/>
    <w:tblPr>
      <w:tblCellMar>
        <w:top w:w="0" w:type="dxa"/>
        <w:left w:w="0" w:type="dxa"/>
        <w:bottom w:w="0" w:type="dxa"/>
        <w:right w:w="0" w:type="dxa"/>
      </w:tblCellMar>
    </w:tblPr>
  </w:style>
  <w:style w:type="paragraph" w:customStyle="1" w:styleId="99">
    <w:name w:val="表格文字"/>
    <w:basedOn w:val="31"/>
    <w:next w:val="100"/>
    <w:qFormat/>
    <w:uiPriority w:val="0"/>
    <w:pPr>
      <w:snapToGrid w:val="0"/>
      <w:spacing w:line="360" w:lineRule="auto"/>
      <w:ind w:firstLine="0" w:firstLineChars="0"/>
      <w:jc w:val="center"/>
    </w:pPr>
    <w:rPr>
      <w:rFonts w:ascii="Times New Roman" w:hAnsi="Times New Roman" w:eastAsia="宋体"/>
      <w:sz w:val="21"/>
      <w:szCs w:val="21"/>
    </w:rPr>
  </w:style>
  <w:style w:type="paragraph" w:customStyle="1" w:styleId="100">
    <w:name w:val="表格名称"/>
    <w:qFormat/>
    <w:uiPriority w:val="0"/>
    <w:pPr>
      <w:jc w:val="center"/>
    </w:pPr>
    <w:rPr>
      <w:rFonts w:ascii="Times New Roman" w:hAnsi="Times New Roman" w:eastAsia="宋体" w:cs="Times New Roman"/>
      <w:sz w:val="21"/>
      <w:szCs w:val="21"/>
      <w:lang w:val="en-US" w:eastAsia="zh-CN" w:bidi="ar-SA"/>
    </w:rPr>
  </w:style>
  <w:style w:type="paragraph" w:customStyle="1" w:styleId="101">
    <w:name w:val="表字体"/>
    <w:basedOn w:val="1"/>
    <w:next w:val="1"/>
    <w:qFormat/>
    <w:uiPriority w:val="0"/>
    <w:pPr>
      <w:jc w:val="center"/>
    </w:pPr>
    <w:rPr>
      <w:rFonts w:ascii="Times New Roman" w:hAnsi="Times New Roman" w:eastAsia="宋体"/>
    </w:rPr>
  </w:style>
  <w:style w:type="paragraph" w:customStyle="1" w:styleId="102">
    <w:name w:val="样式 (符号) 宋体 小四 行距: 1.5 倍行距"/>
    <w:basedOn w:val="1"/>
    <w:qFormat/>
    <w:uiPriority w:val="0"/>
    <w:pPr>
      <w:spacing w:line="360" w:lineRule="auto"/>
      <w:ind w:firstLine="480" w:firstLineChars="200"/>
    </w:pPr>
    <w:rPr>
      <w:rFonts w:ascii="Calibri" w:hAnsi="宋体" w:cs="宋体"/>
      <w:sz w:val="24"/>
      <w:szCs w:val="21"/>
    </w:rPr>
  </w:style>
  <w:style w:type="paragraph" w:customStyle="1" w:styleId="103">
    <w:name w:val="表中文字"/>
    <w:basedOn w:val="1"/>
    <w:qFormat/>
    <w:uiPriority w:val="0"/>
    <w:pPr>
      <w:adjustRightInd w:val="0"/>
      <w:snapToGrid w:val="0"/>
      <w:jc w:val="center"/>
    </w:pPr>
    <w:rPr>
      <w:bCs/>
    </w:rPr>
  </w:style>
  <w:style w:type="paragraph" w:customStyle="1" w:styleId="104">
    <w:name w:val="UserStyle_0"/>
    <w:basedOn w:val="105"/>
    <w:next w:val="1"/>
    <w:qFormat/>
    <w:uiPriority w:val="0"/>
    <w:pPr>
      <w:jc w:val="both"/>
      <w:textAlignment w:val="baseline"/>
    </w:pPr>
    <w:rPr>
      <w:rFonts w:ascii="黑体" w:hAnsi="Courier New" w:eastAsia="黑体"/>
      <w:color w:val="000000"/>
      <w:kern w:val="2"/>
      <w:sz w:val="24"/>
      <w:szCs w:val="24"/>
      <w:lang w:val="en-US" w:eastAsia="zh-CN" w:bidi="ar-SA"/>
    </w:rPr>
  </w:style>
  <w:style w:type="paragraph" w:customStyle="1" w:styleId="105">
    <w:name w:val="UserStyle_1"/>
    <w:basedOn w:val="1"/>
    <w:qFormat/>
    <w:uiPriority w:val="0"/>
    <w:pPr>
      <w:jc w:val="both"/>
      <w:textAlignment w:val="baseline"/>
    </w:pPr>
    <w:rPr>
      <w:rFonts w:ascii="宋体" w:hAnsi="Courier New"/>
      <w:kern w:val="2"/>
      <w:sz w:val="21"/>
      <w:szCs w:val="24"/>
      <w:lang w:val="en-US" w:eastAsia="zh-CN" w:bidi="ar-SA"/>
    </w:rPr>
  </w:style>
  <w:style w:type="paragraph" w:customStyle="1" w:styleId="106">
    <w:name w:val="报告文本"/>
    <w:basedOn w:val="1"/>
    <w:qFormat/>
    <w:uiPriority w:val="0"/>
    <w:pPr>
      <w:widowControl/>
      <w:spacing w:line="360" w:lineRule="auto"/>
      <w:ind w:firstLine="200" w:firstLineChars="200"/>
      <w:jc w:val="left"/>
    </w:pPr>
    <w:rPr>
      <w:rFonts w:ascii="Times New Roman" w:hAnsi="Times New Roman" w:eastAsia="宋体" w:cs="Times New Roman"/>
      <w:kern w:val="0"/>
      <w:sz w:val="24"/>
    </w:rPr>
  </w:style>
  <w:style w:type="paragraph" w:customStyle="1" w:styleId="107">
    <w:name w:val="样式 (中文) 仿宋_GB2312 四号 行距:正文1"/>
    <w:basedOn w:val="1"/>
    <w:qFormat/>
    <w:uiPriority w:val="0"/>
    <w:pPr>
      <w:adjustRightInd w:val="0"/>
      <w:snapToGrid w:val="0"/>
      <w:spacing w:line="360" w:lineRule="auto"/>
      <w:ind w:firstLine="480" w:firstLineChars="200"/>
    </w:pPr>
    <w:rPr>
      <w:rFonts w:eastAsia="仿宋"/>
      <w:sz w:val="24"/>
      <w:szCs w:val="24"/>
      <w:lang w:val="zh-CN"/>
    </w:rPr>
  </w:style>
  <w:style w:type="paragraph" w:customStyle="1" w:styleId="108">
    <w:name w:val="常用原表字体"/>
    <w:basedOn w:val="1"/>
    <w:next w:val="1"/>
    <w:qFormat/>
    <w:uiPriority w:val="0"/>
    <w:rPr>
      <w:b/>
      <w:bCs/>
      <w:kern w:val="28"/>
      <w:sz w:val="24"/>
      <w:szCs w:val="20"/>
    </w:rPr>
  </w:style>
  <w:style w:type="paragraph" w:customStyle="1" w:styleId="109">
    <w:name w:val="正文正本 + 宋体"/>
    <w:basedOn w:val="1"/>
    <w:qFormat/>
    <w:uiPriority w:val="0"/>
    <w:pPr>
      <w:widowControl/>
      <w:spacing w:line="360" w:lineRule="auto"/>
      <w:ind w:firstLine="510"/>
      <w:jc w:val="left"/>
    </w:pPr>
    <w:rPr>
      <w:rFonts w:ascii="宋体" w:hAnsi="宋体"/>
      <w:kern w:val="0"/>
      <w:sz w:val="24"/>
      <w:szCs w:val="24"/>
    </w:rPr>
  </w:style>
  <w:style w:type="paragraph" w:customStyle="1" w:styleId="110">
    <w:name w:val="（正文）"/>
    <w:basedOn w:val="16"/>
    <w:qFormat/>
    <w:uiPriority w:val="0"/>
    <w:pPr>
      <w:tabs>
        <w:tab w:val="left" w:pos="0"/>
      </w:tabs>
      <w:adjustRightInd w:val="0"/>
      <w:spacing w:line="360" w:lineRule="auto"/>
      <w:ind w:firstLine="200" w:firstLineChars="200"/>
    </w:pPr>
    <w:rPr>
      <w:rFonts w:ascii="Calibri" w:hAnsi="Calibri"/>
      <w:sz w:val="24"/>
      <w:szCs w:val="22"/>
    </w:rPr>
  </w:style>
  <w:style w:type="paragraph" w:customStyle="1" w:styleId="111">
    <w:name w:val="xl30"/>
    <w:basedOn w:val="1"/>
    <w:qFormat/>
    <w:uiPriority w:val="0"/>
    <w:pPr>
      <w:widowControl/>
      <w:pBdr>
        <w:left w:val="single" w:color="auto" w:sz="12" w:space="0"/>
        <w:right w:val="single" w:color="auto" w:sz="4" w:space="0"/>
      </w:pBdr>
      <w:spacing w:before="100" w:after="100"/>
      <w:jc w:val="center"/>
    </w:pPr>
    <w:rPr>
      <w:rFonts w:ascii="宋体" w:hAnsi="宋体"/>
      <w:kern w:val="0"/>
      <w:sz w:val="24"/>
      <w:szCs w:val="20"/>
    </w:rPr>
  </w:style>
  <w:style w:type="paragraph" w:customStyle="1" w:styleId="112">
    <w:name w:val="正文格式"/>
    <w:basedOn w:val="1"/>
    <w:qFormat/>
    <w:uiPriority w:val="0"/>
    <w:pPr>
      <w:spacing w:line="360" w:lineRule="auto"/>
      <w:ind w:firstLine="482"/>
    </w:pPr>
    <w:rPr>
      <w:rFonts w:ascii="宋体" w:hAnsi="宋体"/>
      <w:sz w:val="24"/>
    </w:rPr>
  </w:style>
  <w:style w:type="paragraph" w:customStyle="1" w:styleId="113">
    <w:name w:val="文本"/>
    <w:qFormat/>
    <w:uiPriority w:val="0"/>
    <w:pPr>
      <w:spacing w:line="360" w:lineRule="auto"/>
      <w:ind w:firstLine="200" w:firstLineChars="200"/>
    </w:pPr>
    <w:rPr>
      <w:rFonts w:ascii="仿宋_GB2312" w:hAnsi="仿宋_GB2312" w:eastAsia="仿宋_GB2312" w:cs="Times New Roman"/>
      <w:kern w:val="2"/>
      <w:sz w:val="24"/>
      <w:lang w:val="en-US" w:eastAsia="zh-CN" w:bidi="ar-SA"/>
    </w:rPr>
  </w:style>
  <w:style w:type="paragraph" w:customStyle="1" w:styleId="114">
    <w:name w:val="ZZW"/>
    <w:basedOn w:val="1"/>
    <w:qFormat/>
    <w:uiPriority w:val="0"/>
    <w:pPr>
      <w:widowControl/>
      <w:spacing w:line="360" w:lineRule="auto"/>
      <w:ind w:firstLine="200" w:firstLineChars="200"/>
      <w:jc w:val="left"/>
    </w:pPr>
    <w:rPr>
      <w:kern w:val="0"/>
      <w:sz w:val="24"/>
      <w:szCs w:val="20"/>
    </w:rPr>
  </w:style>
  <w:style w:type="paragraph" w:customStyle="1" w:styleId="115">
    <w:name w:val="1正文"/>
    <w:basedOn w:val="1"/>
    <w:qFormat/>
    <w:uiPriority w:val="0"/>
    <w:pPr>
      <w:spacing w:line="360" w:lineRule="auto"/>
      <w:ind w:firstLine="200" w:firstLineChars="200"/>
    </w:pPr>
    <w:rPr>
      <w:sz w:val="24"/>
      <w:szCs w:val="20"/>
    </w:rPr>
  </w:style>
  <w:style w:type="paragraph" w:customStyle="1" w:styleId="116">
    <w:name w:val="table caption"/>
    <w:qFormat/>
    <w:uiPriority w:val="0"/>
    <w:pPr>
      <w:spacing w:before="120" w:after="120"/>
      <w:jc w:val="center"/>
    </w:pPr>
    <w:rPr>
      <w:rFonts w:ascii="Times New Roman" w:hAnsi="Times New Roman" w:eastAsia="黑体" w:cs="Times New Roman"/>
      <w:b/>
      <w:kern w:val="2"/>
      <w:sz w:val="24"/>
      <w:szCs w:val="24"/>
      <w:lang w:val="en-US" w:eastAsia="zh-CN" w:bidi="ar-SA"/>
    </w:rPr>
  </w:style>
  <w:style w:type="paragraph" w:customStyle="1" w:styleId="117">
    <w:name w:val="X-0"/>
    <w:basedOn w:val="118"/>
    <w:link w:val="120"/>
    <w:qFormat/>
    <w:uiPriority w:val="0"/>
    <w:rPr>
      <w:sz w:val="24"/>
    </w:rPr>
  </w:style>
  <w:style w:type="paragraph" w:customStyle="1" w:styleId="118">
    <w:name w:val="0-1正文"/>
    <w:basedOn w:val="1"/>
    <w:link w:val="119"/>
    <w:qFormat/>
    <w:uiPriority w:val="0"/>
    <w:pPr>
      <w:autoSpaceDE w:val="0"/>
      <w:autoSpaceDN w:val="0"/>
      <w:adjustRightInd w:val="0"/>
      <w:snapToGrid w:val="0"/>
      <w:spacing w:line="360" w:lineRule="auto"/>
      <w:ind w:firstLine="200" w:firstLineChars="200"/>
    </w:pPr>
    <w:rPr>
      <w:rFonts w:cs="宋体"/>
      <w:kern w:val="0"/>
      <w:szCs w:val="21"/>
    </w:rPr>
  </w:style>
  <w:style w:type="character" w:customStyle="1" w:styleId="119">
    <w:name w:val="0-1正文 Char"/>
    <w:basedOn w:val="35"/>
    <w:link w:val="118"/>
    <w:qFormat/>
    <w:uiPriority w:val="0"/>
    <w:rPr>
      <w:rFonts w:cs="宋体"/>
      <w:kern w:val="0"/>
      <w:szCs w:val="21"/>
    </w:rPr>
  </w:style>
  <w:style w:type="character" w:customStyle="1" w:styleId="120">
    <w:name w:val="X-0 Char"/>
    <w:basedOn w:val="119"/>
    <w:link w:val="117"/>
    <w:qFormat/>
    <w:uiPriority w:val="0"/>
    <w:rPr>
      <w:sz w:val="24"/>
    </w:rPr>
  </w:style>
  <w:style w:type="paragraph" w:customStyle="1" w:styleId="121">
    <w:name w:val="样式 样式 样式 样式 小四 左 首行缩进:  2 字符 + 首行缩进:  2 字符 Char + 右  0 字符1 + 小四..."/>
    <w:basedOn w:val="122"/>
    <w:qFormat/>
    <w:uiPriority w:val="0"/>
    <w:pPr>
      <w:ind w:firstLine="480"/>
    </w:pPr>
  </w:style>
  <w:style w:type="paragraph" w:customStyle="1" w:styleId="122">
    <w:name w:val="样式 样式 样式 小四 左 首行缩进:  2 字符 + 首行缩进:  2 字符 Char + 右  0 字符1"/>
    <w:basedOn w:val="123"/>
    <w:qFormat/>
    <w:uiPriority w:val="0"/>
    <w:pPr>
      <w:ind w:right="0" w:rightChars="0" w:firstLine="200"/>
    </w:pPr>
    <w:rPr>
      <w:sz w:val="24"/>
    </w:rPr>
  </w:style>
  <w:style w:type="paragraph" w:customStyle="1" w:styleId="123">
    <w:name w:val="样式 样式 小四 左 首行缩进:  2 字符 + 首行缩进:  2 字符 Char"/>
    <w:basedOn w:val="124"/>
    <w:qFormat/>
    <w:uiPriority w:val="0"/>
    <w:pPr>
      <w:ind w:firstLine="560"/>
    </w:pPr>
    <w:rPr>
      <w:sz w:val="28"/>
    </w:rPr>
  </w:style>
  <w:style w:type="paragraph" w:customStyle="1" w:styleId="124">
    <w:name w:val="样式 小四 左 首行缩进:  2 字符"/>
    <w:basedOn w:val="1"/>
    <w:qFormat/>
    <w:uiPriority w:val="0"/>
    <w:pPr>
      <w:adjustRightInd w:val="0"/>
      <w:spacing w:line="360" w:lineRule="auto"/>
      <w:ind w:right="-56" w:rightChars="-20" w:firstLine="480" w:firstLineChars="200"/>
      <w:jc w:val="left"/>
      <w:textAlignment w:val="baseline"/>
    </w:pPr>
    <w:rPr>
      <w:rFonts w:cs="宋体"/>
      <w:sz w:val="24"/>
    </w:rPr>
  </w:style>
  <w:style w:type="paragraph" w:customStyle="1" w:styleId="125">
    <w:name w:val="X-N"/>
    <w:basedOn w:val="1"/>
    <w:link w:val="126"/>
    <w:qFormat/>
    <w:uiPriority w:val="0"/>
    <w:pPr>
      <w:adjustRightInd w:val="0"/>
      <w:jc w:val="center"/>
    </w:pPr>
    <w:rPr>
      <w:szCs w:val="21"/>
    </w:rPr>
  </w:style>
  <w:style w:type="character" w:customStyle="1" w:styleId="126">
    <w:name w:val="X-N Char"/>
    <w:link w:val="125"/>
    <w:qFormat/>
    <w:uiPriority w:val="0"/>
    <w:rPr>
      <w:szCs w:val="21"/>
    </w:rPr>
  </w:style>
  <w:style w:type="paragraph" w:customStyle="1" w:styleId="127">
    <w:name w:val="X-W"/>
    <w:basedOn w:val="128"/>
    <w:qFormat/>
    <w:uiPriority w:val="0"/>
    <w:pPr>
      <w:spacing w:before="120" w:beforeLines="0"/>
    </w:pPr>
    <w:rPr>
      <w:sz w:val="24"/>
    </w:rPr>
  </w:style>
  <w:style w:type="paragraph" w:customStyle="1" w:styleId="128">
    <w:name w:val="0-2表外"/>
    <w:basedOn w:val="129"/>
    <w:qFormat/>
    <w:uiPriority w:val="0"/>
    <w:rPr>
      <w:color w:val="000000"/>
      <w:sz w:val="21"/>
    </w:rPr>
  </w:style>
  <w:style w:type="paragraph" w:customStyle="1" w:styleId="129">
    <w:name w:val="03表格外"/>
    <w:basedOn w:val="1"/>
    <w:qFormat/>
    <w:uiPriority w:val="0"/>
    <w:pPr>
      <w:adjustRightInd w:val="0"/>
      <w:snapToGrid w:val="0"/>
      <w:spacing w:before="50" w:beforeLines="50"/>
      <w:jc w:val="center"/>
    </w:pPr>
    <w:rPr>
      <w:b/>
      <w:sz w:val="24"/>
      <w:szCs w:val="20"/>
    </w:rPr>
  </w:style>
  <w:style w:type="paragraph" w:customStyle="1" w:styleId="130">
    <w:name w:val="X-1"/>
    <w:basedOn w:val="131"/>
    <w:qFormat/>
    <w:uiPriority w:val="0"/>
    <w:rPr>
      <w:sz w:val="24"/>
    </w:rPr>
  </w:style>
  <w:style w:type="paragraph" w:customStyle="1" w:styleId="131">
    <w:name w:val="表-2"/>
    <w:basedOn w:val="118"/>
    <w:qFormat/>
    <w:uiPriority w:val="0"/>
    <w:pPr>
      <w:ind w:firstLine="0" w:firstLineChars="0"/>
    </w:pPr>
    <w:rPr>
      <w:b/>
      <w:bCs/>
    </w:rPr>
  </w:style>
  <w:style w:type="paragraph" w:customStyle="1" w:styleId="132">
    <w:name w:val="表格内"/>
    <w:basedOn w:val="133"/>
    <w:qFormat/>
    <w:uiPriority w:val="0"/>
    <w:pPr>
      <w:adjustRightInd w:val="0"/>
      <w:jc w:val="center"/>
    </w:pPr>
    <w:rPr>
      <w:szCs w:val="21"/>
    </w:rPr>
  </w:style>
  <w:style w:type="paragraph" w:customStyle="1" w:styleId="133">
    <w:name w:val="正"/>
    <w:basedOn w:val="1"/>
    <w:qFormat/>
    <w:uiPriority w:val="0"/>
  </w:style>
  <w:style w:type="paragraph" w:customStyle="1" w:styleId="134">
    <w:name w:val="样式 样式 样式 四号 左侧:  1.53 厘米 + 首行缩进:  2 字符 + 居中 左侧:  2 字符 首行缩进:  2..."/>
    <w:basedOn w:val="135"/>
    <w:qFormat/>
    <w:uiPriority w:val="0"/>
    <w:pPr>
      <w:jc w:val="center"/>
    </w:pPr>
  </w:style>
  <w:style w:type="paragraph" w:customStyle="1" w:styleId="135">
    <w:name w:val="样式 样式 四号 左侧:  1.53 厘米 + 首行缩进:  2 字符"/>
    <w:basedOn w:val="136"/>
    <w:qFormat/>
    <w:uiPriority w:val="0"/>
    <w:pPr>
      <w:ind w:left="200" w:leftChars="200"/>
    </w:pPr>
    <w:rPr>
      <w:szCs w:val="20"/>
    </w:rPr>
  </w:style>
  <w:style w:type="paragraph" w:customStyle="1" w:styleId="136">
    <w:name w:val="样式 四号 左侧:  1.53 厘米"/>
    <w:basedOn w:val="1"/>
    <w:qFormat/>
    <w:uiPriority w:val="0"/>
    <w:pPr>
      <w:adjustRightInd w:val="0"/>
    </w:pPr>
    <w:rPr>
      <w:w w:val="90"/>
      <w:sz w:val="28"/>
      <w:szCs w:val="28"/>
    </w:rPr>
  </w:style>
  <w:style w:type="paragraph" w:customStyle="1" w:styleId="137">
    <w:name w:val="表格正文"/>
    <w:basedOn w:val="1"/>
    <w:next w:val="1"/>
    <w:qFormat/>
    <w:uiPriority w:val="0"/>
    <w:pPr>
      <w:jc w:val="center"/>
    </w:pPr>
    <w:rPr>
      <w:szCs w:val="24"/>
    </w:rPr>
  </w:style>
  <w:style w:type="paragraph" w:customStyle="1" w:styleId="138">
    <w:name w:val="X-#"/>
    <w:basedOn w:val="118"/>
    <w:qFormat/>
    <w:uiPriority w:val="0"/>
    <w:pPr>
      <w:spacing w:line="160" w:lineRule="exact"/>
      <w:ind w:firstLine="0" w:firstLineChars="0"/>
    </w:pPr>
    <w:rPr>
      <w:sz w:val="11"/>
    </w:rPr>
  </w:style>
  <w:style w:type="paragraph" w:customStyle="1" w:styleId="139">
    <w:name w:val="Date1"/>
    <w:basedOn w:val="1"/>
    <w:next w:val="1"/>
    <w:qFormat/>
    <w:uiPriority w:val="0"/>
    <w:pPr>
      <w:widowControl w:val="0"/>
      <w:adjustRightInd w:val="0"/>
      <w:jc w:val="both"/>
      <w:textAlignment w:val="baseline"/>
    </w:pPr>
    <w:rPr>
      <w:rFonts w:cs="Times New Roman"/>
      <w:kern w:val="2"/>
      <w:sz w:val="21"/>
      <w:u w:val="none" w:color="FFFFFF"/>
    </w:rPr>
  </w:style>
  <w:style w:type="paragraph" w:styleId="140">
    <w:name w:val="List Paragraph"/>
    <w:basedOn w:val="1"/>
    <w:qFormat/>
    <w:uiPriority w:val="0"/>
    <w:pPr>
      <w:widowControl w:val="0"/>
      <w:ind w:firstLine="420" w:firstLineChars="200"/>
      <w:jc w:val="both"/>
    </w:pPr>
    <w:rPr>
      <w:rFonts w:ascii="Times New Roman" w:hAnsi="Times New Roman" w:cs="Times New Roman"/>
      <w:kern w:val="2"/>
      <w:sz w:val="32"/>
    </w:rPr>
  </w:style>
  <w:style w:type="paragraph" w:customStyle="1" w:styleId="141">
    <w:name w:val="Table Text"/>
    <w:basedOn w:val="1"/>
    <w:semiHidden/>
    <w:qFormat/>
    <w:uiPriority w:val="0"/>
    <w:rPr>
      <w:rFonts w:ascii="宋体" w:hAnsi="宋体" w:eastAsia="宋体" w:cs="宋体"/>
      <w:sz w:val="20"/>
      <w:szCs w:val="20"/>
      <w:lang w:val="en-US" w:eastAsia="en-US" w:bidi="ar-SA"/>
    </w:rPr>
  </w:style>
  <w:style w:type="paragraph" w:customStyle="1" w:styleId="142">
    <w:name w:val="正文 首行缩进"/>
    <w:basedOn w:val="1"/>
    <w:qFormat/>
    <w:uiPriority w:val="0"/>
    <w:pPr>
      <w:spacing w:line="360" w:lineRule="auto"/>
      <w:ind w:firstLine="200" w:firstLineChars="200"/>
    </w:pPr>
    <w:rPr>
      <w:rFonts w:cs="宋体"/>
      <w:kern w:val="0"/>
      <w:szCs w:val="20"/>
    </w:rPr>
  </w:style>
  <w:style w:type="paragraph" w:customStyle="1" w:styleId="143">
    <w:name w:val="表格内文字"/>
    <w:basedOn w:val="1"/>
    <w:next w:val="1"/>
    <w:qFormat/>
    <w:uiPriority w:val="0"/>
    <w:pPr>
      <w:spacing w:line="240" w:lineRule="auto"/>
      <w:jc w:val="center"/>
    </w:pPr>
    <w:rPr>
      <w:spacing w:val="1"/>
      <w:kern w:val="0"/>
      <w:sz w:val="21"/>
    </w:rPr>
  </w:style>
  <w:style w:type="paragraph" w:customStyle="1" w:styleId="144">
    <w:name w:val="aa正文"/>
    <w:basedOn w:val="1"/>
    <w:qFormat/>
    <w:uiPriority w:val="0"/>
    <w:pPr>
      <w:spacing w:line="360" w:lineRule="auto"/>
      <w:ind w:firstLine="200" w:firstLineChars="200"/>
    </w:pPr>
    <w:rPr>
      <w:rFonts w:ascii="Calibri" w:hAnsi="Calibri"/>
      <w:sz w:val="24"/>
      <w:szCs w:val="24"/>
    </w:rPr>
  </w:style>
  <w:style w:type="paragraph" w:customStyle="1" w:styleId="145">
    <w:name w:val="表头1"/>
    <w:basedOn w:val="1"/>
    <w:qFormat/>
    <w:uiPriority w:val="0"/>
    <w:pPr>
      <w:spacing w:line="360" w:lineRule="auto"/>
      <w:jc w:val="center"/>
      <w:outlineLvl w:val="0"/>
    </w:pPr>
    <w:rPr>
      <w:b/>
      <w:color w:val="000000"/>
    </w:rPr>
  </w:style>
  <w:style w:type="paragraph" w:customStyle="1" w:styleId="146">
    <w:name w:val="A0正文"/>
    <w:basedOn w:val="1"/>
    <w:qFormat/>
    <w:uiPriority w:val="0"/>
    <w:pPr>
      <w:spacing w:line="560" w:lineRule="exact"/>
      <w:ind w:firstLine="200" w:firstLineChars="200"/>
    </w:pPr>
    <w:rPr>
      <w:rFonts w:cs="宋体"/>
      <w:sz w:val="24"/>
      <w:szCs w:val="20"/>
      <w:lang w:val="zh-CN"/>
    </w:rPr>
  </w:style>
  <w:style w:type="paragraph" w:customStyle="1" w:styleId="147">
    <w:name w:val="报告表正文标注文字"/>
    <w:basedOn w:val="148"/>
    <w:qFormat/>
    <w:uiPriority w:val="0"/>
    <w:pPr>
      <w:ind w:firstLine="482"/>
    </w:pPr>
    <w:rPr>
      <w:b/>
      <w:color w:val="FF0000"/>
    </w:rPr>
  </w:style>
  <w:style w:type="paragraph" w:customStyle="1" w:styleId="148">
    <w:name w:val="报告表正文"/>
    <w:basedOn w:val="1"/>
    <w:qFormat/>
    <w:uiPriority w:val="0"/>
    <w:pPr>
      <w:spacing w:line="360" w:lineRule="auto"/>
      <w:ind w:firstLine="200" w:firstLineChars="200"/>
    </w:pPr>
    <w:rPr>
      <w:color w:val="000000"/>
      <w:sz w:val="24"/>
      <w:lang w:val="zh-CN"/>
    </w:rPr>
  </w:style>
  <w:style w:type="paragraph" w:customStyle="1" w:styleId="149">
    <w:name w:val="A正文"/>
    <w:basedOn w:val="1"/>
    <w:next w:val="12"/>
    <w:qFormat/>
    <w:uiPriority w:val="0"/>
    <w:pPr>
      <w:spacing w:line="360" w:lineRule="auto"/>
      <w:ind w:firstLine="200" w:firstLineChars="200"/>
    </w:pPr>
    <w:rPr>
      <w:sz w:val="24"/>
      <w:lang w:val="zh-CN"/>
    </w:rPr>
  </w:style>
  <w:style w:type="paragraph" w:customStyle="1" w:styleId="150">
    <w:name w:val="表文(G)"/>
    <w:basedOn w:val="1"/>
    <w:qFormat/>
    <w:uiPriority w:val="0"/>
    <w:pPr>
      <w:tabs>
        <w:tab w:val="left" w:pos="1021"/>
      </w:tabs>
      <w:jc w:val="center"/>
    </w:pPr>
    <w:rPr>
      <w:rFonts w:cs="Times New Roman"/>
      <w:position w:val="-24"/>
      <w:sz w:val="21"/>
      <w:szCs w:val="21"/>
      <w:lang w:eastAsia="zh-CN"/>
    </w:rPr>
  </w:style>
  <w:style w:type="paragraph" w:customStyle="1" w:styleId="151">
    <w:name w:val="表内容"/>
    <w:basedOn w:val="1"/>
    <w:autoRedefine/>
    <w:qFormat/>
    <w:uiPriority w:val="0"/>
    <w:pPr>
      <w:adjustRightInd w:val="0"/>
      <w:snapToGrid w:val="0"/>
      <w:spacing w:line="0" w:lineRule="atLeast"/>
      <w:jc w:val="center"/>
    </w:pPr>
    <w:rPr>
      <w:rFonts w:cs="Times New Roman"/>
      <w:snapToGrid w:val="0"/>
      <w:sz w:val="20"/>
      <w:szCs w:val="21"/>
      <w:lang w:eastAsia="zh-CN"/>
    </w:rPr>
  </w:style>
  <w:style w:type="paragraph" w:customStyle="1" w:styleId="152">
    <w:name w:val="Other|1"/>
    <w:basedOn w:val="1"/>
    <w:autoRedefine/>
    <w:qFormat/>
    <w:uiPriority w:val="0"/>
    <w:pPr>
      <w:jc w:val="center"/>
    </w:pPr>
    <w:rPr>
      <w:sz w:val="20"/>
      <w:szCs w:val="20"/>
      <w:lang w:val="zh-TW" w:eastAsia="zh-TW" w:bidi="zh-TW"/>
    </w:rPr>
  </w:style>
  <w:style w:type="character" w:customStyle="1" w:styleId="153">
    <w:name w:val="font01"/>
    <w:basedOn w:val="35"/>
    <w:qFormat/>
    <w:uiPriority w:val="0"/>
    <w:rPr>
      <w:rFonts w:ascii="Segoe UI Symbol" w:hAnsi="Segoe UI Symbol" w:eastAsia="Segoe UI Symbol" w:cs="Segoe UI Symbol"/>
      <w:color w:val="000000"/>
      <w:sz w:val="21"/>
      <w:szCs w:val="21"/>
      <w:u w:val="none"/>
    </w:rPr>
  </w:style>
  <w:style w:type="paragraph" w:customStyle="1" w:styleId="154">
    <w:name w:val="正文（行首缩进2字）"/>
    <w:basedOn w:val="1"/>
    <w:qFormat/>
    <w:uiPriority w:val="0"/>
    <w:pPr>
      <w:spacing w:line="500" w:lineRule="exact"/>
      <w:ind w:firstLine="200" w:firstLineChars="200"/>
    </w:pPr>
    <w:rPr>
      <w:sz w:val="24"/>
      <w:szCs w:val="24"/>
    </w:rPr>
  </w:style>
  <w:style w:type="character" w:customStyle="1" w:styleId="155">
    <w:name w:val="font11"/>
    <w:basedOn w:val="35"/>
    <w:qFormat/>
    <w:uiPriority w:val="0"/>
    <w:rPr>
      <w:rFonts w:hint="eastAsia" w:ascii="宋体" w:hAnsi="宋体" w:eastAsia="宋体" w:cs="宋体"/>
      <w:b/>
      <w:bCs/>
      <w:color w:val="000000"/>
      <w:sz w:val="21"/>
      <w:szCs w:val="21"/>
      <w:u w:val="none"/>
    </w:rPr>
  </w:style>
  <w:style w:type="character" w:customStyle="1" w:styleId="156">
    <w:name w:val="font41"/>
    <w:basedOn w:val="35"/>
    <w:qFormat/>
    <w:uiPriority w:val="0"/>
    <w:rPr>
      <w:rFonts w:hint="default" w:ascii="Times New Roman" w:hAnsi="Times New Roman" w:cs="Times New Roman"/>
      <w:b/>
      <w:bCs/>
      <w:color w:val="000000"/>
      <w:sz w:val="21"/>
      <w:szCs w:val="21"/>
      <w:u w:val="none"/>
    </w:rPr>
  </w:style>
  <w:style w:type="character" w:customStyle="1" w:styleId="157">
    <w:name w:val="font31"/>
    <w:basedOn w:val="35"/>
    <w:qFormat/>
    <w:uiPriority w:val="0"/>
    <w:rPr>
      <w:rFonts w:hint="default" w:ascii="Times New Roman" w:hAnsi="Times New Roman" w:cs="Times New Roman"/>
      <w:color w:val="000000"/>
      <w:sz w:val="21"/>
      <w:szCs w:val="21"/>
      <w:u w:val="none"/>
    </w:rPr>
  </w:style>
  <w:style w:type="character" w:customStyle="1" w:styleId="158">
    <w:name w:val="font21"/>
    <w:basedOn w:val="35"/>
    <w:qFormat/>
    <w:uiPriority w:val="0"/>
    <w:rPr>
      <w:rFonts w:hint="eastAsia" w:ascii="宋体" w:hAnsi="宋体" w:eastAsia="宋体" w:cs="宋体"/>
      <w:color w:val="000000"/>
      <w:sz w:val="21"/>
      <w:szCs w:val="21"/>
      <w:u w:val="none"/>
    </w:rPr>
  </w:style>
  <w:style w:type="paragraph" w:customStyle="1" w:styleId="159">
    <w:name w:val="正文1"/>
    <w:basedOn w:val="1"/>
    <w:qFormat/>
    <w:uiPriority w:val="0"/>
    <w:pPr>
      <w:spacing w:line="560" w:lineRule="exact"/>
      <w:ind w:firstLine="200" w:firstLineChars="200"/>
    </w:pPr>
    <w:rPr>
      <w:rFonts w:cs="宋体"/>
      <w:color w:val="000000"/>
      <w:sz w:val="24"/>
      <w:szCs w:val="20"/>
    </w:rPr>
  </w:style>
  <w:style w:type="character" w:customStyle="1" w:styleId="160">
    <w:name w:val="font51"/>
    <w:basedOn w:val="35"/>
    <w:qFormat/>
    <w:uiPriority w:val="0"/>
    <w:rPr>
      <w:rFonts w:hint="default" w:ascii="Times New Roman" w:hAnsi="Times New Roman" w:cs="Times New Roman"/>
      <w:color w:val="000000"/>
      <w:sz w:val="21"/>
      <w:szCs w:val="21"/>
      <w:u w:val="none"/>
      <w:vertAlign w:val="subscript"/>
    </w:rPr>
  </w:style>
  <w:style w:type="character" w:customStyle="1" w:styleId="161">
    <w:name w:val="标题 1 Char"/>
    <w:link w:val="2"/>
    <w:qFormat/>
    <w:uiPriority w:val="99"/>
    <w:rPr>
      <w:rFonts w:eastAsia="黑体"/>
      <w:b/>
      <w:bCs/>
      <w:color w:val="000000"/>
      <w:kern w:val="44"/>
      <w:sz w:val="30"/>
      <w:szCs w:val="30"/>
    </w:rPr>
  </w:style>
  <w:style w:type="paragraph" w:customStyle="1" w:styleId="162">
    <w:name w:val="g表格标题"/>
    <w:qFormat/>
    <w:uiPriority w:val="0"/>
    <w:p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163">
    <w:name w:val="缩进"/>
    <w:basedOn w:val="1"/>
    <w:qFormat/>
    <w:uiPriority w:val="0"/>
    <w:pPr>
      <w:autoSpaceDE w:val="0"/>
      <w:autoSpaceDN w:val="0"/>
      <w:adjustRightInd w:val="0"/>
      <w:spacing w:line="400" w:lineRule="atLeast"/>
      <w:ind w:firstLine="425"/>
      <w:textAlignment w:val="baseline"/>
    </w:pPr>
    <w:rPr>
      <w:kern w:val="0"/>
    </w:rPr>
  </w:style>
  <w:style w:type="character" w:customStyle="1" w:styleId="164">
    <w:name w:val="font61"/>
    <w:basedOn w:val="35"/>
    <w:qFormat/>
    <w:uiPriority w:val="0"/>
    <w:rPr>
      <w:rFonts w:hint="default" w:ascii="Times New Roman" w:hAnsi="Times New Roman" w:cs="Times New Roman"/>
      <w:color w:val="000000"/>
      <w:sz w:val="21"/>
      <w:szCs w:val="21"/>
      <w:u w:val="none"/>
      <w:vertAlign w:val="subscript"/>
    </w:rPr>
  </w:style>
  <w:style w:type="paragraph" w:customStyle="1" w:styleId="165">
    <w:name w:val="环评正文"/>
    <w:basedOn w:val="1"/>
    <w:qFormat/>
    <w:uiPriority w:val="0"/>
    <w:pPr>
      <w:spacing w:line="360" w:lineRule="auto"/>
      <w:ind w:firstLine="480" w:firstLineChars="200"/>
    </w:pPr>
    <w:rPr>
      <w:sz w:val="24"/>
      <w:szCs w:val="21"/>
    </w:rPr>
  </w:style>
  <w:style w:type="character" w:customStyle="1" w:styleId="166">
    <w:name w:val="font81"/>
    <w:basedOn w:val="35"/>
    <w:qFormat/>
    <w:uiPriority w:val="0"/>
    <w:rPr>
      <w:rFonts w:hint="default" w:ascii="Times New Roman" w:hAnsi="Times New Roman" w:cs="Times New Roman"/>
      <w:b/>
      <w:bCs/>
      <w:color w:val="000000"/>
      <w:sz w:val="21"/>
      <w:szCs w:val="21"/>
      <w:u w:val="none"/>
    </w:rPr>
  </w:style>
  <w:style w:type="character" w:customStyle="1" w:styleId="167">
    <w:name w:val="NormalCharacter"/>
    <w:qFormat/>
    <w:uiPriority w:val="0"/>
  </w:style>
  <w:style w:type="paragraph" w:customStyle="1" w:styleId="168">
    <w:name w:val="1表头"/>
    <w:basedOn w:val="1"/>
    <w:qFormat/>
    <w:uiPriority w:val="0"/>
    <w:pPr>
      <w:adjustRightInd w:val="0"/>
      <w:snapToGrid w:val="0"/>
      <w:spacing w:before="62" w:beforeLines="20" w:after="62" w:afterLines="20"/>
      <w:jc w:val="center"/>
    </w:pPr>
    <w:rPr>
      <w:b/>
      <w:szCs w:val="24"/>
    </w:rPr>
  </w:style>
  <w:style w:type="character" w:customStyle="1" w:styleId="169">
    <w:name w:val="报告书正文 Char"/>
    <w:link w:val="72"/>
    <w:qFormat/>
    <w:uiPriority w:val="0"/>
    <w:rPr>
      <w:rFonts w:hAnsi="Arial"/>
    </w:rPr>
  </w:style>
  <w:style w:type="paragraph" w:customStyle="1" w:styleId="170">
    <w:name w:val="表文电化"/>
    <w:basedOn w:val="1"/>
    <w:qFormat/>
    <w:uiPriority w:val="0"/>
    <w:pPr>
      <w:spacing w:before="48" w:after="48" w:line="240" w:lineRule="auto"/>
      <w:ind w:firstLine="0" w:firstLineChars="0"/>
      <w:jc w:val="center"/>
    </w:pPr>
    <w:rPr>
      <w:rFonts w:cs="宋体"/>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w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EwMDQwMjkyOTI3IiwKCSJHcm91cElkIiA6ICIzNDM5ODcwODIiLAoJIkltYWdlIiA6ICJpVkJPUncwS0dnb0FBQUFOU1VoRVVnQUFBME1BQUFGTkNBWUFBQURDVmJTMkFBQUFBWE5TUjBJQXJzNGM2UUFBSUFCSlJFRlVlSnpzM1hkNFZGWCtCdkQzM0NtWmhKclFncUJFQ1FRQ0NYTW5pS0xvU2hlRVZWRUJnYlVBcnF4Z2QwVlJGQkJXcFFrQ1ltRlJFZmtKcTRJS2dpRGcwaEdTU2FOSk1VQ0FoSVFVSUgzbW50OGZ5Y3ltVENvSmsyVGV6L1B3UUc3OURwb3c3NXh6dndj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ZweCtmK3loUW42MkR5MmNRQUFBQUJKUlU1RXJrSmdnZz09IiwKCSJUaGVtZSIgOiAiIiwKCSJUeXBlIiA6ICJmbG93IiwKCSJVc2VySWQiIDogIjM1MzMzMTgwNyIsCgkiVmVyc2lvbiIgOiAiNTciCn0K"/>
    </extobj>
    <extobj name="ECB019B1-382A-4266-B25C-5B523AA43C14-2">
      <extobjdata type="ECB019B1-382A-4266-B25C-5B523AA43C14" data="ewoJIkZpbGVJZCIgOiAiNDg3Mjc5MDY1OTk4IiwKCSJHcm91cElkIiA6ICIzNDM5ODcwODI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MzUzMzMxODA3IiwKCSJWZXJzaW9uIiA6ICIzNCIKfQo="/>
    </extobj>
    <extobj name="ECB019B1-382A-4266-B25C-5B523AA43C14-3">
      <extobjdata type="ECB019B1-382A-4266-B25C-5B523AA43C14" data="ewoJIkZpbGVJZCIgOiAiNDg3MzAzNjA2Nzc3IiwKCSJHcm91cElkIiA6ICIzNDM5ODcwODI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MzUzMzMxODA3IiwKCSJWZXJzaW9uIiA6ICIyMyIKfQo="/>
    </extobj>
    <extobj name="ECB019B1-382A-4266-B25C-5B523AA43C14-4">
      <extobjdata type="ECB019B1-382A-4266-B25C-5B523AA43C14" data="ewoJIkZpbGVJZCIgOiAiMzY1MTMxNTg1ODI0IiwKCSJHcm91cElkIiA6ICIzNDM5ODcwODI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MzUzMzMxODA3IiwKCSJWZXJzaW9uIiA6ICI1NCIKfQo="/>
    </extobj>
    <extobj name="ECB019B1-382A-4266-B25C-5B523AA43C14-5">
      <extobjdata type="ECB019B1-382A-4266-B25C-5B523AA43C14" data="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90</Pages>
  <Words>18115</Words>
  <Characters>19603</Characters>
  <Lines>325</Lines>
  <Paragraphs>91</Paragraphs>
  <TotalTime>3</TotalTime>
  <ScaleCrop>false</ScaleCrop>
  <LinksUpToDate>false</LinksUpToDate>
  <CharactersWithSpaces>19757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2021-03-30T05:26:00Z</dcterms:created>
  <dc:creator>lhj</dc:creator>
  <cp:lastModifiedBy>2025</cp:lastModifiedBy>
  <cp:lastPrinted>2021-04-21T02:38:00Z</cp:lastPrinted>
  <dcterms:modified xsi:type="dcterms:W3CDTF">2026-02-10T08:40:20Z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EC8459E8B7CA49E491853A6C57CFA9F8_13</vt:lpwstr>
  </property>
  <property fmtid="{D5CDD505-2E9C-101B-9397-08002B2CF9AE}" pid="4" name="KSOTemplateDocerSaveRecord">
    <vt:lpwstr>eyJoZGlkIjoiZDhkMWQ3Yjg0OGM3N2U0ZjNlNDE4YTRkMzA1Njc0YWYiLCJ1c2VySWQiOiIzNTMzMzE4MDcifQ==</vt:lpwstr>
  </property>
</Properties>
</file>