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
        <w:rPr>
          <w:rFonts w:ascii="Times New Roman" w:hAnsi="Times New Roman"/>
          <w:color w:val="auto"/>
          <w:u w:val="none"/>
        </w:rPr>
      </w:pPr>
    </w:p>
    <w:p>
      <w:pPr>
        <w:pStyle w:val="11"/>
        <w:ind w:firstLine="480"/>
        <w:rPr>
          <w:rFonts w:ascii="Times New Roman" w:hAnsi="Times New Roman"/>
          <w:color w:val="auto"/>
          <w:sz w:val="24"/>
          <w:szCs w:val="24"/>
          <w:u w:val="none"/>
        </w:rPr>
      </w:pPr>
    </w:p>
    <w:p>
      <w:pPr>
        <w:adjustRightInd w:val="0"/>
        <w:snapToGrid w:val="0"/>
        <w:ind w:firstLine="0" w:firstLineChars="0"/>
        <w:jc w:val="center"/>
        <w:rPr>
          <w:rFonts w:ascii="Times New Roman" w:hAnsi="Times New Roman"/>
          <w:b/>
          <w:color w:val="auto"/>
          <w:sz w:val="72"/>
          <w:szCs w:val="72"/>
          <w:u w:val="none"/>
        </w:rPr>
      </w:pPr>
      <w:bookmarkStart w:id="0" w:name="_Toc1629"/>
      <w:bookmarkStart w:id="1" w:name="_Toc68207076"/>
      <w:bookmarkStart w:id="2" w:name="_Toc18337"/>
      <w:r>
        <w:rPr>
          <w:rFonts w:ascii="Times New Roman" w:hAnsi="Times New Roman"/>
          <w:b/>
          <w:color w:val="auto"/>
          <w:sz w:val="72"/>
          <w:szCs w:val="72"/>
          <w:u w:val="none"/>
        </w:rPr>
        <w:t>建设项目环境影响报告表</w:t>
      </w:r>
      <w:bookmarkEnd w:id="0"/>
      <w:bookmarkEnd w:id="1"/>
      <w:bookmarkEnd w:id="2"/>
    </w:p>
    <w:p>
      <w:pPr>
        <w:adjustRightInd w:val="0"/>
        <w:snapToGrid w:val="0"/>
        <w:ind w:firstLine="0" w:firstLineChars="0"/>
        <w:jc w:val="center"/>
        <w:rPr>
          <w:rFonts w:ascii="Times New Roman" w:hAnsi="Times New Roman"/>
          <w:b/>
          <w:color w:val="auto"/>
          <w:sz w:val="48"/>
          <w:szCs w:val="48"/>
          <w:u w:val="none"/>
        </w:rPr>
      </w:pPr>
      <w:r>
        <w:rPr>
          <w:rFonts w:ascii="Times New Roman" w:hAnsi="Times New Roman"/>
          <w:b/>
          <w:color w:val="auto"/>
          <w:sz w:val="48"/>
          <w:szCs w:val="48"/>
          <w:u w:val="none"/>
        </w:rPr>
        <w:t>（污染影响类）</w:t>
      </w:r>
    </w:p>
    <w:p>
      <w:pPr>
        <w:pStyle w:val="26"/>
        <w:spacing w:after="0"/>
        <w:ind w:left="0" w:leftChars="0" w:firstLine="0" w:firstLineChars="0"/>
        <w:jc w:val="center"/>
        <w:rPr>
          <w:rFonts w:ascii="Times New Roman" w:hAnsi="Times New Roman"/>
          <w:color w:val="auto"/>
          <w:sz w:val="24"/>
          <w:szCs w:val="24"/>
          <w:u w:val="none"/>
        </w:rPr>
      </w:pPr>
    </w:p>
    <w:p>
      <w:pPr>
        <w:pStyle w:val="26"/>
        <w:spacing w:after="0"/>
        <w:ind w:left="0" w:leftChars="0" w:firstLine="0" w:firstLineChars="0"/>
        <w:jc w:val="center"/>
        <w:rPr>
          <w:rFonts w:ascii="Times New Roman" w:hAnsi="Times New Roman"/>
          <w:color w:val="auto"/>
          <w:sz w:val="24"/>
          <w:szCs w:val="24"/>
          <w:u w:val="none"/>
        </w:rPr>
      </w:pPr>
    </w:p>
    <w:p>
      <w:pPr>
        <w:pStyle w:val="26"/>
        <w:spacing w:after="0"/>
        <w:ind w:left="0" w:leftChars="0" w:firstLine="0" w:firstLineChars="0"/>
        <w:jc w:val="center"/>
        <w:rPr>
          <w:rFonts w:ascii="Times New Roman" w:hAnsi="Times New Roman"/>
          <w:color w:val="auto"/>
          <w:sz w:val="24"/>
          <w:szCs w:val="24"/>
          <w:u w:val="none"/>
        </w:rPr>
      </w:pPr>
    </w:p>
    <w:p>
      <w:pPr>
        <w:ind w:firstLine="0" w:firstLineChars="0"/>
        <w:jc w:val="center"/>
        <w:rPr>
          <w:rFonts w:ascii="Times New Roman" w:hAnsi="Times New Roman"/>
          <w:color w:val="auto"/>
          <w:u w:val="none"/>
        </w:rPr>
      </w:pPr>
    </w:p>
    <w:p>
      <w:pPr>
        <w:ind w:firstLine="0" w:firstLineChars="0"/>
        <w:jc w:val="center"/>
        <w:rPr>
          <w:rFonts w:ascii="Times New Roman" w:hAnsi="Times New Roman"/>
          <w:color w:val="auto"/>
          <w:u w:val="none"/>
        </w:rPr>
      </w:pPr>
    </w:p>
    <w:p>
      <w:pPr>
        <w:ind w:firstLine="0" w:firstLineChars="0"/>
        <w:jc w:val="center"/>
        <w:rPr>
          <w:rFonts w:ascii="Times New Roman" w:hAnsi="Times New Roman"/>
          <w:color w:val="auto"/>
          <w:u w:val="none"/>
        </w:rPr>
      </w:pPr>
    </w:p>
    <w:p>
      <w:pPr>
        <w:pStyle w:val="58"/>
        <w:ind w:firstLine="480"/>
        <w:rPr>
          <w:rFonts w:ascii="Times New Roman" w:cs="Times New Roman"/>
          <w:color w:val="auto"/>
          <w:u w:val="none"/>
        </w:rPr>
      </w:pPr>
    </w:p>
    <w:p>
      <w:pPr>
        <w:pStyle w:val="59"/>
        <w:ind w:firstLine="482"/>
        <w:rPr>
          <w:rFonts w:cs="Times New Roman"/>
          <w:color w:val="auto"/>
          <w:sz w:val="24"/>
          <w:u w:val="none"/>
        </w:rPr>
      </w:pPr>
    </w:p>
    <w:p>
      <w:pPr>
        <w:pStyle w:val="26"/>
        <w:ind w:left="480" w:firstLine="480"/>
        <w:rPr>
          <w:rFonts w:ascii="Times New Roman" w:hAnsi="Times New Roman"/>
          <w:color w:val="auto"/>
          <w:sz w:val="24"/>
          <w:szCs w:val="24"/>
          <w:u w:val="none"/>
        </w:rPr>
      </w:pPr>
    </w:p>
    <w:p>
      <w:pPr>
        <w:ind w:firstLine="0" w:firstLineChars="0"/>
        <w:jc w:val="center"/>
        <w:rPr>
          <w:rFonts w:ascii="Times New Roman" w:hAnsi="Times New Roman"/>
          <w:color w:val="auto"/>
          <w:u w:val="none"/>
        </w:rPr>
      </w:pPr>
    </w:p>
    <w:tbl>
      <w:tblPr>
        <w:tblStyle w:val="2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872" w:type="dxa"/>
            <w:tcBorders>
              <w:tl2br w:val="nil"/>
              <w:tr2bl w:val="nil"/>
            </w:tcBorders>
          </w:tcPr>
          <w:p>
            <w:pPr>
              <w:adjustRightInd w:val="0"/>
              <w:snapToGrid w:val="0"/>
              <w:spacing w:line="480" w:lineRule="auto"/>
              <w:ind w:left="1500" w:leftChars="284" w:hanging="904" w:hangingChars="300"/>
              <w:jc w:val="left"/>
              <w:rPr>
                <w:rFonts w:ascii="Times New Roman" w:hAnsi="Times New Roman"/>
                <w:b/>
                <w:bCs/>
                <w:color w:val="auto"/>
                <w:sz w:val="30"/>
                <w:szCs w:val="30"/>
                <w:u w:val="none"/>
              </w:rPr>
            </w:pPr>
            <w:r>
              <w:rPr>
                <w:rFonts w:ascii="Times New Roman" w:hAnsi="Times New Roman"/>
                <w:b/>
                <w:bCs/>
                <w:color w:val="auto"/>
                <w:sz w:val="30"/>
                <w:szCs w:val="30"/>
                <w:u w:val="none"/>
              </w:rPr>
              <w:t>项目名称：</w:t>
            </w:r>
            <w:r>
              <w:rPr>
                <w:rFonts w:ascii="Times New Roman" w:hAnsi="Times New Roman"/>
                <w:b/>
                <w:bCs/>
                <w:color w:val="auto"/>
                <w:sz w:val="30"/>
                <w:szCs w:val="30"/>
                <w:u w:val="none"/>
              </w:rPr>
              <w:t xml:space="preserve"> </w:t>
            </w:r>
            <w:r>
              <w:rPr>
                <w:rFonts w:hint="eastAsia" w:ascii="Times New Roman" w:hAnsi="Times New Roman"/>
                <w:b/>
                <w:bCs/>
                <w:color w:val="auto"/>
                <w:sz w:val="30"/>
                <w:szCs w:val="30"/>
                <w:u w:val="none"/>
              </w:rPr>
              <w:t>湖南金甸甸食品有限公司年产260万件（2.1万吨）调味食品及分装食用油迁扩建项目</w:t>
            </w:r>
          </w:p>
          <w:p>
            <w:pPr>
              <w:adjustRightInd w:val="0"/>
              <w:snapToGrid w:val="0"/>
              <w:spacing w:line="480" w:lineRule="auto"/>
              <w:ind w:firstLine="0" w:firstLineChars="0"/>
              <w:jc w:val="left"/>
              <w:rPr>
                <w:rFonts w:ascii="Times New Roman" w:hAnsi="Times New Roman"/>
                <w:b/>
                <w:bCs/>
                <w:color w:val="auto"/>
                <w:sz w:val="30"/>
                <w:szCs w:val="30"/>
                <w:u w:val="none"/>
              </w:rPr>
            </w:pPr>
            <w:r>
              <w:rPr>
                <w:rFonts w:ascii="Times New Roman" w:hAnsi="Times New Roman"/>
                <w:b/>
                <w:bCs/>
                <w:color w:val="auto"/>
                <w:sz w:val="30"/>
                <w:szCs w:val="30"/>
                <w:u w:val="none"/>
              </w:rPr>
              <w:t>建设单位（盖章）：</w:t>
            </w:r>
            <w:r>
              <w:rPr>
                <w:rFonts w:ascii="Times New Roman" w:hAnsi="Times New Roman"/>
                <w:b/>
                <w:bCs/>
                <w:color w:val="auto"/>
                <w:sz w:val="30"/>
                <w:szCs w:val="30"/>
                <w:u w:val="none"/>
              </w:rPr>
              <w:t xml:space="preserve">   </w:t>
            </w:r>
            <w:r>
              <w:rPr>
                <w:rFonts w:hint="eastAsia" w:ascii="Times New Roman" w:hAnsi="Times New Roman"/>
                <w:b/>
                <w:bCs/>
                <w:color w:val="auto"/>
                <w:sz w:val="30"/>
                <w:szCs w:val="30"/>
                <w:u w:val="none"/>
              </w:rPr>
              <w:t>湖南金甸甸食品有限公司</w:t>
            </w:r>
            <w:r>
              <w:rPr>
                <w:rFonts w:ascii="Times New Roman" w:hAnsi="Times New Roman"/>
                <w:b/>
                <w:bCs/>
                <w:color w:val="auto"/>
                <w:sz w:val="30"/>
                <w:szCs w:val="30"/>
                <w:u w:val="none"/>
              </w:rPr>
              <w:t xml:space="preserve">         </w:t>
            </w:r>
          </w:p>
          <w:p>
            <w:pPr>
              <w:adjustRightInd w:val="0"/>
              <w:snapToGrid w:val="0"/>
              <w:spacing w:line="480" w:lineRule="auto"/>
              <w:ind w:firstLine="0" w:firstLineChars="0"/>
              <w:jc w:val="left"/>
              <w:rPr>
                <w:rFonts w:ascii="Times New Roman" w:hAnsi="Times New Roman"/>
                <w:b/>
                <w:bCs/>
                <w:color w:val="auto"/>
                <w:sz w:val="30"/>
                <w:szCs w:val="30"/>
                <w:u w:val="none"/>
              </w:rPr>
            </w:pPr>
            <w:r>
              <w:rPr>
                <w:rFonts w:ascii="Times New Roman" w:hAnsi="Times New Roman"/>
                <w:b/>
                <w:bCs/>
                <w:color w:val="auto"/>
                <w:sz w:val="30"/>
                <w:szCs w:val="30"/>
                <w:u w:val="none"/>
              </w:rPr>
              <w:t>编制日期：</w:t>
            </w:r>
            <w:r>
              <w:rPr>
                <w:rFonts w:ascii="Times New Roman" w:hAnsi="Times New Roman"/>
                <w:b/>
                <w:bCs/>
                <w:color w:val="auto"/>
                <w:sz w:val="30"/>
                <w:szCs w:val="30"/>
                <w:u w:val="none"/>
              </w:rPr>
              <w:t xml:space="preserve">               202</w:t>
            </w:r>
            <w:r>
              <w:rPr>
                <w:rFonts w:hint="eastAsia" w:ascii="Times New Roman" w:hAnsi="Times New Roman"/>
                <w:b/>
                <w:bCs/>
                <w:color w:val="auto"/>
                <w:sz w:val="30"/>
                <w:szCs w:val="30"/>
                <w:u w:val="none"/>
                <w:lang w:val="en-US" w:eastAsia="zh-CN"/>
              </w:rPr>
              <w:t>6</w:t>
            </w:r>
            <w:r>
              <w:rPr>
                <w:rFonts w:ascii="Times New Roman" w:hAnsi="Times New Roman"/>
                <w:b/>
                <w:bCs/>
                <w:color w:val="auto"/>
                <w:sz w:val="30"/>
                <w:szCs w:val="30"/>
                <w:u w:val="none"/>
              </w:rPr>
              <w:t>年</w:t>
            </w:r>
            <w:r>
              <w:rPr>
                <w:rFonts w:hint="eastAsia"/>
                <w:b/>
                <w:bCs/>
                <w:color w:val="auto"/>
                <w:sz w:val="30"/>
                <w:szCs w:val="30"/>
                <w:u w:val="none"/>
                <w:lang w:val="en-US" w:eastAsia="zh-CN"/>
              </w:rPr>
              <w:t>7</w:t>
            </w:r>
            <w:r>
              <w:rPr>
                <w:rFonts w:ascii="Times New Roman" w:hAnsi="Times New Roman"/>
                <w:b/>
                <w:bCs/>
                <w:color w:val="auto"/>
                <w:sz w:val="30"/>
                <w:szCs w:val="30"/>
                <w:u w:val="none"/>
              </w:rPr>
              <w:t xml:space="preserve">月                   </w:t>
            </w:r>
          </w:p>
        </w:tc>
      </w:tr>
    </w:tbl>
    <w:p>
      <w:pPr>
        <w:rPr>
          <w:color w:val="auto"/>
          <w:u w:val="none"/>
        </w:rPr>
        <w:sectPr>
          <w:footerReference r:id="rId3" w:type="even"/>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pPr>
        <w:autoSpaceDE w:val="0"/>
        <w:spacing w:before="24" w:beforeLines="10" w:after="24" w:afterLines="10"/>
        <w:jc w:val="center"/>
        <w:rPr>
          <w:b/>
          <w:bCs/>
          <w:color w:val="auto"/>
          <w:sz w:val="36"/>
          <w:szCs w:val="36"/>
          <w:u w:val="none"/>
        </w:rPr>
      </w:pPr>
      <w:r>
        <w:rPr>
          <w:b/>
          <w:bCs/>
          <w:color w:val="auto"/>
          <w:sz w:val="36"/>
          <w:szCs w:val="36"/>
          <w:u w:val="none"/>
        </w:rPr>
        <w:t>目  录</w:t>
      </w:r>
    </w:p>
    <w:p>
      <w:pPr>
        <w:pStyle w:val="19"/>
        <w:tabs>
          <w:tab w:val="right" w:leader="dot" w:pos="8844"/>
        </w:tabs>
        <w:rPr>
          <w:color w:val="auto"/>
          <w:u w:val="none"/>
        </w:rPr>
      </w:pPr>
      <w:r>
        <w:rPr>
          <w:color w:val="auto"/>
          <w:sz w:val="24"/>
          <w:u w:val="none"/>
        </w:rPr>
        <w:fldChar w:fldCharType="begin"/>
      </w:r>
      <w:r>
        <w:rPr>
          <w:color w:val="auto"/>
          <w:sz w:val="24"/>
          <w:u w:val="none"/>
        </w:rPr>
        <w:instrText xml:space="preserve">TOC \o "1-2" \h \u </w:instrText>
      </w:r>
      <w:r>
        <w:rPr>
          <w:color w:val="auto"/>
          <w:sz w:val="24"/>
          <w:u w:val="none"/>
        </w:rPr>
        <w:fldChar w:fldCharType="separate"/>
      </w:r>
      <w:r>
        <w:rPr>
          <w:color w:val="auto"/>
          <w:u w:val="none"/>
        </w:rPr>
        <w:fldChar w:fldCharType="begin"/>
      </w:r>
      <w:r>
        <w:rPr>
          <w:color w:val="auto"/>
          <w:u w:val="none"/>
        </w:rPr>
        <w:instrText xml:space="preserve"> HYPERLINK \l _Toc16623 </w:instrText>
      </w:r>
      <w:r>
        <w:rPr>
          <w:color w:val="auto"/>
          <w:u w:val="none"/>
        </w:rPr>
        <w:fldChar w:fldCharType="separate"/>
      </w:r>
      <w:r>
        <w:rPr>
          <w:rFonts w:ascii="Times New Roman" w:hAnsi="Times New Roman"/>
          <w:snapToGrid w:val="0"/>
          <w:color w:val="auto"/>
          <w:szCs w:val="30"/>
          <w:u w:val="none"/>
        </w:rPr>
        <w:t>一、建设项目基本情况</w:t>
      </w:r>
      <w:r>
        <w:rPr>
          <w:color w:val="auto"/>
          <w:u w:val="none"/>
        </w:rPr>
        <w:tab/>
      </w:r>
      <w:r>
        <w:rPr>
          <w:color w:val="auto"/>
          <w:u w:val="none"/>
        </w:rPr>
        <w:fldChar w:fldCharType="begin"/>
      </w:r>
      <w:r>
        <w:rPr>
          <w:color w:val="auto"/>
          <w:u w:val="none"/>
        </w:rPr>
        <w:instrText xml:space="preserve"> PAGEREF _Toc16623 \h </w:instrText>
      </w:r>
      <w:r>
        <w:rPr>
          <w:color w:val="auto"/>
          <w:u w:val="none"/>
        </w:rPr>
        <w:fldChar w:fldCharType="separate"/>
      </w:r>
      <w:r>
        <w:rPr>
          <w:color w:val="auto"/>
          <w:u w:val="none"/>
        </w:rPr>
        <w:t>1</w:t>
      </w:r>
      <w:r>
        <w:rPr>
          <w:color w:val="auto"/>
          <w:u w:val="none"/>
        </w:rPr>
        <w:fldChar w:fldCharType="end"/>
      </w:r>
      <w:r>
        <w:rPr>
          <w:color w:val="auto"/>
          <w:u w:val="none"/>
        </w:rPr>
        <w:fldChar w:fldCharType="end"/>
      </w:r>
    </w:p>
    <w:p>
      <w:pPr>
        <w:pStyle w:val="19"/>
        <w:tabs>
          <w:tab w:val="right" w:leader="dot" w:pos="8844"/>
        </w:tabs>
        <w:rPr>
          <w:color w:val="auto"/>
          <w:u w:val="none"/>
        </w:rPr>
      </w:pPr>
      <w:r>
        <w:rPr>
          <w:color w:val="auto"/>
          <w:u w:val="none"/>
        </w:rPr>
        <w:fldChar w:fldCharType="begin"/>
      </w:r>
      <w:r>
        <w:rPr>
          <w:color w:val="auto"/>
          <w:u w:val="none"/>
        </w:rPr>
        <w:instrText xml:space="preserve"> HYPERLINK \l _Toc6341 </w:instrText>
      </w:r>
      <w:r>
        <w:rPr>
          <w:color w:val="auto"/>
          <w:u w:val="none"/>
        </w:rPr>
        <w:fldChar w:fldCharType="separate"/>
      </w:r>
      <w:r>
        <w:rPr>
          <w:rFonts w:ascii="Times New Roman" w:hAnsi="Times New Roman"/>
          <w:snapToGrid w:val="0"/>
          <w:color w:val="auto"/>
          <w:szCs w:val="30"/>
          <w:u w:val="none"/>
        </w:rPr>
        <w:t>二、建设项目工程分析</w:t>
      </w:r>
      <w:r>
        <w:rPr>
          <w:color w:val="auto"/>
          <w:u w:val="none"/>
        </w:rPr>
        <w:tab/>
      </w:r>
      <w:r>
        <w:rPr>
          <w:color w:val="auto"/>
          <w:u w:val="none"/>
        </w:rPr>
        <w:fldChar w:fldCharType="begin"/>
      </w:r>
      <w:r>
        <w:rPr>
          <w:color w:val="auto"/>
          <w:u w:val="none"/>
        </w:rPr>
        <w:instrText xml:space="preserve"> PAGEREF _Toc6341 \h </w:instrText>
      </w:r>
      <w:r>
        <w:rPr>
          <w:color w:val="auto"/>
          <w:u w:val="none"/>
        </w:rPr>
        <w:fldChar w:fldCharType="separate"/>
      </w:r>
      <w:r>
        <w:rPr>
          <w:color w:val="auto"/>
          <w:u w:val="none"/>
        </w:rPr>
        <w:t>18</w:t>
      </w:r>
      <w:r>
        <w:rPr>
          <w:color w:val="auto"/>
          <w:u w:val="none"/>
        </w:rPr>
        <w:fldChar w:fldCharType="end"/>
      </w:r>
      <w:r>
        <w:rPr>
          <w:color w:val="auto"/>
          <w:u w:val="none"/>
        </w:rPr>
        <w:fldChar w:fldCharType="end"/>
      </w:r>
    </w:p>
    <w:p>
      <w:pPr>
        <w:pStyle w:val="19"/>
        <w:tabs>
          <w:tab w:val="right" w:leader="dot" w:pos="8844"/>
        </w:tabs>
        <w:rPr>
          <w:color w:val="auto"/>
          <w:u w:val="none"/>
        </w:rPr>
      </w:pPr>
      <w:r>
        <w:rPr>
          <w:color w:val="auto"/>
          <w:u w:val="none"/>
        </w:rPr>
        <w:fldChar w:fldCharType="begin"/>
      </w:r>
      <w:r>
        <w:rPr>
          <w:color w:val="auto"/>
          <w:u w:val="none"/>
        </w:rPr>
        <w:instrText xml:space="preserve"> HYPERLINK \l _Toc13853 </w:instrText>
      </w:r>
      <w:r>
        <w:rPr>
          <w:color w:val="auto"/>
          <w:u w:val="none"/>
        </w:rPr>
        <w:fldChar w:fldCharType="separate"/>
      </w:r>
      <w:r>
        <w:rPr>
          <w:rFonts w:ascii="Times New Roman" w:hAnsi="Times New Roman"/>
          <w:snapToGrid w:val="0"/>
          <w:color w:val="auto"/>
          <w:szCs w:val="30"/>
          <w:u w:val="none"/>
        </w:rPr>
        <w:t>三、区域环境质量现状、环境保护目标及评价标准</w:t>
      </w:r>
      <w:r>
        <w:rPr>
          <w:color w:val="auto"/>
          <w:u w:val="none"/>
        </w:rPr>
        <w:tab/>
      </w:r>
      <w:r>
        <w:rPr>
          <w:color w:val="auto"/>
          <w:u w:val="none"/>
        </w:rPr>
        <w:fldChar w:fldCharType="begin"/>
      </w:r>
      <w:r>
        <w:rPr>
          <w:color w:val="auto"/>
          <w:u w:val="none"/>
        </w:rPr>
        <w:instrText xml:space="preserve"> PAGEREF _Toc13853 \h </w:instrText>
      </w:r>
      <w:r>
        <w:rPr>
          <w:color w:val="auto"/>
          <w:u w:val="none"/>
        </w:rPr>
        <w:fldChar w:fldCharType="separate"/>
      </w:r>
      <w:r>
        <w:rPr>
          <w:color w:val="auto"/>
          <w:u w:val="none"/>
        </w:rPr>
        <w:t>58</w:t>
      </w:r>
      <w:r>
        <w:rPr>
          <w:color w:val="auto"/>
          <w:u w:val="none"/>
        </w:rPr>
        <w:fldChar w:fldCharType="end"/>
      </w:r>
      <w:r>
        <w:rPr>
          <w:color w:val="auto"/>
          <w:u w:val="none"/>
        </w:rPr>
        <w:fldChar w:fldCharType="end"/>
      </w:r>
    </w:p>
    <w:p>
      <w:pPr>
        <w:pStyle w:val="19"/>
        <w:tabs>
          <w:tab w:val="right" w:leader="dot" w:pos="8844"/>
        </w:tabs>
        <w:rPr>
          <w:color w:val="auto"/>
          <w:u w:val="none"/>
        </w:rPr>
      </w:pPr>
      <w:r>
        <w:rPr>
          <w:color w:val="auto"/>
          <w:u w:val="none"/>
        </w:rPr>
        <w:fldChar w:fldCharType="begin"/>
      </w:r>
      <w:r>
        <w:rPr>
          <w:color w:val="auto"/>
          <w:u w:val="none"/>
        </w:rPr>
        <w:instrText xml:space="preserve"> HYPERLINK \l _Toc2358 </w:instrText>
      </w:r>
      <w:r>
        <w:rPr>
          <w:color w:val="auto"/>
          <w:u w:val="none"/>
        </w:rPr>
        <w:fldChar w:fldCharType="separate"/>
      </w:r>
      <w:r>
        <w:rPr>
          <w:rFonts w:ascii="Times New Roman" w:hAnsi="Times New Roman"/>
          <w:snapToGrid w:val="0"/>
          <w:color w:val="auto"/>
          <w:szCs w:val="30"/>
          <w:u w:val="none"/>
        </w:rPr>
        <w:t>四、主要环境影响和保护措施</w:t>
      </w:r>
      <w:r>
        <w:rPr>
          <w:color w:val="auto"/>
          <w:u w:val="none"/>
        </w:rPr>
        <w:tab/>
      </w:r>
      <w:r>
        <w:rPr>
          <w:color w:val="auto"/>
          <w:u w:val="none"/>
        </w:rPr>
        <w:fldChar w:fldCharType="begin"/>
      </w:r>
      <w:r>
        <w:rPr>
          <w:color w:val="auto"/>
          <w:u w:val="none"/>
        </w:rPr>
        <w:instrText xml:space="preserve"> PAGEREF _Toc2358 \h </w:instrText>
      </w:r>
      <w:r>
        <w:rPr>
          <w:color w:val="auto"/>
          <w:u w:val="none"/>
        </w:rPr>
        <w:fldChar w:fldCharType="separate"/>
      </w:r>
      <w:r>
        <w:rPr>
          <w:color w:val="auto"/>
          <w:u w:val="none"/>
        </w:rPr>
        <w:t>66</w:t>
      </w:r>
      <w:r>
        <w:rPr>
          <w:color w:val="auto"/>
          <w:u w:val="none"/>
        </w:rPr>
        <w:fldChar w:fldCharType="end"/>
      </w:r>
      <w:r>
        <w:rPr>
          <w:color w:val="auto"/>
          <w:u w:val="none"/>
        </w:rPr>
        <w:fldChar w:fldCharType="end"/>
      </w:r>
    </w:p>
    <w:p>
      <w:pPr>
        <w:pStyle w:val="19"/>
        <w:tabs>
          <w:tab w:val="right" w:leader="dot" w:pos="8844"/>
        </w:tabs>
        <w:rPr>
          <w:color w:val="auto"/>
          <w:u w:val="none"/>
        </w:rPr>
      </w:pPr>
      <w:r>
        <w:rPr>
          <w:color w:val="auto"/>
          <w:u w:val="none"/>
        </w:rPr>
        <w:fldChar w:fldCharType="begin"/>
      </w:r>
      <w:r>
        <w:rPr>
          <w:color w:val="auto"/>
          <w:u w:val="none"/>
        </w:rPr>
        <w:instrText xml:space="preserve"> HYPERLINK \l _Toc381 </w:instrText>
      </w:r>
      <w:r>
        <w:rPr>
          <w:color w:val="auto"/>
          <w:u w:val="none"/>
        </w:rPr>
        <w:fldChar w:fldCharType="separate"/>
      </w:r>
      <w:r>
        <w:rPr>
          <w:rFonts w:ascii="Times New Roman" w:hAnsi="Times New Roman"/>
          <w:snapToGrid w:val="0"/>
          <w:color w:val="auto"/>
          <w:szCs w:val="30"/>
          <w:u w:val="none"/>
        </w:rPr>
        <w:t>五、环境保护措施监督检查清单</w:t>
      </w:r>
      <w:r>
        <w:rPr>
          <w:color w:val="auto"/>
          <w:u w:val="none"/>
        </w:rPr>
        <w:tab/>
      </w:r>
      <w:r>
        <w:rPr>
          <w:color w:val="auto"/>
          <w:u w:val="none"/>
        </w:rPr>
        <w:fldChar w:fldCharType="begin"/>
      </w:r>
      <w:r>
        <w:rPr>
          <w:color w:val="auto"/>
          <w:u w:val="none"/>
        </w:rPr>
        <w:instrText xml:space="preserve"> PAGEREF _Toc381 \h </w:instrText>
      </w:r>
      <w:r>
        <w:rPr>
          <w:color w:val="auto"/>
          <w:u w:val="none"/>
        </w:rPr>
        <w:fldChar w:fldCharType="separate"/>
      </w:r>
      <w:r>
        <w:rPr>
          <w:color w:val="auto"/>
          <w:u w:val="none"/>
        </w:rPr>
        <w:t>102</w:t>
      </w:r>
      <w:r>
        <w:rPr>
          <w:color w:val="auto"/>
          <w:u w:val="none"/>
        </w:rPr>
        <w:fldChar w:fldCharType="end"/>
      </w:r>
      <w:r>
        <w:rPr>
          <w:color w:val="auto"/>
          <w:u w:val="none"/>
        </w:rPr>
        <w:fldChar w:fldCharType="end"/>
      </w:r>
    </w:p>
    <w:p>
      <w:pPr>
        <w:pStyle w:val="19"/>
        <w:tabs>
          <w:tab w:val="right" w:leader="dot" w:pos="8844"/>
        </w:tabs>
        <w:rPr>
          <w:color w:val="auto"/>
          <w:u w:val="none"/>
        </w:rPr>
      </w:pPr>
      <w:r>
        <w:rPr>
          <w:color w:val="auto"/>
          <w:u w:val="none"/>
        </w:rPr>
        <w:fldChar w:fldCharType="begin"/>
      </w:r>
      <w:r>
        <w:rPr>
          <w:color w:val="auto"/>
          <w:u w:val="none"/>
        </w:rPr>
        <w:instrText xml:space="preserve"> HYPERLINK \l _Toc11046 </w:instrText>
      </w:r>
      <w:r>
        <w:rPr>
          <w:color w:val="auto"/>
          <w:u w:val="none"/>
        </w:rPr>
        <w:fldChar w:fldCharType="separate"/>
      </w:r>
      <w:r>
        <w:rPr>
          <w:rFonts w:ascii="Times New Roman" w:hAnsi="Times New Roman"/>
          <w:snapToGrid w:val="0"/>
          <w:color w:val="auto"/>
          <w:szCs w:val="30"/>
          <w:u w:val="none"/>
        </w:rPr>
        <w:t>六、结论</w:t>
      </w:r>
      <w:r>
        <w:rPr>
          <w:color w:val="auto"/>
          <w:u w:val="none"/>
        </w:rPr>
        <w:tab/>
      </w:r>
      <w:r>
        <w:rPr>
          <w:color w:val="auto"/>
          <w:u w:val="none"/>
        </w:rPr>
        <w:fldChar w:fldCharType="begin"/>
      </w:r>
      <w:r>
        <w:rPr>
          <w:color w:val="auto"/>
          <w:u w:val="none"/>
        </w:rPr>
        <w:instrText xml:space="preserve"> PAGEREF _Toc11046 \h </w:instrText>
      </w:r>
      <w:r>
        <w:rPr>
          <w:color w:val="auto"/>
          <w:u w:val="none"/>
        </w:rPr>
        <w:fldChar w:fldCharType="separate"/>
      </w:r>
      <w:r>
        <w:rPr>
          <w:color w:val="auto"/>
          <w:u w:val="none"/>
        </w:rPr>
        <w:t>106</w:t>
      </w:r>
      <w:r>
        <w:rPr>
          <w:color w:val="auto"/>
          <w:u w:val="none"/>
        </w:rPr>
        <w:fldChar w:fldCharType="end"/>
      </w:r>
      <w:r>
        <w:rPr>
          <w:color w:val="auto"/>
          <w:u w:val="none"/>
        </w:rPr>
        <w:fldChar w:fldCharType="end"/>
      </w:r>
    </w:p>
    <w:p>
      <w:pPr>
        <w:pStyle w:val="19"/>
        <w:tabs>
          <w:tab w:val="right" w:leader="dot" w:pos="8844"/>
        </w:tabs>
        <w:rPr>
          <w:color w:val="auto"/>
          <w:u w:val="none"/>
        </w:rPr>
      </w:pPr>
      <w:r>
        <w:rPr>
          <w:color w:val="auto"/>
          <w:u w:val="none"/>
        </w:rPr>
        <w:fldChar w:fldCharType="begin"/>
      </w:r>
      <w:r>
        <w:rPr>
          <w:color w:val="auto"/>
          <w:u w:val="none"/>
        </w:rPr>
        <w:instrText xml:space="preserve"> HYPERLINK \l _Toc283 </w:instrText>
      </w:r>
      <w:r>
        <w:rPr>
          <w:color w:val="auto"/>
          <w:u w:val="none"/>
        </w:rPr>
        <w:fldChar w:fldCharType="separate"/>
      </w:r>
      <w:r>
        <w:rPr>
          <w:rFonts w:ascii="Times New Roman" w:hAnsi="Times New Roman"/>
          <w:snapToGrid w:val="0"/>
          <w:color w:val="auto"/>
          <w:szCs w:val="30"/>
          <w:u w:val="none"/>
        </w:rPr>
        <w:t>附表</w:t>
      </w:r>
      <w:r>
        <w:rPr>
          <w:color w:val="auto"/>
          <w:u w:val="none"/>
        </w:rPr>
        <w:tab/>
      </w:r>
      <w:r>
        <w:rPr>
          <w:color w:val="auto"/>
          <w:u w:val="none"/>
        </w:rPr>
        <w:fldChar w:fldCharType="begin"/>
      </w:r>
      <w:r>
        <w:rPr>
          <w:color w:val="auto"/>
          <w:u w:val="none"/>
        </w:rPr>
        <w:instrText xml:space="preserve"> PAGEREF _Toc283 \h </w:instrText>
      </w:r>
      <w:r>
        <w:rPr>
          <w:color w:val="auto"/>
          <w:u w:val="none"/>
        </w:rPr>
        <w:fldChar w:fldCharType="separate"/>
      </w:r>
      <w:r>
        <w:rPr>
          <w:color w:val="auto"/>
          <w:u w:val="none"/>
        </w:rPr>
        <w:t>107</w:t>
      </w:r>
      <w:r>
        <w:rPr>
          <w:color w:val="auto"/>
          <w:u w:val="none"/>
        </w:rPr>
        <w:fldChar w:fldCharType="end"/>
      </w:r>
      <w:r>
        <w:rPr>
          <w:color w:val="auto"/>
          <w:u w:val="none"/>
        </w:rPr>
        <w:fldChar w:fldCharType="end"/>
      </w:r>
    </w:p>
    <w:p>
      <w:pPr>
        <w:pStyle w:val="19"/>
        <w:tabs>
          <w:tab w:val="right" w:leader="dot" w:pos="8844"/>
        </w:tabs>
        <w:rPr>
          <w:color w:val="auto"/>
          <w:u w:val="none"/>
        </w:rPr>
      </w:pPr>
      <w:r>
        <w:rPr>
          <w:color w:val="auto"/>
          <w:u w:val="none"/>
        </w:rPr>
        <w:fldChar w:fldCharType="begin"/>
      </w:r>
      <w:r>
        <w:rPr>
          <w:color w:val="auto"/>
          <w:u w:val="none"/>
        </w:rPr>
        <w:instrText xml:space="preserve"> HYPERLINK \l _Toc10012 </w:instrText>
      </w:r>
      <w:r>
        <w:rPr>
          <w:color w:val="auto"/>
          <w:u w:val="none"/>
        </w:rPr>
        <w:fldChar w:fldCharType="separate"/>
      </w:r>
      <w:r>
        <w:rPr>
          <w:rFonts w:hint="eastAsia" w:ascii="Times New Roman" w:hAnsi="Times New Roman"/>
          <w:bCs/>
          <w:snapToGrid w:val="0"/>
          <w:color w:val="auto"/>
          <w:szCs w:val="30"/>
          <w:u w:val="none"/>
          <w:lang w:eastAsia="zh-CN"/>
        </w:rPr>
        <w:t>附件</w:t>
      </w:r>
      <w:r>
        <w:rPr>
          <w:color w:val="auto"/>
          <w:u w:val="none"/>
        </w:rPr>
        <w:tab/>
      </w:r>
      <w:r>
        <w:rPr>
          <w:color w:val="auto"/>
          <w:u w:val="none"/>
        </w:rPr>
        <w:fldChar w:fldCharType="begin"/>
      </w:r>
      <w:r>
        <w:rPr>
          <w:color w:val="auto"/>
          <w:u w:val="none"/>
        </w:rPr>
        <w:instrText xml:space="preserve"> PAGEREF _Toc10012 \h </w:instrText>
      </w:r>
      <w:r>
        <w:rPr>
          <w:color w:val="auto"/>
          <w:u w:val="none"/>
        </w:rPr>
        <w:fldChar w:fldCharType="separate"/>
      </w:r>
      <w:r>
        <w:rPr>
          <w:color w:val="auto"/>
          <w:u w:val="none"/>
        </w:rPr>
        <w:t>109</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_Toc7021 </w:instrText>
      </w:r>
      <w:r>
        <w:rPr>
          <w:color w:val="auto"/>
          <w:u w:val="none"/>
        </w:rPr>
        <w:fldChar w:fldCharType="separate"/>
      </w:r>
      <w:r>
        <w:rPr>
          <w:rFonts w:hint="eastAsia" w:ascii="Times New Roman"/>
          <w:bCs/>
          <w:color w:val="auto"/>
          <w:szCs w:val="24"/>
          <w:u w:val="none"/>
          <w:lang w:eastAsia="zh-CN"/>
        </w:rPr>
        <w:t>附件1 环评委托书</w:t>
      </w:r>
      <w:r>
        <w:rPr>
          <w:color w:val="auto"/>
          <w:u w:val="none"/>
        </w:rPr>
        <w:tab/>
      </w:r>
      <w:r>
        <w:rPr>
          <w:color w:val="auto"/>
          <w:u w:val="none"/>
        </w:rPr>
        <w:fldChar w:fldCharType="begin"/>
      </w:r>
      <w:r>
        <w:rPr>
          <w:color w:val="auto"/>
          <w:u w:val="none"/>
        </w:rPr>
        <w:instrText xml:space="preserve"> PAGEREF _Toc7021 \h </w:instrText>
      </w:r>
      <w:r>
        <w:rPr>
          <w:color w:val="auto"/>
          <w:u w:val="none"/>
        </w:rPr>
        <w:fldChar w:fldCharType="separate"/>
      </w:r>
      <w:r>
        <w:rPr>
          <w:color w:val="auto"/>
          <w:u w:val="none"/>
        </w:rPr>
        <w:t>109</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_Toc12719 </w:instrText>
      </w:r>
      <w:r>
        <w:rPr>
          <w:color w:val="auto"/>
          <w:u w:val="none"/>
        </w:rPr>
        <w:fldChar w:fldCharType="separate"/>
      </w:r>
      <w:r>
        <w:rPr>
          <w:rFonts w:hint="eastAsia" w:ascii="Times New Roman"/>
          <w:bCs/>
          <w:color w:val="auto"/>
          <w:szCs w:val="24"/>
          <w:u w:val="none"/>
          <w:lang w:eastAsia="zh-CN"/>
        </w:rPr>
        <w:t>附件2 营业执照</w:t>
      </w:r>
      <w:r>
        <w:rPr>
          <w:color w:val="auto"/>
          <w:u w:val="none"/>
        </w:rPr>
        <w:tab/>
      </w:r>
      <w:r>
        <w:rPr>
          <w:color w:val="auto"/>
          <w:u w:val="none"/>
        </w:rPr>
        <w:fldChar w:fldCharType="begin"/>
      </w:r>
      <w:r>
        <w:rPr>
          <w:color w:val="auto"/>
          <w:u w:val="none"/>
        </w:rPr>
        <w:instrText xml:space="preserve"> PAGEREF _Toc12719 \h </w:instrText>
      </w:r>
      <w:r>
        <w:rPr>
          <w:color w:val="auto"/>
          <w:u w:val="none"/>
        </w:rPr>
        <w:fldChar w:fldCharType="separate"/>
      </w:r>
      <w:r>
        <w:rPr>
          <w:color w:val="auto"/>
          <w:u w:val="none"/>
        </w:rPr>
        <w:t>111</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_Toc25274 </w:instrText>
      </w:r>
      <w:r>
        <w:rPr>
          <w:color w:val="auto"/>
          <w:u w:val="none"/>
        </w:rPr>
        <w:fldChar w:fldCharType="separate"/>
      </w:r>
      <w:r>
        <w:rPr>
          <w:rFonts w:hint="eastAsia" w:ascii="Times New Roman"/>
          <w:bCs/>
          <w:color w:val="auto"/>
          <w:szCs w:val="24"/>
          <w:u w:val="none"/>
          <w:lang w:eastAsia="zh-CN"/>
        </w:rPr>
        <w:t>附件3 备案证明</w:t>
      </w:r>
      <w:r>
        <w:rPr>
          <w:color w:val="auto"/>
          <w:u w:val="none"/>
        </w:rPr>
        <w:tab/>
      </w:r>
      <w:r>
        <w:rPr>
          <w:color w:val="auto"/>
          <w:u w:val="none"/>
        </w:rPr>
        <w:fldChar w:fldCharType="begin"/>
      </w:r>
      <w:r>
        <w:rPr>
          <w:color w:val="auto"/>
          <w:u w:val="none"/>
        </w:rPr>
        <w:instrText xml:space="preserve"> PAGEREF _Toc25274 \h </w:instrText>
      </w:r>
      <w:r>
        <w:rPr>
          <w:color w:val="auto"/>
          <w:u w:val="none"/>
        </w:rPr>
        <w:fldChar w:fldCharType="separate"/>
      </w:r>
      <w:r>
        <w:rPr>
          <w:color w:val="auto"/>
          <w:u w:val="none"/>
        </w:rPr>
        <w:t>112</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_Toc19412 </w:instrText>
      </w:r>
      <w:r>
        <w:rPr>
          <w:color w:val="auto"/>
          <w:u w:val="none"/>
        </w:rPr>
        <w:fldChar w:fldCharType="separate"/>
      </w:r>
      <w:r>
        <w:rPr>
          <w:rFonts w:hint="eastAsia" w:ascii="Times New Roman"/>
          <w:bCs/>
          <w:color w:val="auto"/>
          <w:szCs w:val="24"/>
          <w:u w:val="none"/>
          <w:lang w:eastAsia="zh-CN"/>
        </w:rPr>
        <w:t>附件4 不动产权证</w:t>
      </w:r>
      <w:r>
        <w:rPr>
          <w:color w:val="auto"/>
          <w:u w:val="none"/>
        </w:rPr>
        <w:tab/>
      </w:r>
      <w:r>
        <w:rPr>
          <w:color w:val="auto"/>
          <w:u w:val="none"/>
        </w:rPr>
        <w:fldChar w:fldCharType="begin"/>
      </w:r>
      <w:r>
        <w:rPr>
          <w:color w:val="auto"/>
          <w:u w:val="none"/>
        </w:rPr>
        <w:instrText xml:space="preserve"> PAGEREF _Toc19412 \h </w:instrText>
      </w:r>
      <w:r>
        <w:rPr>
          <w:color w:val="auto"/>
          <w:u w:val="none"/>
        </w:rPr>
        <w:fldChar w:fldCharType="separate"/>
      </w:r>
      <w:r>
        <w:rPr>
          <w:color w:val="auto"/>
          <w:u w:val="none"/>
        </w:rPr>
        <w:t>114</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_Toc21705 </w:instrText>
      </w:r>
      <w:r>
        <w:rPr>
          <w:color w:val="auto"/>
          <w:u w:val="none"/>
        </w:rPr>
        <w:fldChar w:fldCharType="separate"/>
      </w:r>
      <w:r>
        <w:rPr>
          <w:rFonts w:hint="eastAsia" w:ascii="Times New Roman"/>
          <w:bCs/>
          <w:color w:val="auto"/>
          <w:szCs w:val="24"/>
          <w:u w:val="none"/>
          <w:lang w:eastAsia="zh-CN"/>
        </w:rPr>
        <w:t>附件5 环境监测报告</w:t>
      </w:r>
      <w:r>
        <w:rPr>
          <w:color w:val="auto"/>
          <w:u w:val="none"/>
        </w:rPr>
        <w:tab/>
      </w:r>
      <w:r>
        <w:rPr>
          <w:color w:val="auto"/>
          <w:u w:val="none"/>
        </w:rPr>
        <w:fldChar w:fldCharType="begin"/>
      </w:r>
      <w:r>
        <w:rPr>
          <w:color w:val="auto"/>
          <w:u w:val="none"/>
        </w:rPr>
        <w:instrText xml:space="preserve"> PAGEREF _Toc21705 \h </w:instrText>
      </w:r>
      <w:r>
        <w:rPr>
          <w:color w:val="auto"/>
          <w:u w:val="none"/>
        </w:rPr>
        <w:fldChar w:fldCharType="separate"/>
      </w:r>
      <w:r>
        <w:rPr>
          <w:color w:val="auto"/>
          <w:u w:val="none"/>
        </w:rPr>
        <w:t>128</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_Toc592 </w:instrText>
      </w:r>
      <w:r>
        <w:rPr>
          <w:color w:val="auto"/>
          <w:u w:val="none"/>
        </w:rPr>
        <w:fldChar w:fldCharType="separate"/>
      </w:r>
      <w:r>
        <w:rPr>
          <w:rFonts w:hint="eastAsia" w:ascii="Times New Roman"/>
          <w:bCs/>
          <w:color w:val="auto"/>
          <w:szCs w:val="24"/>
          <w:u w:val="none"/>
          <w:lang w:eastAsia="zh-CN"/>
        </w:rPr>
        <w:t xml:space="preserve">附件6 </w:t>
      </w:r>
      <w:r>
        <w:rPr>
          <w:rFonts w:ascii="Times New Roman"/>
          <w:bCs/>
          <w:color w:val="auto"/>
          <w:szCs w:val="24"/>
          <w:u w:val="none"/>
          <w:lang w:eastAsia="zh-CN"/>
        </w:rPr>
        <w:t>地块土壤污染状况初步调查报告</w:t>
      </w:r>
      <w:r>
        <w:rPr>
          <w:rFonts w:hint="eastAsia" w:ascii="Times New Roman"/>
          <w:bCs/>
          <w:color w:val="auto"/>
          <w:szCs w:val="24"/>
          <w:u w:val="none"/>
          <w:lang w:eastAsia="zh-CN"/>
        </w:rPr>
        <w:t>专家评审意见</w:t>
      </w:r>
      <w:r>
        <w:rPr>
          <w:color w:val="auto"/>
          <w:u w:val="none"/>
        </w:rPr>
        <w:tab/>
      </w:r>
      <w:r>
        <w:rPr>
          <w:color w:val="auto"/>
          <w:u w:val="none"/>
        </w:rPr>
        <w:fldChar w:fldCharType="begin"/>
      </w:r>
      <w:r>
        <w:rPr>
          <w:color w:val="auto"/>
          <w:u w:val="none"/>
        </w:rPr>
        <w:instrText xml:space="preserve"> PAGEREF _Toc592 \h </w:instrText>
      </w:r>
      <w:r>
        <w:rPr>
          <w:color w:val="auto"/>
          <w:u w:val="none"/>
        </w:rPr>
        <w:fldChar w:fldCharType="separate"/>
      </w:r>
      <w:r>
        <w:rPr>
          <w:color w:val="auto"/>
          <w:u w:val="none"/>
        </w:rPr>
        <w:t>134</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_Toc8442 </w:instrText>
      </w:r>
      <w:r>
        <w:rPr>
          <w:color w:val="auto"/>
          <w:u w:val="none"/>
        </w:rPr>
        <w:fldChar w:fldCharType="separate"/>
      </w:r>
      <w:r>
        <w:rPr>
          <w:rFonts w:hint="eastAsia" w:ascii="Times New Roman"/>
          <w:bCs/>
          <w:color w:val="auto"/>
          <w:szCs w:val="24"/>
          <w:u w:val="none"/>
          <w:lang w:eastAsia="zh-CN"/>
        </w:rPr>
        <w:t>附件7 遗留危废处置合同及转移联单</w:t>
      </w:r>
      <w:r>
        <w:rPr>
          <w:color w:val="auto"/>
          <w:u w:val="none"/>
        </w:rPr>
        <w:tab/>
      </w:r>
      <w:r>
        <w:rPr>
          <w:color w:val="auto"/>
          <w:u w:val="none"/>
        </w:rPr>
        <w:fldChar w:fldCharType="begin"/>
      </w:r>
      <w:r>
        <w:rPr>
          <w:color w:val="auto"/>
          <w:u w:val="none"/>
        </w:rPr>
        <w:instrText xml:space="preserve"> PAGEREF _Toc8442 \h </w:instrText>
      </w:r>
      <w:r>
        <w:rPr>
          <w:color w:val="auto"/>
          <w:u w:val="none"/>
        </w:rPr>
        <w:fldChar w:fldCharType="separate"/>
      </w:r>
      <w:r>
        <w:rPr>
          <w:color w:val="auto"/>
          <w:u w:val="none"/>
        </w:rPr>
        <w:t>136</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_Toc3563 </w:instrText>
      </w:r>
      <w:r>
        <w:rPr>
          <w:color w:val="auto"/>
          <w:u w:val="none"/>
        </w:rPr>
        <w:fldChar w:fldCharType="separate"/>
      </w:r>
      <w:r>
        <w:rPr>
          <w:rFonts w:hint="eastAsia" w:ascii="Times New Roman"/>
          <w:bCs/>
          <w:color w:val="auto"/>
          <w:szCs w:val="24"/>
          <w:u w:val="none"/>
          <w:lang w:eastAsia="zh-CN"/>
        </w:rPr>
        <w:t>附件8 规划环评审查意见</w:t>
      </w:r>
      <w:r>
        <w:rPr>
          <w:color w:val="auto"/>
          <w:u w:val="none"/>
        </w:rPr>
        <w:tab/>
      </w:r>
      <w:r>
        <w:rPr>
          <w:color w:val="auto"/>
          <w:u w:val="none"/>
        </w:rPr>
        <w:fldChar w:fldCharType="begin"/>
      </w:r>
      <w:r>
        <w:rPr>
          <w:color w:val="auto"/>
          <w:u w:val="none"/>
        </w:rPr>
        <w:instrText xml:space="preserve"> PAGEREF _Toc3563 \h </w:instrText>
      </w:r>
      <w:r>
        <w:rPr>
          <w:color w:val="auto"/>
          <w:u w:val="none"/>
        </w:rPr>
        <w:fldChar w:fldCharType="separate"/>
      </w:r>
      <w:r>
        <w:rPr>
          <w:color w:val="auto"/>
          <w:u w:val="none"/>
        </w:rPr>
        <w:t>164</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_Toc28729 </w:instrText>
      </w:r>
      <w:r>
        <w:rPr>
          <w:color w:val="auto"/>
          <w:u w:val="none"/>
        </w:rPr>
        <w:fldChar w:fldCharType="separate"/>
      </w:r>
      <w:r>
        <w:rPr>
          <w:rFonts w:hint="eastAsia" w:ascii="Times New Roman"/>
          <w:bCs/>
          <w:color w:val="auto"/>
          <w:szCs w:val="24"/>
          <w:u w:val="none"/>
          <w:lang w:val="en-US" w:eastAsia="zh-CN"/>
        </w:rPr>
        <w:t>附件9 项目招商引资合同</w:t>
      </w:r>
      <w:r>
        <w:rPr>
          <w:color w:val="auto"/>
          <w:u w:val="none"/>
        </w:rPr>
        <w:tab/>
      </w:r>
      <w:r>
        <w:rPr>
          <w:color w:val="auto"/>
          <w:u w:val="none"/>
        </w:rPr>
        <w:fldChar w:fldCharType="begin"/>
      </w:r>
      <w:r>
        <w:rPr>
          <w:color w:val="auto"/>
          <w:u w:val="none"/>
        </w:rPr>
        <w:instrText xml:space="preserve"> PAGEREF _Toc28729 \h </w:instrText>
      </w:r>
      <w:r>
        <w:rPr>
          <w:color w:val="auto"/>
          <w:u w:val="none"/>
        </w:rPr>
        <w:fldChar w:fldCharType="separate"/>
      </w:r>
      <w:r>
        <w:rPr>
          <w:color w:val="auto"/>
          <w:u w:val="none"/>
        </w:rPr>
        <w:t>168</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_Toc544 </w:instrText>
      </w:r>
      <w:r>
        <w:rPr>
          <w:color w:val="auto"/>
          <w:u w:val="none"/>
        </w:rPr>
        <w:fldChar w:fldCharType="separate"/>
      </w:r>
      <w:r>
        <w:rPr>
          <w:rFonts w:hint="eastAsia" w:ascii="Times New Roman" w:hAnsi="Times New Roman" w:eastAsia="宋体" w:cs="Times New Roman"/>
          <w:bCs/>
          <w:color w:val="auto"/>
          <w:szCs w:val="24"/>
          <w:u w:val="none"/>
          <w:lang w:val="en-US" w:eastAsia="zh-CN"/>
        </w:rPr>
        <w:t>附件10 老厂环评审查意见</w:t>
      </w:r>
      <w:r>
        <w:rPr>
          <w:color w:val="auto"/>
          <w:u w:val="none"/>
        </w:rPr>
        <w:tab/>
      </w:r>
      <w:r>
        <w:rPr>
          <w:color w:val="auto"/>
          <w:u w:val="none"/>
        </w:rPr>
        <w:fldChar w:fldCharType="begin"/>
      </w:r>
      <w:r>
        <w:rPr>
          <w:color w:val="auto"/>
          <w:u w:val="none"/>
        </w:rPr>
        <w:instrText xml:space="preserve"> PAGEREF _Toc544 \h </w:instrText>
      </w:r>
      <w:r>
        <w:rPr>
          <w:color w:val="auto"/>
          <w:u w:val="none"/>
        </w:rPr>
        <w:fldChar w:fldCharType="separate"/>
      </w:r>
      <w:r>
        <w:rPr>
          <w:color w:val="auto"/>
          <w:u w:val="none"/>
        </w:rPr>
        <w:t>175</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_Toc17765 </w:instrText>
      </w:r>
      <w:r>
        <w:rPr>
          <w:color w:val="auto"/>
          <w:u w:val="none"/>
        </w:rPr>
        <w:fldChar w:fldCharType="separate"/>
      </w:r>
      <w:r>
        <w:rPr>
          <w:rFonts w:hint="eastAsia" w:cs="Times New Roman"/>
          <w:bCs/>
          <w:color w:val="auto"/>
          <w:szCs w:val="24"/>
          <w:u w:val="none"/>
          <w:lang w:val="en-US" w:eastAsia="zh-CN"/>
        </w:rPr>
        <w:t>附件11 老厂</w:t>
      </w:r>
      <w:r>
        <w:rPr>
          <w:rFonts w:hint="eastAsia" w:ascii="Times New Roman" w:hAnsi="Times New Roman" w:eastAsia="宋体" w:cs="Times New Roman"/>
          <w:bCs/>
          <w:color w:val="auto"/>
          <w:szCs w:val="24"/>
          <w:u w:val="none"/>
          <w:lang w:val="en-US" w:eastAsia="zh-CN"/>
        </w:rPr>
        <w:t>环保验收意见</w:t>
      </w:r>
      <w:r>
        <w:rPr>
          <w:color w:val="auto"/>
          <w:u w:val="none"/>
        </w:rPr>
        <w:tab/>
      </w:r>
      <w:r>
        <w:rPr>
          <w:color w:val="auto"/>
          <w:u w:val="none"/>
        </w:rPr>
        <w:fldChar w:fldCharType="begin"/>
      </w:r>
      <w:r>
        <w:rPr>
          <w:color w:val="auto"/>
          <w:u w:val="none"/>
        </w:rPr>
        <w:instrText xml:space="preserve"> PAGEREF _Toc17765 \h </w:instrText>
      </w:r>
      <w:r>
        <w:rPr>
          <w:color w:val="auto"/>
          <w:u w:val="none"/>
        </w:rPr>
        <w:fldChar w:fldCharType="separate"/>
      </w:r>
      <w:r>
        <w:rPr>
          <w:color w:val="auto"/>
          <w:u w:val="none"/>
        </w:rPr>
        <w:t>176</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_Toc26200 </w:instrText>
      </w:r>
      <w:r>
        <w:rPr>
          <w:color w:val="auto"/>
          <w:u w:val="none"/>
        </w:rPr>
        <w:fldChar w:fldCharType="separate"/>
      </w:r>
      <w:r>
        <w:rPr>
          <w:rFonts w:hint="eastAsia" w:ascii="Times New Roman" w:hAnsi="Times New Roman" w:eastAsia="宋体" w:cs="Times New Roman"/>
          <w:bCs/>
          <w:color w:val="auto"/>
          <w:szCs w:val="24"/>
          <w:u w:val="none"/>
          <w:lang w:val="en-US" w:eastAsia="zh-CN"/>
        </w:rPr>
        <w:t>附件12 老厂排污许可登记回执</w:t>
      </w:r>
      <w:r>
        <w:rPr>
          <w:color w:val="auto"/>
          <w:u w:val="none"/>
        </w:rPr>
        <w:tab/>
      </w:r>
      <w:r>
        <w:rPr>
          <w:color w:val="auto"/>
          <w:u w:val="none"/>
        </w:rPr>
        <w:fldChar w:fldCharType="begin"/>
      </w:r>
      <w:r>
        <w:rPr>
          <w:color w:val="auto"/>
          <w:u w:val="none"/>
        </w:rPr>
        <w:instrText xml:space="preserve"> PAGEREF _Toc26200 \h </w:instrText>
      </w:r>
      <w:r>
        <w:rPr>
          <w:color w:val="auto"/>
          <w:u w:val="none"/>
        </w:rPr>
        <w:fldChar w:fldCharType="separate"/>
      </w:r>
      <w:r>
        <w:rPr>
          <w:color w:val="auto"/>
          <w:u w:val="none"/>
        </w:rPr>
        <w:t>177</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_Toc551 </w:instrText>
      </w:r>
      <w:r>
        <w:rPr>
          <w:color w:val="auto"/>
          <w:u w:val="none"/>
        </w:rPr>
        <w:fldChar w:fldCharType="separate"/>
      </w:r>
      <w:r>
        <w:rPr>
          <w:rFonts w:hint="eastAsia" w:ascii="Times New Roman" w:hAnsi="Times New Roman" w:eastAsia="宋体" w:cs="Times New Roman"/>
          <w:bCs/>
          <w:color w:val="auto"/>
          <w:szCs w:val="24"/>
          <w:u w:val="none"/>
          <w:lang w:val="en-US" w:eastAsia="zh-CN"/>
        </w:rPr>
        <w:t>附件13 专家意见及</w:t>
      </w:r>
      <w:r>
        <w:rPr>
          <w:rFonts w:hint="eastAsia" w:ascii="Times New Roman" w:cs="Times New Roman"/>
          <w:bCs/>
          <w:color w:val="auto"/>
          <w:szCs w:val="24"/>
          <w:u w:val="none"/>
          <w:lang w:val="en-US" w:eastAsia="zh-CN"/>
        </w:rPr>
        <w:t>签名</w:t>
      </w:r>
      <w:r>
        <w:rPr>
          <w:rFonts w:hint="eastAsia" w:ascii="Times New Roman" w:hAnsi="Times New Roman" w:eastAsia="宋体" w:cs="Times New Roman"/>
          <w:bCs/>
          <w:color w:val="auto"/>
          <w:szCs w:val="24"/>
          <w:u w:val="none"/>
          <w:lang w:val="en-US" w:eastAsia="zh-CN"/>
        </w:rPr>
        <w:t>表</w:t>
      </w:r>
      <w:r>
        <w:rPr>
          <w:color w:val="auto"/>
          <w:u w:val="none"/>
        </w:rPr>
        <w:tab/>
      </w:r>
      <w:r>
        <w:rPr>
          <w:color w:val="auto"/>
          <w:u w:val="none"/>
        </w:rPr>
        <w:fldChar w:fldCharType="begin"/>
      </w:r>
      <w:r>
        <w:rPr>
          <w:color w:val="auto"/>
          <w:u w:val="none"/>
        </w:rPr>
        <w:instrText xml:space="preserve"> PAGEREF _Toc551 \h </w:instrText>
      </w:r>
      <w:r>
        <w:rPr>
          <w:color w:val="auto"/>
          <w:u w:val="none"/>
        </w:rPr>
        <w:fldChar w:fldCharType="separate"/>
      </w:r>
      <w:r>
        <w:rPr>
          <w:color w:val="auto"/>
          <w:u w:val="none"/>
        </w:rPr>
        <w:t>178</w:t>
      </w:r>
      <w:r>
        <w:rPr>
          <w:color w:val="auto"/>
          <w:u w:val="none"/>
        </w:rPr>
        <w:fldChar w:fldCharType="end"/>
      </w:r>
      <w:r>
        <w:rPr>
          <w:color w:val="auto"/>
          <w:u w:val="none"/>
        </w:rPr>
        <w:fldChar w:fldCharType="end"/>
      </w:r>
    </w:p>
    <w:p>
      <w:pPr>
        <w:pStyle w:val="19"/>
        <w:tabs>
          <w:tab w:val="right" w:leader="dot" w:pos="8844"/>
        </w:tabs>
        <w:rPr>
          <w:color w:val="auto"/>
          <w:u w:val="none"/>
        </w:rPr>
      </w:pPr>
      <w:r>
        <w:rPr>
          <w:color w:val="auto"/>
          <w:u w:val="none"/>
        </w:rPr>
        <w:fldChar w:fldCharType="begin"/>
      </w:r>
      <w:r>
        <w:rPr>
          <w:color w:val="auto"/>
          <w:u w:val="none"/>
        </w:rPr>
        <w:instrText xml:space="preserve"> HYPERLINK \l _Toc13812 </w:instrText>
      </w:r>
      <w:r>
        <w:rPr>
          <w:color w:val="auto"/>
          <w:u w:val="none"/>
        </w:rPr>
        <w:fldChar w:fldCharType="separate"/>
      </w:r>
      <w:r>
        <w:rPr>
          <w:rFonts w:hint="eastAsia" w:ascii="Times New Roman" w:hAnsi="Times New Roman"/>
          <w:bCs/>
          <w:snapToGrid w:val="0"/>
          <w:color w:val="auto"/>
          <w:szCs w:val="30"/>
          <w:u w:val="none"/>
          <w:lang w:eastAsia="zh-CN"/>
        </w:rPr>
        <w:t>附图</w:t>
      </w:r>
      <w:r>
        <w:rPr>
          <w:color w:val="auto"/>
          <w:u w:val="none"/>
        </w:rPr>
        <w:tab/>
      </w:r>
      <w:r>
        <w:rPr>
          <w:color w:val="auto"/>
          <w:u w:val="none"/>
        </w:rPr>
        <w:fldChar w:fldCharType="begin"/>
      </w:r>
      <w:r>
        <w:rPr>
          <w:color w:val="auto"/>
          <w:u w:val="none"/>
        </w:rPr>
        <w:instrText xml:space="preserve"> PAGEREF _Toc13812 \h </w:instrText>
      </w:r>
      <w:r>
        <w:rPr>
          <w:color w:val="auto"/>
          <w:u w:val="none"/>
        </w:rPr>
        <w:fldChar w:fldCharType="separate"/>
      </w:r>
      <w:r>
        <w:rPr>
          <w:color w:val="auto"/>
          <w:u w:val="none"/>
        </w:rPr>
        <w:t>182</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_Toc15182 </w:instrText>
      </w:r>
      <w:r>
        <w:rPr>
          <w:color w:val="auto"/>
          <w:u w:val="none"/>
        </w:rPr>
        <w:fldChar w:fldCharType="separate"/>
      </w:r>
      <w:r>
        <w:rPr>
          <w:rFonts w:hint="eastAsia" w:ascii="Times New Roman"/>
          <w:bCs/>
          <w:color w:val="auto"/>
          <w:szCs w:val="24"/>
          <w:u w:val="none"/>
          <w:lang w:eastAsia="zh-CN"/>
        </w:rPr>
        <w:t>附图1 地理位置图</w:t>
      </w:r>
      <w:r>
        <w:rPr>
          <w:color w:val="auto"/>
          <w:u w:val="none"/>
        </w:rPr>
        <w:tab/>
      </w:r>
      <w:r>
        <w:rPr>
          <w:color w:val="auto"/>
          <w:u w:val="none"/>
        </w:rPr>
        <w:fldChar w:fldCharType="begin"/>
      </w:r>
      <w:r>
        <w:rPr>
          <w:color w:val="auto"/>
          <w:u w:val="none"/>
        </w:rPr>
        <w:instrText xml:space="preserve"> PAGEREF _Toc15182 \h </w:instrText>
      </w:r>
      <w:r>
        <w:rPr>
          <w:color w:val="auto"/>
          <w:u w:val="none"/>
        </w:rPr>
        <w:fldChar w:fldCharType="separate"/>
      </w:r>
      <w:r>
        <w:rPr>
          <w:color w:val="auto"/>
          <w:u w:val="none"/>
        </w:rPr>
        <w:t>182</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_Toc26033 </w:instrText>
      </w:r>
      <w:r>
        <w:rPr>
          <w:color w:val="auto"/>
          <w:u w:val="none"/>
        </w:rPr>
        <w:fldChar w:fldCharType="separate"/>
      </w:r>
      <w:r>
        <w:rPr>
          <w:rFonts w:hint="eastAsia" w:ascii="Times New Roman"/>
          <w:bCs/>
          <w:color w:val="auto"/>
          <w:szCs w:val="24"/>
          <w:u w:val="none"/>
          <w:lang w:eastAsia="zh-CN"/>
        </w:rPr>
        <w:t>附图2 厂区平面布置图</w:t>
      </w:r>
      <w:r>
        <w:rPr>
          <w:color w:val="auto"/>
          <w:u w:val="none"/>
        </w:rPr>
        <w:tab/>
      </w:r>
      <w:r>
        <w:rPr>
          <w:color w:val="auto"/>
          <w:u w:val="none"/>
        </w:rPr>
        <w:fldChar w:fldCharType="begin"/>
      </w:r>
      <w:r>
        <w:rPr>
          <w:color w:val="auto"/>
          <w:u w:val="none"/>
        </w:rPr>
        <w:instrText xml:space="preserve"> PAGEREF _Toc26033 \h </w:instrText>
      </w:r>
      <w:r>
        <w:rPr>
          <w:color w:val="auto"/>
          <w:u w:val="none"/>
        </w:rPr>
        <w:fldChar w:fldCharType="separate"/>
      </w:r>
      <w:r>
        <w:rPr>
          <w:color w:val="auto"/>
          <w:u w:val="none"/>
        </w:rPr>
        <w:t>183</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_Toc8482 </w:instrText>
      </w:r>
      <w:r>
        <w:rPr>
          <w:color w:val="auto"/>
          <w:u w:val="none"/>
        </w:rPr>
        <w:fldChar w:fldCharType="separate"/>
      </w:r>
      <w:r>
        <w:rPr>
          <w:rFonts w:hint="eastAsia" w:ascii="Times New Roman"/>
          <w:bCs/>
          <w:color w:val="auto"/>
          <w:szCs w:val="24"/>
          <w:u w:val="none"/>
          <w:lang w:eastAsia="zh-CN"/>
        </w:rPr>
        <w:t>附图3 生产车间（4#车间2楼）平面布置图</w:t>
      </w:r>
      <w:r>
        <w:rPr>
          <w:color w:val="auto"/>
          <w:u w:val="none"/>
        </w:rPr>
        <w:tab/>
      </w:r>
      <w:r>
        <w:rPr>
          <w:color w:val="auto"/>
          <w:u w:val="none"/>
        </w:rPr>
        <w:fldChar w:fldCharType="begin"/>
      </w:r>
      <w:r>
        <w:rPr>
          <w:color w:val="auto"/>
          <w:u w:val="none"/>
        </w:rPr>
        <w:instrText xml:space="preserve"> PAGEREF _Toc8482 \h </w:instrText>
      </w:r>
      <w:r>
        <w:rPr>
          <w:color w:val="auto"/>
          <w:u w:val="none"/>
        </w:rPr>
        <w:fldChar w:fldCharType="separate"/>
      </w:r>
      <w:r>
        <w:rPr>
          <w:color w:val="auto"/>
          <w:u w:val="none"/>
        </w:rPr>
        <w:t>184</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_Toc16688 </w:instrText>
      </w:r>
      <w:r>
        <w:rPr>
          <w:color w:val="auto"/>
          <w:u w:val="none"/>
        </w:rPr>
        <w:fldChar w:fldCharType="separate"/>
      </w:r>
      <w:r>
        <w:rPr>
          <w:rFonts w:hint="eastAsia" w:ascii="Times New Roman"/>
          <w:bCs/>
          <w:color w:val="auto"/>
          <w:szCs w:val="24"/>
          <w:u w:val="none"/>
          <w:lang w:eastAsia="zh-CN"/>
        </w:rPr>
        <w:t>附图4 环保目标分布图</w:t>
      </w:r>
      <w:r>
        <w:rPr>
          <w:color w:val="auto"/>
          <w:u w:val="none"/>
        </w:rPr>
        <w:tab/>
      </w:r>
      <w:r>
        <w:rPr>
          <w:color w:val="auto"/>
          <w:u w:val="none"/>
        </w:rPr>
        <w:fldChar w:fldCharType="begin"/>
      </w:r>
      <w:r>
        <w:rPr>
          <w:color w:val="auto"/>
          <w:u w:val="none"/>
        </w:rPr>
        <w:instrText xml:space="preserve"> PAGEREF _Toc16688 \h </w:instrText>
      </w:r>
      <w:r>
        <w:rPr>
          <w:color w:val="auto"/>
          <w:u w:val="none"/>
        </w:rPr>
        <w:fldChar w:fldCharType="separate"/>
      </w:r>
      <w:r>
        <w:rPr>
          <w:color w:val="auto"/>
          <w:u w:val="none"/>
        </w:rPr>
        <w:t>185</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_Toc9047 </w:instrText>
      </w:r>
      <w:r>
        <w:rPr>
          <w:color w:val="auto"/>
          <w:u w:val="none"/>
        </w:rPr>
        <w:fldChar w:fldCharType="separate"/>
      </w:r>
      <w:r>
        <w:rPr>
          <w:rFonts w:hint="eastAsia" w:ascii="Times New Roman"/>
          <w:bCs/>
          <w:color w:val="auto"/>
          <w:szCs w:val="24"/>
          <w:u w:val="none"/>
          <w:lang w:eastAsia="zh-CN"/>
        </w:rPr>
        <w:t>附图5 环境质量监测布点图</w:t>
      </w:r>
      <w:r>
        <w:rPr>
          <w:color w:val="auto"/>
          <w:u w:val="none"/>
        </w:rPr>
        <w:tab/>
      </w:r>
      <w:r>
        <w:rPr>
          <w:color w:val="auto"/>
          <w:u w:val="none"/>
        </w:rPr>
        <w:fldChar w:fldCharType="begin"/>
      </w:r>
      <w:r>
        <w:rPr>
          <w:color w:val="auto"/>
          <w:u w:val="none"/>
        </w:rPr>
        <w:instrText xml:space="preserve"> PAGEREF _Toc9047 \h </w:instrText>
      </w:r>
      <w:r>
        <w:rPr>
          <w:color w:val="auto"/>
          <w:u w:val="none"/>
        </w:rPr>
        <w:fldChar w:fldCharType="separate"/>
      </w:r>
      <w:r>
        <w:rPr>
          <w:color w:val="auto"/>
          <w:u w:val="none"/>
        </w:rPr>
        <w:t>186</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_Toc18847 </w:instrText>
      </w:r>
      <w:r>
        <w:rPr>
          <w:color w:val="auto"/>
          <w:u w:val="none"/>
        </w:rPr>
        <w:fldChar w:fldCharType="separate"/>
      </w:r>
      <w:r>
        <w:rPr>
          <w:rFonts w:hint="eastAsia" w:ascii="Times New Roman"/>
          <w:bCs/>
          <w:color w:val="auto"/>
          <w:szCs w:val="24"/>
          <w:u w:val="none"/>
          <w:lang w:val="en-US" w:eastAsia="zh-CN"/>
        </w:rPr>
        <w:t>附图6 湘阴县国土空间总体规划（2021-2035年）中心城区土地使用规划图</w:t>
      </w:r>
      <w:r>
        <w:rPr>
          <w:color w:val="auto"/>
          <w:u w:val="none"/>
        </w:rPr>
        <w:tab/>
      </w:r>
      <w:r>
        <w:rPr>
          <w:color w:val="auto"/>
          <w:u w:val="none"/>
        </w:rPr>
        <w:fldChar w:fldCharType="begin"/>
      </w:r>
      <w:r>
        <w:rPr>
          <w:color w:val="auto"/>
          <w:u w:val="none"/>
        </w:rPr>
        <w:instrText xml:space="preserve"> PAGEREF _Toc18847 \h </w:instrText>
      </w:r>
      <w:r>
        <w:rPr>
          <w:color w:val="auto"/>
          <w:u w:val="none"/>
        </w:rPr>
        <w:fldChar w:fldCharType="separate"/>
      </w:r>
      <w:r>
        <w:rPr>
          <w:color w:val="auto"/>
          <w:u w:val="none"/>
        </w:rPr>
        <w:t>187</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_Toc30080 </w:instrText>
      </w:r>
      <w:r>
        <w:rPr>
          <w:color w:val="auto"/>
          <w:u w:val="none"/>
        </w:rPr>
        <w:fldChar w:fldCharType="separate"/>
      </w:r>
      <w:r>
        <w:rPr>
          <w:rFonts w:hint="eastAsia" w:ascii="Times New Roman" w:hAnsi="Times New Roman" w:eastAsia="宋体" w:cs="Times New Roman"/>
          <w:bCs/>
          <w:color w:val="auto"/>
          <w:szCs w:val="24"/>
          <w:u w:val="none"/>
          <w:lang w:val="en-US" w:eastAsia="zh-CN"/>
        </w:rPr>
        <w:t>附图7 洋沙湖片区土地利用现状图</w:t>
      </w:r>
      <w:r>
        <w:rPr>
          <w:color w:val="auto"/>
          <w:u w:val="none"/>
        </w:rPr>
        <w:tab/>
      </w:r>
      <w:r>
        <w:rPr>
          <w:color w:val="auto"/>
          <w:u w:val="none"/>
        </w:rPr>
        <w:fldChar w:fldCharType="begin"/>
      </w:r>
      <w:r>
        <w:rPr>
          <w:color w:val="auto"/>
          <w:u w:val="none"/>
        </w:rPr>
        <w:instrText xml:space="preserve"> PAGEREF _Toc30080 \h </w:instrText>
      </w:r>
      <w:r>
        <w:rPr>
          <w:color w:val="auto"/>
          <w:u w:val="none"/>
        </w:rPr>
        <w:fldChar w:fldCharType="separate"/>
      </w:r>
      <w:r>
        <w:rPr>
          <w:color w:val="auto"/>
          <w:u w:val="none"/>
        </w:rPr>
        <w:t>188</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_Toc18141 </w:instrText>
      </w:r>
      <w:r>
        <w:rPr>
          <w:color w:val="auto"/>
          <w:u w:val="none"/>
        </w:rPr>
        <w:fldChar w:fldCharType="separate"/>
      </w:r>
      <w:r>
        <w:rPr>
          <w:rFonts w:hint="eastAsia" w:ascii="Times New Roman"/>
          <w:bCs/>
          <w:color w:val="auto"/>
          <w:szCs w:val="24"/>
          <w:u w:val="none"/>
          <w:lang w:eastAsia="zh-CN"/>
        </w:rPr>
        <w:t>附图</w:t>
      </w:r>
      <w:r>
        <w:rPr>
          <w:rFonts w:hint="eastAsia" w:ascii="Times New Roman"/>
          <w:bCs/>
          <w:color w:val="auto"/>
          <w:szCs w:val="24"/>
          <w:u w:val="none"/>
          <w:lang w:val="en-US" w:eastAsia="zh-CN"/>
        </w:rPr>
        <w:t>8</w:t>
      </w:r>
      <w:r>
        <w:rPr>
          <w:rFonts w:hint="eastAsia" w:ascii="Times New Roman"/>
          <w:bCs/>
          <w:color w:val="auto"/>
          <w:szCs w:val="24"/>
          <w:u w:val="none"/>
          <w:lang w:eastAsia="zh-CN"/>
        </w:rPr>
        <w:t xml:space="preserve"> 洋沙湖片区产业布局规划图</w:t>
      </w:r>
      <w:r>
        <w:rPr>
          <w:color w:val="auto"/>
          <w:u w:val="none"/>
        </w:rPr>
        <w:tab/>
      </w:r>
      <w:r>
        <w:rPr>
          <w:color w:val="auto"/>
          <w:u w:val="none"/>
        </w:rPr>
        <w:fldChar w:fldCharType="begin"/>
      </w:r>
      <w:r>
        <w:rPr>
          <w:color w:val="auto"/>
          <w:u w:val="none"/>
        </w:rPr>
        <w:instrText xml:space="preserve"> PAGEREF _Toc18141 \h </w:instrText>
      </w:r>
      <w:r>
        <w:rPr>
          <w:color w:val="auto"/>
          <w:u w:val="none"/>
        </w:rPr>
        <w:fldChar w:fldCharType="separate"/>
      </w:r>
      <w:r>
        <w:rPr>
          <w:color w:val="auto"/>
          <w:u w:val="none"/>
        </w:rPr>
        <w:t>189</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_Toc54 </w:instrText>
      </w:r>
      <w:r>
        <w:rPr>
          <w:color w:val="auto"/>
          <w:u w:val="none"/>
        </w:rPr>
        <w:fldChar w:fldCharType="separate"/>
      </w:r>
      <w:r>
        <w:rPr>
          <w:rFonts w:hint="eastAsia" w:ascii="Times New Roman"/>
          <w:bCs/>
          <w:color w:val="auto"/>
          <w:szCs w:val="24"/>
          <w:u w:val="none"/>
          <w:lang w:eastAsia="zh-CN"/>
        </w:rPr>
        <w:t>附图</w:t>
      </w:r>
      <w:r>
        <w:rPr>
          <w:rFonts w:hint="eastAsia" w:ascii="Times New Roman"/>
          <w:bCs/>
          <w:color w:val="auto"/>
          <w:szCs w:val="24"/>
          <w:u w:val="none"/>
          <w:lang w:val="en-US" w:eastAsia="zh-CN"/>
        </w:rPr>
        <w:t>9</w:t>
      </w:r>
      <w:r>
        <w:rPr>
          <w:rFonts w:hint="eastAsia" w:ascii="Times New Roman"/>
          <w:bCs/>
          <w:color w:val="auto"/>
          <w:szCs w:val="24"/>
          <w:u w:val="none"/>
          <w:lang w:eastAsia="zh-CN"/>
        </w:rPr>
        <w:t xml:space="preserve"> 洋沙湖片区污水工程规划图</w:t>
      </w:r>
      <w:r>
        <w:rPr>
          <w:color w:val="auto"/>
          <w:u w:val="none"/>
        </w:rPr>
        <w:tab/>
      </w:r>
      <w:r>
        <w:rPr>
          <w:color w:val="auto"/>
          <w:u w:val="none"/>
        </w:rPr>
        <w:fldChar w:fldCharType="begin"/>
      </w:r>
      <w:r>
        <w:rPr>
          <w:color w:val="auto"/>
          <w:u w:val="none"/>
        </w:rPr>
        <w:instrText xml:space="preserve"> PAGEREF _Toc54 \h </w:instrText>
      </w:r>
      <w:r>
        <w:rPr>
          <w:color w:val="auto"/>
          <w:u w:val="none"/>
        </w:rPr>
        <w:fldChar w:fldCharType="separate"/>
      </w:r>
      <w:r>
        <w:rPr>
          <w:color w:val="auto"/>
          <w:u w:val="none"/>
        </w:rPr>
        <w:t>190</w:t>
      </w:r>
      <w:r>
        <w:rPr>
          <w:color w:val="auto"/>
          <w:u w:val="none"/>
        </w:rPr>
        <w:fldChar w:fldCharType="end"/>
      </w:r>
      <w:r>
        <w:rPr>
          <w:color w:val="auto"/>
          <w:u w:val="none"/>
        </w:rPr>
        <w:fldChar w:fldCharType="end"/>
      </w:r>
    </w:p>
    <w:p>
      <w:pPr>
        <w:pStyle w:val="22"/>
        <w:tabs>
          <w:tab w:val="right" w:leader="dot" w:pos="8844"/>
        </w:tabs>
        <w:rPr>
          <w:color w:val="auto"/>
          <w:u w:val="none"/>
        </w:rPr>
      </w:pPr>
      <w:r>
        <w:rPr>
          <w:color w:val="auto"/>
          <w:u w:val="none"/>
        </w:rPr>
        <w:fldChar w:fldCharType="begin"/>
      </w:r>
      <w:r>
        <w:rPr>
          <w:color w:val="auto"/>
          <w:u w:val="none"/>
        </w:rPr>
        <w:instrText xml:space="preserve"> HYPERLINK \l _Toc1680 </w:instrText>
      </w:r>
      <w:r>
        <w:rPr>
          <w:color w:val="auto"/>
          <w:u w:val="none"/>
        </w:rPr>
        <w:fldChar w:fldCharType="separate"/>
      </w:r>
      <w:r>
        <w:rPr>
          <w:rFonts w:hint="eastAsia" w:ascii="Times New Roman"/>
          <w:bCs/>
          <w:color w:val="auto"/>
          <w:szCs w:val="24"/>
          <w:u w:val="none"/>
          <w:lang w:eastAsia="zh-CN"/>
        </w:rPr>
        <w:t>附图</w:t>
      </w:r>
      <w:r>
        <w:rPr>
          <w:rFonts w:hint="eastAsia" w:ascii="Times New Roman"/>
          <w:bCs/>
          <w:color w:val="auto"/>
          <w:szCs w:val="24"/>
          <w:u w:val="none"/>
          <w:lang w:val="en-US" w:eastAsia="zh-CN"/>
        </w:rPr>
        <w:t>10</w:t>
      </w:r>
      <w:r>
        <w:rPr>
          <w:rFonts w:hint="eastAsia" w:ascii="Times New Roman"/>
          <w:bCs/>
          <w:color w:val="auto"/>
          <w:szCs w:val="24"/>
          <w:u w:val="none"/>
          <w:lang w:eastAsia="zh-CN"/>
        </w:rPr>
        <w:t xml:space="preserve"> 项目场址及周边现状、工程师现场踏勘照片</w:t>
      </w:r>
      <w:r>
        <w:rPr>
          <w:color w:val="auto"/>
          <w:u w:val="none"/>
        </w:rPr>
        <w:tab/>
      </w:r>
      <w:r>
        <w:rPr>
          <w:color w:val="auto"/>
          <w:u w:val="none"/>
        </w:rPr>
        <w:fldChar w:fldCharType="begin"/>
      </w:r>
      <w:r>
        <w:rPr>
          <w:color w:val="auto"/>
          <w:u w:val="none"/>
        </w:rPr>
        <w:instrText xml:space="preserve"> PAGEREF _Toc1680 \h </w:instrText>
      </w:r>
      <w:r>
        <w:rPr>
          <w:color w:val="auto"/>
          <w:u w:val="none"/>
        </w:rPr>
        <w:fldChar w:fldCharType="separate"/>
      </w:r>
      <w:r>
        <w:rPr>
          <w:color w:val="auto"/>
          <w:u w:val="none"/>
        </w:rPr>
        <w:t>191</w:t>
      </w:r>
      <w:r>
        <w:rPr>
          <w:color w:val="auto"/>
          <w:u w:val="none"/>
        </w:rPr>
        <w:fldChar w:fldCharType="end"/>
      </w:r>
      <w:r>
        <w:rPr>
          <w:color w:val="auto"/>
          <w:u w:val="none"/>
        </w:rPr>
        <w:fldChar w:fldCharType="end"/>
      </w:r>
    </w:p>
    <w:p>
      <w:pPr>
        <w:pStyle w:val="60"/>
        <w:keepNext w:val="0"/>
        <w:keepLines w:val="0"/>
        <w:pageBreakBefore w:val="0"/>
        <w:widowControl w:val="0"/>
        <w:tabs>
          <w:tab w:val="right" w:leader="dot" w:pos="8834"/>
        </w:tabs>
        <w:kinsoku/>
        <w:wordWrap/>
        <w:overflowPunct/>
        <w:topLinePunct w:val="0"/>
        <w:autoSpaceDE/>
        <w:autoSpaceDN/>
        <w:bidi w:val="0"/>
        <w:adjustRightInd/>
        <w:snapToGrid/>
        <w:spacing w:line="360" w:lineRule="auto"/>
        <w:textAlignment w:val="auto"/>
        <w:rPr>
          <w:color w:val="auto"/>
          <w:sz w:val="24"/>
          <w:u w:val="none"/>
        </w:rPr>
      </w:pPr>
      <w:r>
        <w:rPr>
          <w:color w:val="auto"/>
          <w:u w:val="none"/>
        </w:rPr>
        <w:fldChar w:fldCharType="end"/>
      </w:r>
    </w:p>
    <w:p>
      <w:pPr>
        <w:pStyle w:val="58"/>
        <w:spacing w:line="360" w:lineRule="auto"/>
        <w:rPr>
          <w:rFonts w:ascii="Times New Roman" w:hAnsi="Times New Roman" w:eastAsia="宋体" w:cs="Times New Roman"/>
          <w:color w:val="auto"/>
          <w:u w:val="none"/>
        </w:rPr>
      </w:pPr>
    </w:p>
    <w:p>
      <w:pPr>
        <w:pStyle w:val="58"/>
        <w:jc w:val="center"/>
        <w:rPr>
          <w:rFonts w:ascii="Times New Roman" w:hAnsi="Times New Roman" w:eastAsia="宋体" w:cs="Times New Roman"/>
          <w:b/>
          <w:bCs/>
          <w:color w:val="auto"/>
          <w:sz w:val="36"/>
          <w:szCs w:val="36"/>
          <w:u w:val="none"/>
        </w:rPr>
        <w:sectPr>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pPr>
        <w:pStyle w:val="23"/>
        <w:jc w:val="center"/>
        <w:outlineLvl w:val="0"/>
        <w:rPr>
          <w:rFonts w:ascii="Times New Roman" w:hAnsi="Times New Roman"/>
          <w:snapToGrid w:val="0"/>
          <w:color w:val="auto"/>
          <w:sz w:val="30"/>
          <w:szCs w:val="30"/>
          <w:u w:val="none"/>
        </w:rPr>
      </w:pPr>
      <w:bookmarkStart w:id="3" w:name="_Toc16623"/>
      <w:r>
        <w:rPr>
          <w:rFonts w:ascii="Times New Roman" w:hAnsi="Times New Roman"/>
          <w:snapToGrid w:val="0"/>
          <w:color w:val="auto"/>
          <w:sz w:val="30"/>
          <w:szCs w:val="30"/>
          <w:u w:val="none"/>
        </w:rPr>
        <w:t>一、建设项目基本情况</w:t>
      </w:r>
      <w:bookmarkEnd w:id="3"/>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1124"/>
        <w:gridCol w:w="1997"/>
        <w:gridCol w:w="2114"/>
        <w:gridCol w:w="262"/>
        <w:gridCol w:w="26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64" w:hRule="atLeast"/>
          <w:jc w:val="center"/>
        </w:trPr>
        <w:tc>
          <w:tcPr>
            <w:tcW w:w="1823" w:type="dxa"/>
            <w:gridSpan w:val="2"/>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建设项目名称</w:t>
            </w:r>
          </w:p>
        </w:tc>
        <w:tc>
          <w:tcPr>
            <w:tcW w:w="7001" w:type="dxa"/>
            <w:gridSpan w:val="4"/>
            <w:vAlign w:val="center"/>
          </w:tcPr>
          <w:p>
            <w:pPr>
              <w:adjustRightInd w:val="0"/>
              <w:snapToGrid w:val="0"/>
              <w:spacing w:line="0" w:lineRule="atLeast"/>
              <w:jc w:val="center"/>
              <w:rPr>
                <w:rFonts w:hint="eastAsia" w:eastAsia="宋体"/>
                <w:color w:val="auto"/>
                <w:sz w:val="24"/>
                <w:u w:val="none"/>
                <w:lang w:eastAsia="zh-CN"/>
              </w:rPr>
            </w:pPr>
            <w:r>
              <w:rPr>
                <w:rFonts w:hint="eastAsia"/>
                <w:color w:val="auto"/>
                <w:sz w:val="24"/>
                <w:u w:val="none"/>
              </w:rPr>
              <w:t>湖南金甸甸食品有限公司</w:t>
            </w:r>
            <w:r>
              <w:rPr>
                <w:rFonts w:hint="eastAsia"/>
                <w:color w:val="auto"/>
                <w:sz w:val="24"/>
                <w:u w:val="none"/>
                <w:lang w:eastAsia="zh-CN"/>
              </w:rPr>
              <w:t>年产260万件（2.1万吨）调味食品及分装食用油迁扩建项目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823" w:type="dxa"/>
            <w:gridSpan w:val="2"/>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项目代码</w:t>
            </w:r>
          </w:p>
        </w:tc>
        <w:tc>
          <w:tcPr>
            <w:tcW w:w="7001" w:type="dxa"/>
            <w:gridSpan w:val="4"/>
            <w:vAlign w:val="center"/>
          </w:tcPr>
          <w:p>
            <w:pPr>
              <w:adjustRightInd w:val="0"/>
              <w:snapToGrid w:val="0"/>
              <w:spacing w:line="0" w:lineRule="atLeast"/>
              <w:jc w:val="center"/>
              <w:rPr>
                <w:color w:val="auto"/>
                <w:sz w:val="24"/>
                <w:u w:val="none"/>
              </w:rPr>
            </w:pPr>
            <w:r>
              <w:rPr>
                <w:color w:val="auto"/>
                <w:sz w:val="24"/>
                <w:u w:val="none"/>
              </w:rPr>
              <w:t>2603-430624-04-02-678423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823" w:type="dxa"/>
            <w:gridSpan w:val="2"/>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建设单位联系人</w:t>
            </w:r>
          </w:p>
        </w:tc>
        <w:tc>
          <w:tcPr>
            <w:tcW w:w="1997" w:type="dxa"/>
            <w:vAlign w:val="center"/>
          </w:tcPr>
          <w:p>
            <w:pPr>
              <w:adjustRightInd w:val="0"/>
              <w:snapToGrid w:val="0"/>
              <w:spacing w:line="0" w:lineRule="atLeast"/>
              <w:jc w:val="center"/>
              <w:rPr>
                <w:rFonts w:hint="eastAsia" w:eastAsia="宋体"/>
                <w:color w:val="auto"/>
                <w:sz w:val="24"/>
                <w:u w:val="none"/>
                <w:lang w:eastAsia="zh-CN"/>
              </w:rPr>
            </w:pPr>
            <w:r>
              <w:rPr>
                <w:rFonts w:hint="eastAsia"/>
                <w:color w:val="auto"/>
                <w:sz w:val="24"/>
                <w:u w:val="none"/>
                <w:lang w:val="en-US" w:eastAsia="zh-CN"/>
              </w:rPr>
              <w:t>*</w:t>
            </w:r>
          </w:p>
        </w:tc>
        <w:tc>
          <w:tcPr>
            <w:tcW w:w="2376" w:type="dxa"/>
            <w:gridSpan w:val="2"/>
            <w:vAlign w:val="center"/>
          </w:tcPr>
          <w:p>
            <w:pPr>
              <w:adjustRightInd w:val="0"/>
              <w:snapToGrid w:val="0"/>
              <w:spacing w:line="0" w:lineRule="atLeast"/>
              <w:jc w:val="center"/>
              <w:rPr>
                <w:color w:val="auto"/>
                <w:sz w:val="24"/>
                <w:u w:val="none"/>
              </w:rPr>
            </w:pPr>
            <w:r>
              <w:rPr>
                <w:color w:val="auto"/>
                <w:sz w:val="24"/>
                <w:u w:val="none"/>
              </w:rPr>
              <w:t>联系方式</w:t>
            </w:r>
          </w:p>
        </w:tc>
        <w:tc>
          <w:tcPr>
            <w:tcW w:w="2628" w:type="dxa"/>
            <w:vAlign w:val="center"/>
          </w:tcPr>
          <w:p>
            <w:pPr>
              <w:adjustRightInd w:val="0"/>
              <w:snapToGrid w:val="0"/>
              <w:spacing w:line="0" w:lineRule="atLeast"/>
              <w:jc w:val="center"/>
              <w:rPr>
                <w:rFonts w:hint="eastAsia" w:eastAsia="宋体"/>
                <w:color w:val="auto"/>
                <w:sz w:val="24"/>
                <w:u w:val="none"/>
                <w:lang w:eastAsia="zh-CN"/>
              </w:rPr>
            </w:pPr>
            <w:r>
              <w:rPr>
                <w:rFonts w:hint="eastAsia"/>
                <w:color w:val="auto"/>
                <w:sz w:val="24"/>
                <w:u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24" w:hRule="atLeast"/>
          <w:jc w:val="center"/>
        </w:trPr>
        <w:tc>
          <w:tcPr>
            <w:tcW w:w="1823" w:type="dxa"/>
            <w:gridSpan w:val="2"/>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建设地点</w:t>
            </w:r>
          </w:p>
        </w:tc>
        <w:tc>
          <w:tcPr>
            <w:tcW w:w="7001" w:type="dxa"/>
            <w:gridSpan w:val="4"/>
            <w:vAlign w:val="center"/>
          </w:tcPr>
          <w:p>
            <w:pPr>
              <w:adjustRightInd w:val="0"/>
              <w:snapToGrid w:val="0"/>
              <w:spacing w:line="0" w:lineRule="atLeast"/>
              <w:jc w:val="center"/>
              <w:rPr>
                <w:color w:val="auto"/>
                <w:sz w:val="24"/>
                <w:u w:val="none"/>
              </w:rPr>
            </w:pPr>
            <w:r>
              <w:rPr>
                <w:color w:val="auto"/>
                <w:sz w:val="24"/>
                <w:u w:val="none"/>
              </w:rPr>
              <w:t>湖南省</w:t>
            </w:r>
            <w:r>
              <w:rPr>
                <w:rFonts w:hint="eastAsia"/>
                <w:bCs/>
                <w:color w:val="auto"/>
                <w:sz w:val="24"/>
                <w:u w:val="none"/>
              </w:rPr>
              <w:t>岳阳市湘阴高新技术产业开发区洋沙湖片区芙蓉北路西侧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3" w:hRule="atLeast"/>
          <w:jc w:val="center"/>
        </w:trPr>
        <w:tc>
          <w:tcPr>
            <w:tcW w:w="1823" w:type="dxa"/>
            <w:gridSpan w:val="2"/>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地理坐标</w:t>
            </w:r>
          </w:p>
        </w:tc>
        <w:tc>
          <w:tcPr>
            <w:tcW w:w="7001" w:type="dxa"/>
            <w:gridSpan w:val="4"/>
            <w:vAlign w:val="center"/>
          </w:tcPr>
          <w:p>
            <w:pPr>
              <w:spacing w:line="0" w:lineRule="atLeast"/>
              <w:jc w:val="center"/>
              <w:rPr>
                <w:color w:val="auto"/>
                <w:sz w:val="24"/>
                <w:u w:val="none"/>
              </w:rPr>
            </w:pPr>
            <w:r>
              <w:rPr>
                <w:color w:val="auto"/>
                <w:sz w:val="24"/>
                <w:u w:val="none"/>
              </w:rPr>
              <w:t>东经112°54′56.632″，北纬28°39′14.815″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1823" w:type="dxa"/>
            <w:gridSpan w:val="2"/>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国民经济</w:t>
            </w:r>
          </w:p>
          <w:p>
            <w:pPr>
              <w:adjustRightInd w:val="0"/>
              <w:snapToGrid w:val="0"/>
              <w:spacing w:line="0" w:lineRule="atLeast"/>
              <w:jc w:val="center"/>
              <w:rPr>
                <w:color w:val="auto"/>
                <w:sz w:val="24"/>
                <w:u w:val="none"/>
              </w:rPr>
            </w:pPr>
            <w:r>
              <w:rPr>
                <w:color w:val="auto"/>
                <w:sz w:val="24"/>
                <w:u w:val="none"/>
              </w:rPr>
              <w:t>行业类别</w:t>
            </w:r>
          </w:p>
        </w:tc>
        <w:tc>
          <w:tcPr>
            <w:tcW w:w="1997" w:type="dxa"/>
            <w:vAlign w:val="center"/>
          </w:tcPr>
          <w:p>
            <w:pPr>
              <w:adjustRightInd w:val="0"/>
              <w:snapToGrid w:val="0"/>
              <w:spacing w:line="0" w:lineRule="atLeast"/>
              <w:jc w:val="center"/>
              <w:rPr>
                <w:color w:val="auto"/>
                <w:sz w:val="24"/>
                <w:u w:val="none"/>
              </w:rPr>
            </w:pPr>
            <w:r>
              <w:rPr>
                <w:color w:val="auto"/>
                <w:sz w:val="24"/>
                <w:u w:val="none"/>
              </w:rPr>
              <w:t>C13</w:t>
            </w:r>
            <w:r>
              <w:rPr>
                <w:rFonts w:hint="eastAsia"/>
                <w:color w:val="auto"/>
                <w:sz w:val="24"/>
                <w:u w:val="none"/>
              </w:rPr>
              <w:t>92豆制品制造、C145罐头食品制造、C1469其他调味品、发酵制品制造、C1331食用植物油加工</w:t>
            </w:r>
          </w:p>
        </w:tc>
        <w:tc>
          <w:tcPr>
            <w:tcW w:w="2114" w:type="dxa"/>
            <w:vAlign w:val="center"/>
          </w:tcPr>
          <w:p>
            <w:pPr>
              <w:adjustRightInd w:val="0"/>
              <w:snapToGrid w:val="0"/>
              <w:spacing w:line="0" w:lineRule="atLeast"/>
              <w:jc w:val="center"/>
              <w:rPr>
                <w:color w:val="auto"/>
                <w:sz w:val="24"/>
                <w:u w:val="none"/>
              </w:rPr>
            </w:pPr>
            <w:bookmarkStart w:id="4" w:name="_Hlk49843745"/>
            <w:r>
              <w:rPr>
                <w:color w:val="auto"/>
                <w:sz w:val="24"/>
                <w:u w:val="none"/>
              </w:rPr>
              <w:t>建设项目</w:t>
            </w:r>
          </w:p>
          <w:p>
            <w:pPr>
              <w:adjustRightInd w:val="0"/>
              <w:snapToGrid w:val="0"/>
              <w:spacing w:line="0" w:lineRule="atLeast"/>
              <w:jc w:val="center"/>
              <w:rPr>
                <w:color w:val="auto"/>
                <w:sz w:val="24"/>
                <w:u w:val="none"/>
              </w:rPr>
            </w:pPr>
            <w:r>
              <w:rPr>
                <w:color w:val="auto"/>
                <w:sz w:val="24"/>
                <w:u w:val="none"/>
              </w:rPr>
              <w:t>行业类别</w:t>
            </w:r>
            <w:bookmarkEnd w:id="4"/>
          </w:p>
        </w:tc>
        <w:tc>
          <w:tcPr>
            <w:tcW w:w="2890" w:type="dxa"/>
            <w:gridSpan w:val="2"/>
            <w:vAlign w:val="center"/>
          </w:tcPr>
          <w:p>
            <w:pPr>
              <w:adjustRightInd w:val="0"/>
              <w:snapToGrid w:val="0"/>
              <w:spacing w:line="0" w:lineRule="atLeast"/>
              <w:jc w:val="center"/>
              <w:rPr>
                <w:color w:val="auto"/>
                <w:sz w:val="24"/>
                <w:u w:val="none"/>
              </w:rPr>
            </w:pPr>
            <w:r>
              <w:rPr>
                <w:rFonts w:hint="eastAsia"/>
                <w:color w:val="auto"/>
                <w:sz w:val="24"/>
                <w:u w:val="none"/>
              </w:rPr>
              <w:t>十、</w:t>
            </w:r>
            <w:r>
              <w:rPr>
                <w:color w:val="auto"/>
                <w:sz w:val="24"/>
                <w:u w:val="none"/>
              </w:rPr>
              <w:t>农副食品加工业13</w:t>
            </w:r>
            <w:r>
              <w:rPr>
                <w:rFonts w:hint="eastAsia"/>
                <w:color w:val="auto"/>
                <w:sz w:val="24"/>
                <w:u w:val="none"/>
              </w:rPr>
              <w:t>—20其他农副食品加工</w:t>
            </w:r>
            <w:r>
              <w:rPr>
                <w:color w:val="auto"/>
                <w:sz w:val="24"/>
                <w:u w:val="none"/>
              </w:rPr>
              <w:t>139</w:t>
            </w:r>
            <w:r>
              <w:rPr>
                <w:rFonts w:hint="eastAsia"/>
                <w:color w:val="auto"/>
                <w:sz w:val="24"/>
                <w:u w:val="none"/>
              </w:rPr>
              <w:t>—豆制品制造；</w:t>
            </w:r>
            <w:r>
              <w:rPr>
                <w:color w:val="auto"/>
                <w:sz w:val="24"/>
                <w:u w:val="none"/>
              </w:rPr>
              <w:t>十一、食品制造业14</w:t>
            </w:r>
            <w:r>
              <w:rPr>
                <w:rFonts w:hint="eastAsia"/>
                <w:color w:val="auto"/>
                <w:sz w:val="24"/>
                <w:u w:val="none"/>
              </w:rPr>
              <w:t>—调味品、发酵制品制造146—</w:t>
            </w:r>
            <w:r>
              <w:rPr>
                <w:color w:val="auto"/>
                <w:sz w:val="24"/>
                <w:u w:val="none"/>
              </w:rPr>
              <w:t>其他（单纯混合、分装的除外）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69" w:hRule="atLeast"/>
          <w:jc w:val="center"/>
        </w:trPr>
        <w:tc>
          <w:tcPr>
            <w:tcW w:w="1823" w:type="dxa"/>
            <w:gridSpan w:val="2"/>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建设性质</w:t>
            </w:r>
          </w:p>
        </w:tc>
        <w:tc>
          <w:tcPr>
            <w:tcW w:w="1997" w:type="dxa"/>
            <w:vAlign w:val="center"/>
          </w:tcPr>
          <w:p>
            <w:pPr>
              <w:spacing w:line="0" w:lineRule="atLeast"/>
              <w:jc w:val="left"/>
              <w:rPr>
                <w:color w:val="auto"/>
                <w:sz w:val="24"/>
                <w:u w:val="none"/>
              </w:rPr>
            </w:pPr>
            <w:r>
              <w:rPr>
                <w:rFonts w:ascii="Segoe UI Emoji" w:hAnsi="Segoe UI Emoji" w:eastAsia="MS Mincho" w:cs="Segoe UI Emoji"/>
                <w:color w:val="auto"/>
                <w:sz w:val="24"/>
                <w:u w:val="none"/>
              </w:rPr>
              <w:sym w:font="Wingdings 2" w:char="F052"/>
            </w:r>
            <w:r>
              <w:rPr>
                <w:color w:val="auto"/>
                <w:sz w:val="24"/>
                <w:u w:val="none"/>
              </w:rPr>
              <w:t>新建（迁建）</w:t>
            </w:r>
          </w:p>
          <w:p>
            <w:pPr>
              <w:spacing w:line="0" w:lineRule="atLeast"/>
              <w:jc w:val="left"/>
              <w:rPr>
                <w:color w:val="auto"/>
                <w:sz w:val="24"/>
                <w:u w:val="none"/>
              </w:rPr>
            </w:pPr>
            <w:r>
              <w:rPr>
                <w:color w:val="auto"/>
                <w:sz w:val="24"/>
                <w:u w:val="none"/>
              </w:rPr>
              <w:t>□改建</w:t>
            </w:r>
          </w:p>
          <w:p>
            <w:pPr>
              <w:spacing w:line="0" w:lineRule="atLeast"/>
              <w:jc w:val="left"/>
              <w:rPr>
                <w:color w:val="auto"/>
                <w:sz w:val="24"/>
                <w:u w:val="none"/>
              </w:rPr>
            </w:pPr>
            <w:r>
              <w:rPr>
                <w:color w:val="auto"/>
                <w:sz w:val="24"/>
                <w:u w:val="none"/>
              </w:rPr>
              <w:t>□扩建</w:t>
            </w:r>
          </w:p>
          <w:p>
            <w:pPr>
              <w:spacing w:line="0" w:lineRule="atLeast"/>
              <w:jc w:val="left"/>
              <w:rPr>
                <w:color w:val="auto"/>
                <w:sz w:val="24"/>
                <w:u w:val="none"/>
              </w:rPr>
            </w:pPr>
            <w:r>
              <w:rPr>
                <w:color w:val="auto"/>
                <w:sz w:val="24"/>
                <w:u w:val="none"/>
              </w:rPr>
              <w:t>□技术改造</w:t>
            </w:r>
          </w:p>
        </w:tc>
        <w:tc>
          <w:tcPr>
            <w:tcW w:w="2114" w:type="dxa"/>
            <w:vAlign w:val="center"/>
          </w:tcPr>
          <w:p>
            <w:pPr>
              <w:adjustRightInd w:val="0"/>
              <w:snapToGrid w:val="0"/>
              <w:spacing w:line="0" w:lineRule="atLeast"/>
              <w:jc w:val="center"/>
              <w:rPr>
                <w:color w:val="auto"/>
                <w:sz w:val="24"/>
                <w:u w:val="none"/>
              </w:rPr>
            </w:pPr>
            <w:r>
              <w:rPr>
                <w:color w:val="auto"/>
                <w:sz w:val="24"/>
                <w:u w:val="none"/>
              </w:rPr>
              <w:t>建设项目</w:t>
            </w:r>
          </w:p>
          <w:p>
            <w:pPr>
              <w:adjustRightInd w:val="0"/>
              <w:snapToGrid w:val="0"/>
              <w:spacing w:line="0" w:lineRule="atLeast"/>
              <w:jc w:val="center"/>
              <w:rPr>
                <w:color w:val="auto"/>
                <w:sz w:val="24"/>
                <w:u w:val="none"/>
              </w:rPr>
            </w:pPr>
            <w:r>
              <w:rPr>
                <w:color w:val="auto"/>
                <w:sz w:val="24"/>
                <w:u w:val="none"/>
              </w:rPr>
              <w:t>申报情形</w:t>
            </w:r>
          </w:p>
        </w:tc>
        <w:tc>
          <w:tcPr>
            <w:tcW w:w="2890" w:type="dxa"/>
            <w:gridSpan w:val="2"/>
            <w:vAlign w:val="center"/>
          </w:tcPr>
          <w:p>
            <w:pPr>
              <w:spacing w:line="0" w:lineRule="atLeast"/>
              <w:jc w:val="left"/>
              <w:rPr>
                <w:color w:val="auto"/>
                <w:sz w:val="24"/>
                <w:u w:val="none"/>
              </w:rPr>
            </w:pPr>
            <w:r>
              <w:rPr>
                <w:rFonts w:ascii="Segoe UI Emoji" w:hAnsi="Segoe UI Emoji" w:eastAsia="MS Mincho" w:cs="Segoe UI Emoji"/>
                <w:color w:val="auto"/>
                <w:sz w:val="24"/>
                <w:u w:val="none"/>
              </w:rPr>
              <w:sym w:font="Wingdings 2" w:char="F052"/>
            </w:r>
            <w:r>
              <w:rPr>
                <w:color w:val="auto"/>
                <w:sz w:val="24"/>
                <w:u w:val="none"/>
              </w:rPr>
              <w:t>首次申报项目</w:t>
            </w:r>
          </w:p>
          <w:p>
            <w:pPr>
              <w:spacing w:line="0" w:lineRule="atLeast"/>
              <w:jc w:val="left"/>
              <w:rPr>
                <w:color w:val="auto"/>
                <w:sz w:val="24"/>
                <w:u w:val="none"/>
              </w:rPr>
            </w:pPr>
            <w:r>
              <w:rPr>
                <w:color w:val="auto"/>
                <w:sz w:val="24"/>
                <w:u w:val="none"/>
              </w:rPr>
              <w:t>□不予批准后再次申报项目</w:t>
            </w:r>
          </w:p>
          <w:p>
            <w:pPr>
              <w:spacing w:line="0" w:lineRule="atLeast"/>
              <w:jc w:val="left"/>
              <w:rPr>
                <w:color w:val="auto"/>
                <w:sz w:val="24"/>
                <w:u w:val="none"/>
              </w:rPr>
            </w:pPr>
            <w:r>
              <w:rPr>
                <w:color w:val="auto"/>
                <w:sz w:val="24"/>
                <w:u w:val="none"/>
              </w:rPr>
              <w:t>□超五年重新审核项目</w:t>
            </w:r>
          </w:p>
          <w:p>
            <w:pPr>
              <w:spacing w:line="0" w:lineRule="atLeast"/>
              <w:jc w:val="left"/>
              <w:rPr>
                <w:color w:val="auto"/>
                <w:sz w:val="24"/>
                <w:u w:val="none"/>
              </w:rPr>
            </w:pPr>
            <w:r>
              <w:rPr>
                <w:color w:val="auto"/>
                <w:sz w:val="24"/>
                <w:u w:val="none"/>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1823" w:type="dxa"/>
            <w:gridSpan w:val="2"/>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项目审批（核准/</w:t>
            </w:r>
          </w:p>
          <w:p>
            <w:pPr>
              <w:adjustRightInd w:val="0"/>
              <w:snapToGrid w:val="0"/>
              <w:spacing w:line="0" w:lineRule="atLeast"/>
              <w:jc w:val="center"/>
              <w:rPr>
                <w:color w:val="auto"/>
                <w:sz w:val="24"/>
                <w:u w:val="none"/>
              </w:rPr>
            </w:pPr>
            <w:r>
              <w:rPr>
                <w:color w:val="auto"/>
                <w:sz w:val="24"/>
                <w:u w:val="none"/>
              </w:rPr>
              <w:t>备案）部门（选填）</w:t>
            </w:r>
          </w:p>
        </w:tc>
        <w:tc>
          <w:tcPr>
            <w:tcW w:w="1997" w:type="dxa"/>
            <w:vAlign w:val="center"/>
          </w:tcPr>
          <w:p>
            <w:pPr>
              <w:adjustRightInd w:val="0"/>
              <w:snapToGrid w:val="0"/>
              <w:spacing w:line="0" w:lineRule="atLeast"/>
              <w:jc w:val="center"/>
              <w:rPr>
                <w:color w:val="auto"/>
                <w:sz w:val="24"/>
                <w:u w:val="none"/>
              </w:rPr>
            </w:pPr>
            <w:r>
              <w:rPr>
                <w:rFonts w:hint="eastAsia"/>
                <w:color w:val="auto"/>
                <w:sz w:val="24"/>
                <w:u w:val="none"/>
              </w:rPr>
              <w:t>湘阴高新技术产业开发区管理委员会</w:t>
            </w:r>
          </w:p>
        </w:tc>
        <w:tc>
          <w:tcPr>
            <w:tcW w:w="2114" w:type="dxa"/>
            <w:vAlign w:val="center"/>
          </w:tcPr>
          <w:p>
            <w:pPr>
              <w:adjustRightInd w:val="0"/>
              <w:snapToGrid w:val="0"/>
              <w:spacing w:line="0" w:lineRule="atLeast"/>
              <w:jc w:val="center"/>
              <w:rPr>
                <w:color w:val="auto"/>
                <w:sz w:val="24"/>
                <w:u w:val="none"/>
              </w:rPr>
            </w:pPr>
            <w:r>
              <w:rPr>
                <w:color w:val="auto"/>
                <w:sz w:val="24"/>
                <w:u w:val="none"/>
              </w:rPr>
              <w:t>项目审批（核准/</w:t>
            </w:r>
          </w:p>
          <w:p>
            <w:pPr>
              <w:adjustRightInd w:val="0"/>
              <w:snapToGrid w:val="0"/>
              <w:spacing w:line="0" w:lineRule="atLeast"/>
              <w:jc w:val="center"/>
              <w:rPr>
                <w:color w:val="auto"/>
                <w:sz w:val="24"/>
                <w:u w:val="none"/>
              </w:rPr>
            </w:pPr>
            <w:r>
              <w:rPr>
                <w:color w:val="auto"/>
                <w:sz w:val="24"/>
                <w:u w:val="none"/>
              </w:rPr>
              <w:t>备案）文号（选填）</w:t>
            </w:r>
          </w:p>
        </w:tc>
        <w:tc>
          <w:tcPr>
            <w:tcW w:w="2890" w:type="dxa"/>
            <w:gridSpan w:val="2"/>
            <w:vAlign w:val="center"/>
          </w:tcPr>
          <w:p>
            <w:pPr>
              <w:adjustRightInd w:val="0"/>
              <w:snapToGrid w:val="0"/>
              <w:spacing w:line="0" w:lineRule="atLeast"/>
              <w:jc w:val="center"/>
              <w:rPr>
                <w:color w:val="auto"/>
                <w:sz w:val="24"/>
                <w:u w:val="none"/>
              </w:rPr>
            </w:pPr>
            <w:r>
              <w:rPr>
                <w:color w:val="auto"/>
                <w:sz w:val="24"/>
                <w:u w:val="none"/>
              </w:rPr>
              <w:t>湘阴高新审[2026]19号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1823" w:type="dxa"/>
            <w:gridSpan w:val="2"/>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总投资（万元）</w:t>
            </w:r>
          </w:p>
        </w:tc>
        <w:tc>
          <w:tcPr>
            <w:tcW w:w="1997" w:type="dxa"/>
            <w:vAlign w:val="center"/>
          </w:tcPr>
          <w:p>
            <w:pPr>
              <w:adjustRightInd w:val="0"/>
              <w:snapToGrid w:val="0"/>
              <w:spacing w:line="0" w:lineRule="atLeast"/>
              <w:jc w:val="center"/>
              <w:rPr>
                <w:color w:val="auto"/>
                <w:sz w:val="24"/>
                <w:u w:val="none"/>
              </w:rPr>
            </w:pPr>
            <w:r>
              <w:rPr>
                <w:rFonts w:hint="eastAsia"/>
                <w:color w:val="auto"/>
                <w:sz w:val="24"/>
                <w:u w:val="none"/>
              </w:rPr>
              <w:t>23</w:t>
            </w:r>
            <w:r>
              <w:rPr>
                <w:color w:val="auto"/>
                <w:sz w:val="24"/>
                <w:u w:val="none"/>
              </w:rPr>
              <w:t>00</w:t>
            </w:r>
          </w:p>
        </w:tc>
        <w:tc>
          <w:tcPr>
            <w:tcW w:w="2114" w:type="dxa"/>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环保投资（万元）</w:t>
            </w:r>
          </w:p>
        </w:tc>
        <w:tc>
          <w:tcPr>
            <w:tcW w:w="2890" w:type="dxa"/>
            <w:gridSpan w:val="2"/>
            <w:vAlign w:val="center"/>
          </w:tcPr>
          <w:p>
            <w:pPr>
              <w:adjustRightInd w:val="0"/>
              <w:snapToGrid w:val="0"/>
              <w:spacing w:line="0" w:lineRule="atLeast"/>
              <w:jc w:val="center"/>
              <w:rPr>
                <w:rFonts w:hint="eastAsia"/>
                <w:color w:val="auto"/>
                <w:sz w:val="24"/>
                <w:u w:val="none"/>
              </w:rPr>
            </w:pPr>
            <w:r>
              <w:rPr>
                <w:rFonts w:hint="eastAsia"/>
                <w:color w:val="auto"/>
                <w:sz w:val="24"/>
                <w:u w:val="none"/>
              </w:rPr>
              <w:t>138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23" w:type="dxa"/>
            <w:gridSpan w:val="2"/>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环保投资占比（%）</w:t>
            </w:r>
          </w:p>
        </w:tc>
        <w:tc>
          <w:tcPr>
            <w:tcW w:w="1997" w:type="dxa"/>
            <w:vAlign w:val="center"/>
          </w:tcPr>
          <w:p>
            <w:pPr>
              <w:adjustRightInd w:val="0"/>
              <w:snapToGrid w:val="0"/>
              <w:spacing w:line="0" w:lineRule="atLeast"/>
              <w:jc w:val="center"/>
              <w:rPr>
                <w:color w:val="auto"/>
                <w:sz w:val="24"/>
                <w:u w:val="none"/>
              </w:rPr>
            </w:pPr>
            <w:r>
              <w:rPr>
                <w:rFonts w:hint="eastAsia"/>
                <w:color w:val="auto"/>
                <w:sz w:val="24"/>
                <w:u w:val="none"/>
              </w:rPr>
              <w:t>6%</w:t>
            </w:r>
          </w:p>
        </w:tc>
        <w:tc>
          <w:tcPr>
            <w:tcW w:w="2114" w:type="dxa"/>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施工工期</w:t>
            </w:r>
          </w:p>
        </w:tc>
        <w:tc>
          <w:tcPr>
            <w:tcW w:w="2890" w:type="dxa"/>
            <w:gridSpan w:val="2"/>
            <w:vAlign w:val="center"/>
          </w:tcPr>
          <w:p>
            <w:pPr>
              <w:adjustRightInd w:val="0"/>
              <w:snapToGrid w:val="0"/>
              <w:spacing w:line="0" w:lineRule="atLeast"/>
              <w:jc w:val="center"/>
              <w:rPr>
                <w:color w:val="auto"/>
                <w:sz w:val="24"/>
                <w:u w:val="none"/>
              </w:rPr>
            </w:pPr>
            <w:r>
              <w:rPr>
                <w:rFonts w:hint="eastAsia"/>
                <w:color w:val="auto"/>
                <w:sz w:val="24"/>
                <w:u w:val="none"/>
              </w:rPr>
              <w:t>5</w:t>
            </w:r>
            <w:r>
              <w:rPr>
                <w:color w:val="auto"/>
                <w:sz w:val="24"/>
                <w:u w:val="none"/>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43" w:hRule="atLeast"/>
          <w:jc w:val="center"/>
        </w:trPr>
        <w:tc>
          <w:tcPr>
            <w:tcW w:w="1823" w:type="dxa"/>
            <w:gridSpan w:val="2"/>
            <w:tcMar>
              <w:top w:w="16" w:type="dxa"/>
              <w:left w:w="16" w:type="dxa"/>
              <w:right w:w="16" w:type="dxa"/>
            </w:tcMar>
            <w:vAlign w:val="center"/>
          </w:tcPr>
          <w:p>
            <w:pPr>
              <w:adjustRightInd w:val="0"/>
              <w:snapToGrid w:val="0"/>
              <w:spacing w:line="0" w:lineRule="atLeast"/>
              <w:jc w:val="center"/>
              <w:rPr>
                <w:color w:val="auto"/>
                <w:sz w:val="24"/>
                <w:u w:val="none"/>
              </w:rPr>
            </w:pPr>
            <w:r>
              <w:rPr>
                <w:color w:val="auto"/>
                <w:sz w:val="24"/>
                <w:u w:val="none"/>
              </w:rPr>
              <w:t>是否开工建设</w:t>
            </w:r>
          </w:p>
        </w:tc>
        <w:tc>
          <w:tcPr>
            <w:tcW w:w="1997" w:type="dxa"/>
            <w:vAlign w:val="center"/>
          </w:tcPr>
          <w:p>
            <w:pPr>
              <w:adjustRightInd w:val="0"/>
              <w:snapToGrid w:val="0"/>
              <w:spacing w:line="0" w:lineRule="atLeast"/>
              <w:ind w:firstLine="240" w:firstLineChars="100"/>
              <w:jc w:val="left"/>
              <w:rPr>
                <w:color w:val="auto"/>
                <w:sz w:val="24"/>
                <w:u w:val="none"/>
              </w:rPr>
            </w:pPr>
            <w:r>
              <w:rPr>
                <w:rFonts w:ascii="Segoe UI Emoji" w:hAnsi="Segoe UI Emoji" w:eastAsia="MS Mincho" w:cs="Segoe UI Emoji"/>
                <w:color w:val="auto"/>
                <w:sz w:val="24"/>
                <w:u w:val="none"/>
              </w:rPr>
              <w:sym w:font="Wingdings 2" w:char="F052"/>
            </w:r>
            <w:r>
              <w:rPr>
                <w:color w:val="auto"/>
                <w:sz w:val="24"/>
                <w:u w:val="none"/>
              </w:rPr>
              <w:t>否</w:t>
            </w:r>
          </w:p>
          <w:p>
            <w:pPr>
              <w:adjustRightInd w:val="0"/>
              <w:snapToGrid w:val="0"/>
              <w:spacing w:line="0" w:lineRule="atLeast"/>
              <w:ind w:firstLine="240" w:firstLineChars="100"/>
              <w:jc w:val="left"/>
              <w:rPr>
                <w:color w:val="auto"/>
                <w:sz w:val="24"/>
                <w:u w:val="none"/>
              </w:rPr>
            </w:pPr>
            <w:r>
              <w:rPr>
                <w:color w:val="auto"/>
                <w:sz w:val="24"/>
                <w:u w:val="none"/>
              </w:rPr>
              <w:t>□是：</w:t>
            </w:r>
          </w:p>
        </w:tc>
        <w:tc>
          <w:tcPr>
            <w:tcW w:w="2114" w:type="dxa"/>
            <w:tcMar>
              <w:top w:w="16" w:type="dxa"/>
              <w:left w:w="16" w:type="dxa"/>
              <w:right w:w="16" w:type="dxa"/>
            </w:tcMar>
            <w:vAlign w:val="center"/>
          </w:tcPr>
          <w:p>
            <w:pPr>
              <w:adjustRightInd w:val="0"/>
              <w:snapToGrid w:val="0"/>
              <w:spacing w:line="0" w:lineRule="atLeast"/>
              <w:jc w:val="center"/>
              <w:rPr>
                <w:color w:val="auto"/>
                <w:spacing w:val="-6"/>
                <w:sz w:val="24"/>
                <w:u w:val="none"/>
              </w:rPr>
            </w:pPr>
            <w:r>
              <w:rPr>
                <w:color w:val="auto"/>
                <w:spacing w:val="-6"/>
                <w:sz w:val="24"/>
                <w:u w:val="none"/>
              </w:rPr>
              <w:t>用地（用海）</w:t>
            </w:r>
          </w:p>
          <w:p>
            <w:pPr>
              <w:adjustRightInd w:val="0"/>
              <w:snapToGrid w:val="0"/>
              <w:spacing w:line="0" w:lineRule="atLeast"/>
              <w:jc w:val="center"/>
              <w:rPr>
                <w:color w:val="auto"/>
                <w:sz w:val="24"/>
                <w:u w:val="none"/>
              </w:rPr>
            </w:pPr>
            <w:r>
              <w:rPr>
                <w:color w:val="auto"/>
                <w:spacing w:val="-6"/>
                <w:sz w:val="24"/>
                <w:u w:val="none"/>
              </w:rPr>
              <w:t>面积（m</w:t>
            </w:r>
            <w:r>
              <w:rPr>
                <w:color w:val="auto"/>
                <w:spacing w:val="-6"/>
                <w:sz w:val="24"/>
                <w:u w:val="none"/>
                <w:vertAlign w:val="superscript"/>
              </w:rPr>
              <w:t>2</w:t>
            </w:r>
            <w:r>
              <w:rPr>
                <w:color w:val="auto"/>
                <w:spacing w:val="-6"/>
                <w:sz w:val="24"/>
                <w:u w:val="none"/>
              </w:rPr>
              <w:t>）</w:t>
            </w:r>
          </w:p>
        </w:tc>
        <w:tc>
          <w:tcPr>
            <w:tcW w:w="2890" w:type="dxa"/>
            <w:gridSpan w:val="2"/>
            <w:vAlign w:val="center"/>
          </w:tcPr>
          <w:p>
            <w:pPr>
              <w:adjustRightInd w:val="0"/>
              <w:snapToGrid w:val="0"/>
              <w:spacing w:line="0" w:lineRule="atLeast"/>
              <w:jc w:val="center"/>
              <w:rPr>
                <w:color w:val="auto"/>
                <w:sz w:val="24"/>
                <w:u w:val="none"/>
              </w:rPr>
            </w:pPr>
            <w:r>
              <w:rPr>
                <w:rFonts w:hint="eastAsia"/>
                <w:color w:val="auto"/>
                <w:sz w:val="24"/>
                <w:u w:val="none"/>
              </w:rPr>
              <w:t>57557.79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vAlign w:val="center"/>
          </w:tcPr>
          <w:p>
            <w:pPr>
              <w:autoSpaceDE w:val="0"/>
              <w:autoSpaceDN w:val="0"/>
              <w:adjustRightInd w:val="0"/>
              <w:snapToGrid w:val="0"/>
              <w:jc w:val="center"/>
              <w:rPr>
                <w:color w:val="auto"/>
                <w:kern w:val="0"/>
                <w:sz w:val="24"/>
                <w:u w:val="none"/>
              </w:rPr>
            </w:pPr>
            <w:r>
              <w:rPr>
                <w:color w:val="auto"/>
                <w:kern w:val="0"/>
                <w:sz w:val="24"/>
                <w:u w:val="none"/>
              </w:rPr>
              <w:t>专项评价设置情况</w:t>
            </w:r>
          </w:p>
        </w:tc>
        <w:tc>
          <w:tcPr>
            <w:tcW w:w="8125" w:type="dxa"/>
            <w:gridSpan w:val="5"/>
            <w:vAlign w:val="center"/>
          </w:tcPr>
          <w:p>
            <w:pPr>
              <w:autoSpaceDE w:val="0"/>
              <w:autoSpaceDN w:val="0"/>
              <w:adjustRightInd w:val="0"/>
              <w:snapToGrid w:val="0"/>
              <w:spacing w:line="360" w:lineRule="auto"/>
              <w:ind w:firstLine="480" w:firstLineChars="200"/>
              <w:jc w:val="left"/>
              <w:rPr>
                <w:color w:val="auto"/>
                <w:kern w:val="0"/>
                <w:sz w:val="24"/>
                <w:u w:val="none"/>
              </w:rPr>
            </w:pPr>
            <w:r>
              <w:rPr>
                <w:color w:val="auto"/>
                <w:kern w:val="0"/>
                <w:sz w:val="24"/>
                <w:u w:val="none"/>
              </w:rPr>
              <w:t>根据《建设项目环境影响报告表编制技术指南（污染影响类）》专项设置评价如下：</w:t>
            </w:r>
          </w:p>
          <w:p>
            <w:pPr>
              <w:autoSpaceDE w:val="0"/>
              <w:autoSpaceDN w:val="0"/>
              <w:adjustRightInd w:val="0"/>
              <w:snapToGrid w:val="0"/>
              <w:spacing w:line="360" w:lineRule="auto"/>
              <w:jc w:val="center"/>
              <w:rPr>
                <w:b/>
                <w:bCs/>
                <w:color w:val="auto"/>
                <w:kern w:val="0"/>
                <w:sz w:val="24"/>
                <w:u w:val="none"/>
              </w:rPr>
            </w:pPr>
            <w:r>
              <w:rPr>
                <w:b/>
                <w:bCs/>
                <w:color w:val="auto"/>
                <w:kern w:val="0"/>
                <w:sz w:val="24"/>
                <w:u w:val="none"/>
              </w:rPr>
              <w:t>表1-1   专项设置评价情况一览表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3055"/>
              <w:gridCol w:w="3055"/>
              <w:gridCol w:w="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b/>
                      <w:bCs/>
                      <w:color w:val="auto"/>
                      <w:kern w:val="0"/>
                      <w:szCs w:val="21"/>
                      <w:u w:val="none"/>
                    </w:rPr>
                  </w:pPr>
                  <w:r>
                    <w:rPr>
                      <w:b/>
                      <w:bCs/>
                      <w:color w:val="auto"/>
                      <w:kern w:val="0"/>
                      <w:szCs w:val="21"/>
                      <w:u w:val="none"/>
                    </w:rPr>
                    <w:t>专项评价类别</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b/>
                      <w:bCs/>
                      <w:color w:val="auto"/>
                      <w:kern w:val="0"/>
                      <w:szCs w:val="21"/>
                      <w:u w:val="none"/>
                    </w:rPr>
                  </w:pPr>
                  <w:r>
                    <w:rPr>
                      <w:b/>
                      <w:bCs/>
                      <w:color w:val="auto"/>
                      <w:kern w:val="0"/>
                      <w:szCs w:val="21"/>
                      <w:u w:val="none"/>
                    </w:rPr>
                    <w:t>设置原则</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b/>
                      <w:bCs/>
                      <w:color w:val="auto"/>
                      <w:kern w:val="0"/>
                      <w:szCs w:val="21"/>
                      <w:u w:val="none"/>
                    </w:rPr>
                  </w:pPr>
                  <w:r>
                    <w:rPr>
                      <w:b/>
                      <w:bCs/>
                      <w:color w:val="auto"/>
                      <w:kern w:val="0"/>
                      <w:szCs w:val="21"/>
                      <w:u w:val="none"/>
                    </w:rPr>
                    <w:t>本项目情况</w:t>
                  </w:r>
                </w:p>
              </w:tc>
              <w:tc>
                <w:tcPr>
                  <w:tcW w:w="536"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b/>
                      <w:bCs/>
                      <w:color w:val="auto"/>
                      <w:kern w:val="0"/>
                      <w:szCs w:val="21"/>
                      <w:u w:val="none"/>
                    </w:rPr>
                  </w:pPr>
                  <w:r>
                    <w:rPr>
                      <w:rFonts w:hint="eastAsia"/>
                      <w:b/>
                      <w:bCs/>
                      <w:color w:val="auto"/>
                      <w:kern w:val="0"/>
                      <w:szCs w:val="21"/>
                      <w:u w:val="none"/>
                    </w:rPr>
                    <w:t>是否设置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大气</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排放废气含有毒有害污染物、二噁英、苯并[a]芘、氰化物、氯气且厂界外500米范围内有环境空气保护目标的建设项目</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不涉及以上有毒有害污染物</w:t>
                  </w:r>
                </w:p>
              </w:tc>
              <w:tc>
                <w:tcPr>
                  <w:tcW w:w="536"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rFonts w:hint="eastAsia"/>
                      <w:color w:val="auto"/>
                      <w:kern w:val="0"/>
                      <w:szCs w:val="21"/>
                      <w:u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地表水</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新增工业废水直排建设项目（槽罐车外送污水处理厂的除外）；新增废水直排的污水集中处理厂</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项目生产废水经自建污水处理站处理后排入湘阴县第二污水处理厂深度处理</w:t>
                  </w:r>
                </w:p>
              </w:tc>
              <w:tc>
                <w:tcPr>
                  <w:tcW w:w="536"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rFonts w:hint="eastAsia"/>
                      <w:color w:val="auto"/>
                      <w:kern w:val="0"/>
                      <w:szCs w:val="21"/>
                      <w:u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环境风险</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有毒有害和易燃易爆危险物质存储量超过临界量的建设项目</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环境风险物质未超临界值</w:t>
                  </w:r>
                </w:p>
              </w:tc>
              <w:tc>
                <w:tcPr>
                  <w:tcW w:w="536"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rFonts w:hint="eastAsia"/>
                      <w:color w:val="auto"/>
                      <w:kern w:val="0"/>
                      <w:szCs w:val="21"/>
                      <w:u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生态</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取水口下游500 米范围内有重要水生生物的自然产卵场、索饵场、越冬场和洄游通道的新增河道取水的污染类建设项目</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rFonts w:hint="eastAsia"/>
                      <w:color w:val="auto"/>
                      <w:kern w:val="0"/>
                      <w:szCs w:val="21"/>
                      <w:u w:val="none"/>
                    </w:rPr>
                    <w:t>采用市政供水，不设取水口</w:t>
                  </w:r>
                </w:p>
              </w:tc>
              <w:tc>
                <w:tcPr>
                  <w:tcW w:w="536"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rFonts w:hint="eastAsia"/>
                      <w:color w:val="auto"/>
                      <w:kern w:val="0"/>
                      <w:szCs w:val="21"/>
                      <w:u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海洋</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直接向海排放污染物的海洋工程建设项目</w:t>
                  </w:r>
                </w:p>
              </w:tc>
              <w:tc>
                <w:tcPr>
                  <w:tcW w:w="1933"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color w:val="auto"/>
                      <w:kern w:val="0"/>
                      <w:szCs w:val="21"/>
                      <w:u w:val="none"/>
                    </w:rPr>
                    <w:t>不涉及向海洋排放污染物</w:t>
                  </w:r>
                </w:p>
              </w:tc>
              <w:tc>
                <w:tcPr>
                  <w:tcW w:w="536"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color w:val="auto"/>
                      <w:kern w:val="0"/>
                      <w:szCs w:val="21"/>
                      <w:u w:val="none"/>
                    </w:rPr>
                  </w:pPr>
                  <w:r>
                    <w:rPr>
                      <w:rFonts w:hint="eastAsia"/>
                      <w:color w:val="auto"/>
                      <w:kern w:val="0"/>
                      <w:szCs w:val="21"/>
                      <w:u w:val="none"/>
                    </w:rPr>
                    <w:t>否</w:t>
                  </w:r>
                </w:p>
              </w:tc>
            </w:tr>
          </w:tbl>
          <w:p>
            <w:pPr>
              <w:autoSpaceDE w:val="0"/>
              <w:autoSpaceDN w:val="0"/>
              <w:adjustRightInd w:val="0"/>
              <w:snapToGrid w:val="0"/>
              <w:spacing w:line="360" w:lineRule="auto"/>
              <w:ind w:firstLine="480" w:firstLineChars="200"/>
              <w:jc w:val="left"/>
              <w:rPr>
                <w:color w:val="auto"/>
                <w:kern w:val="0"/>
                <w:sz w:val="24"/>
                <w:u w:val="none"/>
              </w:rPr>
            </w:pPr>
            <w:r>
              <w:rPr>
                <w:color w:val="auto"/>
                <w:kern w:val="0"/>
                <w:sz w:val="24"/>
                <w:u w:val="none"/>
              </w:rPr>
              <w:t>根据以上设置原则，本项目无须设置专项评价</w:t>
            </w:r>
            <w:r>
              <w:rPr>
                <w:rFonts w:hint="eastAsia"/>
                <w:color w:val="auto"/>
                <w:kern w:val="0"/>
                <w:sz w:val="24"/>
                <w:u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vAlign w:val="center"/>
          </w:tcPr>
          <w:p>
            <w:pPr>
              <w:autoSpaceDE w:val="0"/>
              <w:autoSpaceDN w:val="0"/>
              <w:adjustRightInd w:val="0"/>
              <w:snapToGrid w:val="0"/>
              <w:jc w:val="center"/>
              <w:rPr>
                <w:color w:val="auto"/>
                <w:kern w:val="0"/>
                <w:sz w:val="24"/>
                <w:u w:val="none"/>
              </w:rPr>
            </w:pPr>
            <w:r>
              <w:rPr>
                <w:color w:val="auto"/>
                <w:sz w:val="24"/>
                <w:u w:val="none"/>
              </w:rPr>
              <w:t>规划情况</w:t>
            </w:r>
          </w:p>
        </w:tc>
        <w:tc>
          <w:tcPr>
            <w:tcW w:w="8125" w:type="dxa"/>
            <w:gridSpan w:val="5"/>
            <w:vAlign w:val="center"/>
          </w:tcPr>
          <w:p>
            <w:pPr>
              <w:autoSpaceDE w:val="0"/>
              <w:autoSpaceDN w:val="0"/>
              <w:adjustRightInd w:val="0"/>
              <w:snapToGrid w:val="0"/>
              <w:spacing w:line="360" w:lineRule="auto"/>
              <w:ind w:firstLine="480" w:firstLineChars="200"/>
              <w:jc w:val="left"/>
              <w:rPr>
                <w:color w:val="auto"/>
                <w:kern w:val="0"/>
                <w:sz w:val="24"/>
                <w:u w:val="none"/>
              </w:rPr>
            </w:pPr>
            <w:r>
              <w:rPr>
                <w:color w:val="auto"/>
                <w:kern w:val="0"/>
                <w:sz w:val="24"/>
                <w:u w:val="none"/>
              </w:rPr>
              <w:t>规划名称：《湖南湘阴高新区近期规划（2020-2025）》，湘阴高新技术产业开发区管理委员会。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vAlign w:val="center"/>
          </w:tcPr>
          <w:p>
            <w:pPr>
              <w:adjustRightInd w:val="0"/>
              <w:snapToGrid w:val="0"/>
              <w:jc w:val="center"/>
              <w:rPr>
                <w:color w:val="auto"/>
                <w:kern w:val="0"/>
                <w:sz w:val="24"/>
                <w:u w:val="none"/>
              </w:rPr>
            </w:pPr>
            <w:r>
              <w:rPr>
                <w:color w:val="auto"/>
                <w:sz w:val="24"/>
                <w:u w:val="none"/>
              </w:rPr>
              <w:t>规划环境影响评价情况</w:t>
            </w:r>
          </w:p>
        </w:tc>
        <w:tc>
          <w:tcPr>
            <w:tcW w:w="8125" w:type="dxa"/>
            <w:gridSpan w:val="5"/>
            <w:vAlign w:val="center"/>
          </w:tcPr>
          <w:p>
            <w:pPr>
              <w:autoSpaceDE w:val="0"/>
              <w:autoSpaceDN w:val="0"/>
              <w:adjustRightInd w:val="0"/>
              <w:snapToGrid w:val="0"/>
              <w:spacing w:line="360" w:lineRule="auto"/>
              <w:ind w:firstLine="480" w:firstLineChars="200"/>
              <w:jc w:val="left"/>
              <w:rPr>
                <w:color w:val="auto"/>
                <w:kern w:val="0"/>
                <w:sz w:val="24"/>
                <w:u w:val="none"/>
              </w:rPr>
            </w:pPr>
            <w:r>
              <w:rPr>
                <w:color w:val="auto"/>
                <w:kern w:val="0"/>
                <w:sz w:val="24"/>
                <w:u w:val="none"/>
              </w:rPr>
              <w:t>规划环境影响评价文件名称：《湘阴高新技术产业开发区调区扩区规划环境影响报告书》；</w:t>
            </w:r>
          </w:p>
          <w:p>
            <w:pPr>
              <w:autoSpaceDE w:val="0"/>
              <w:autoSpaceDN w:val="0"/>
              <w:adjustRightInd w:val="0"/>
              <w:snapToGrid w:val="0"/>
              <w:spacing w:line="360" w:lineRule="auto"/>
              <w:ind w:firstLine="480" w:firstLineChars="200"/>
              <w:jc w:val="left"/>
              <w:rPr>
                <w:color w:val="auto"/>
                <w:kern w:val="0"/>
                <w:sz w:val="24"/>
                <w:u w:val="none"/>
              </w:rPr>
            </w:pPr>
            <w:r>
              <w:rPr>
                <w:color w:val="auto"/>
                <w:kern w:val="0"/>
                <w:sz w:val="24"/>
                <w:u w:val="none"/>
              </w:rPr>
              <w:t>审批机构：湖南省生态环境厅；</w:t>
            </w:r>
          </w:p>
          <w:p>
            <w:pPr>
              <w:autoSpaceDE w:val="0"/>
              <w:autoSpaceDN w:val="0"/>
              <w:adjustRightInd w:val="0"/>
              <w:snapToGrid w:val="0"/>
              <w:spacing w:line="360" w:lineRule="auto"/>
              <w:ind w:firstLine="480" w:firstLineChars="200"/>
              <w:jc w:val="left"/>
              <w:rPr>
                <w:color w:val="auto"/>
                <w:kern w:val="0"/>
                <w:sz w:val="24"/>
                <w:u w:val="none"/>
              </w:rPr>
            </w:pPr>
            <w:r>
              <w:rPr>
                <w:color w:val="auto"/>
                <w:kern w:val="0"/>
                <w:sz w:val="24"/>
                <w:u w:val="none"/>
              </w:rPr>
              <w:t>审查文件名称及文号：《湖南省生态环境厅关于〈湘阴高新技术产业开发区调区扩区规划环境影响报告书〉审查意见的函》（湘环评函〔2022〕65号）。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vAlign w:val="center"/>
          </w:tcPr>
          <w:p>
            <w:pPr>
              <w:autoSpaceDE w:val="0"/>
              <w:autoSpaceDN w:val="0"/>
              <w:adjustRightInd w:val="0"/>
              <w:snapToGrid w:val="0"/>
              <w:jc w:val="center"/>
              <w:rPr>
                <w:color w:val="auto"/>
                <w:kern w:val="0"/>
                <w:sz w:val="24"/>
                <w:u w:val="none"/>
              </w:rPr>
            </w:pPr>
            <w:r>
              <w:rPr>
                <w:color w:val="auto"/>
                <w:kern w:val="0"/>
                <w:sz w:val="24"/>
                <w:u w:val="none"/>
              </w:rPr>
              <w:t>规划及规划环境影响评价符合性分析</w:t>
            </w:r>
          </w:p>
        </w:tc>
        <w:tc>
          <w:tcPr>
            <w:tcW w:w="8125" w:type="dxa"/>
            <w:gridSpan w:val="5"/>
            <w:vAlign w:val="center"/>
          </w:tcPr>
          <w:p>
            <w:pPr>
              <w:adjustRightInd w:val="0"/>
              <w:snapToGrid w:val="0"/>
              <w:spacing w:line="360" w:lineRule="auto"/>
              <w:ind w:right="55" w:rightChars="26"/>
              <w:rPr>
                <w:b/>
                <w:bCs/>
                <w:color w:val="auto"/>
                <w:sz w:val="24"/>
                <w:u w:val="none"/>
              </w:rPr>
            </w:pPr>
            <w:r>
              <w:rPr>
                <w:rFonts w:hint="eastAsia"/>
                <w:b/>
                <w:bCs/>
                <w:color w:val="auto"/>
                <w:sz w:val="24"/>
                <w:u w:val="none"/>
              </w:rPr>
              <w:t xml:space="preserve">1.1 </w:t>
            </w:r>
            <w:r>
              <w:rPr>
                <w:b/>
                <w:bCs/>
                <w:color w:val="auto"/>
                <w:sz w:val="24"/>
                <w:u w:val="none"/>
              </w:rPr>
              <w:t>与《湖南湘阴高新区近期规划（2020-2025）》符合性分析</w:t>
            </w:r>
          </w:p>
          <w:p>
            <w:pPr>
              <w:autoSpaceDE w:val="0"/>
              <w:autoSpaceDN w:val="0"/>
              <w:adjustRightInd w:val="0"/>
              <w:snapToGrid w:val="0"/>
              <w:spacing w:line="360" w:lineRule="auto"/>
              <w:ind w:firstLine="480" w:firstLineChars="200"/>
              <w:jc w:val="left"/>
              <w:rPr>
                <w:color w:val="auto"/>
                <w:sz w:val="24"/>
                <w:u w:val="none"/>
              </w:rPr>
            </w:pPr>
            <w:r>
              <w:rPr>
                <w:rFonts w:hint="eastAsia"/>
                <w:color w:val="auto"/>
                <w:sz w:val="24"/>
                <w:u w:val="none"/>
              </w:rPr>
              <w:t xml:space="preserve"> </w:t>
            </w:r>
            <w:r>
              <w:rPr>
                <w:color w:val="auto"/>
                <w:sz w:val="24"/>
                <w:u w:val="none"/>
              </w:rPr>
              <w:t>根据规划，湖南湘阴高新技术产业开发区为“</w:t>
            </w:r>
            <w:r>
              <w:rPr>
                <w:rFonts w:hint="eastAsia"/>
                <w:color w:val="auto"/>
                <w:sz w:val="24"/>
                <w:u w:val="none"/>
                <w:lang w:val="en-US" w:eastAsia="zh-CN"/>
              </w:rPr>
              <w:t>一园三区</w:t>
            </w:r>
            <w:r>
              <w:rPr>
                <w:color w:val="auto"/>
                <w:sz w:val="24"/>
                <w:u w:val="none"/>
              </w:rPr>
              <w:t>”，即临港片区、洋沙湖片区和金龙片区，规划区范围面积共计约12.40平方公里。本项目位于洋沙湖片区，根据规划相关内容，对本项目与《湖南湘阴高新区近期规划（2020-2025）》相符性分析列表如下：</w:t>
            </w:r>
          </w:p>
          <w:p>
            <w:pPr>
              <w:adjustRightInd w:val="0"/>
              <w:snapToGrid w:val="0"/>
              <w:spacing w:line="360" w:lineRule="auto"/>
              <w:ind w:right="55" w:rightChars="26"/>
              <w:jc w:val="center"/>
              <w:rPr>
                <w:b/>
                <w:bCs/>
                <w:color w:val="auto"/>
                <w:sz w:val="24"/>
                <w:u w:val="none"/>
              </w:rPr>
            </w:pPr>
            <w:r>
              <w:rPr>
                <w:b/>
                <w:bCs/>
                <w:color w:val="auto"/>
                <w:sz w:val="24"/>
                <w:u w:val="none"/>
              </w:rPr>
              <w:t>表</w:t>
            </w:r>
            <w:r>
              <w:rPr>
                <w:rFonts w:hint="eastAsia"/>
                <w:b/>
                <w:bCs/>
                <w:color w:val="auto"/>
                <w:sz w:val="24"/>
                <w:u w:val="none"/>
              </w:rPr>
              <w:t>1.1-2</w:t>
            </w:r>
            <w:r>
              <w:rPr>
                <w:b/>
                <w:bCs/>
                <w:color w:val="auto"/>
                <w:sz w:val="24"/>
                <w:u w:val="none"/>
              </w:rPr>
              <w:t>与《湖南湘阴高新区近期规划（2020-2025）》相符性分析</w:t>
            </w:r>
          </w:p>
          <w:tbl>
            <w:tblPr>
              <w:tblStyle w:val="2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3414"/>
              <w:gridCol w:w="2628"/>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b/>
                      <w:bCs/>
                      <w:color w:val="auto"/>
                      <w:szCs w:val="21"/>
                      <w:u w:val="none"/>
                    </w:rPr>
                  </w:pPr>
                  <w:r>
                    <w:rPr>
                      <w:b/>
                      <w:bCs/>
                      <w:color w:val="auto"/>
                      <w:szCs w:val="21"/>
                      <w:u w:val="none"/>
                    </w:rPr>
                    <w:t>项目</w:t>
                  </w:r>
                </w:p>
              </w:tc>
              <w:tc>
                <w:tcPr>
                  <w:tcW w:w="3002"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b/>
                      <w:bCs/>
                      <w:color w:val="auto"/>
                      <w:szCs w:val="21"/>
                      <w:u w:val="none"/>
                    </w:rPr>
                  </w:pPr>
                  <w:r>
                    <w:rPr>
                      <w:b/>
                      <w:bCs/>
                      <w:color w:val="auto"/>
                      <w:szCs w:val="21"/>
                      <w:u w:val="none"/>
                    </w:rPr>
                    <w:t>规划内容</w:t>
                  </w:r>
                </w:p>
              </w:tc>
              <w:tc>
                <w:tcPr>
                  <w:tcW w:w="2311"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b/>
                      <w:bCs/>
                      <w:color w:val="auto"/>
                      <w:szCs w:val="21"/>
                      <w:u w:val="none"/>
                    </w:rPr>
                  </w:pPr>
                  <w:r>
                    <w:rPr>
                      <w:b/>
                      <w:bCs/>
                      <w:color w:val="auto"/>
                      <w:szCs w:val="21"/>
                      <w:u w:val="none"/>
                    </w:rPr>
                    <w:t>本项目情况</w:t>
                  </w:r>
                </w:p>
              </w:tc>
              <w:tc>
                <w:tcPr>
                  <w:tcW w:w="929"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b/>
                      <w:bCs/>
                      <w:color w:val="auto"/>
                      <w:szCs w:val="21"/>
                      <w:u w:val="none"/>
                    </w:rPr>
                  </w:pPr>
                  <w:r>
                    <w:rPr>
                      <w:b/>
                      <w:bCs/>
                      <w:color w:val="auto"/>
                      <w:szCs w:val="21"/>
                      <w:u w:val="none"/>
                    </w:rPr>
                    <w:t>相符性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区位划分</w:t>
                  </w:r>
                </w:p>
              </w:tc>
              <w:tc>
                <w:tcPr>
                  <w:tcW w:w="3002"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洋沙湖片区位于县城中部与南部，范围东至芙蓉北路、南至京港澳复线互通口、西至中联大道、北至白水江路，面积为695.16 公顷</w:t>
                  </w:r>
                </w:p>
              </w:tc>
              <w:tc>
                <w:tcPr>
                  <w:tcW w:w="2311"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bCs/>
                      <w:color w:val="auto"/>
                      <w:szCs w:val="21"/>
                      <w:u w:val="none"/>
                    </w:rPr>
                  </w:pPr>
                  <w:r>
                    <w:rPr>
                      <w:bCs/>
                      <w:color w:val="auto"/>
                      <w:szCs w:val="21"/>
                      <w:u w:val="none"/>
                    </w:rPr>
                    <w:t>本项目位于湖南省岳阳市湘阴县湘阴高新技术产业开发区洋沙湖片区</w:t>
                  </w:r>
                  <w:r>
                    <w:rPr>
                      <w:rFonts w:hint="eastAsia"/>
                      <w:bCs/>
                      <w:color w:val="auto"/>
                      <w:szCs w:val="21"/>
                      <w:u w:val="none"/>
                    </w:rPr>
                    <w:t>芙蓉北路西侧</w:t>
                  </w:r>
                </w:p>
              </w:tc>
              <w:tc>
                <w:tcPr>
                  <w:tcW w:w="929"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功能定位</w:t>
                  </w:r>
                </w:p>
              </w:tc>
              <w:tc>
                <w:tcPr>
                  <w:tcW w:w="3002"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 xml:space="preserve">发挥靠城（长沙）依江（湘江）的区位优势，立足对接长沙、省级高新技术开发区发展核心平台的有利条件，依托长株潭大经济圈及岳阳、益阳两城市的经济辐射，以“以园兴工、以工兴县”的战略，千方百计加大园区基础建设力度，想方设法引进战略投资大户，把园区建成为规模工业企业的集聚区，商贸流通的重点区，城镇化发展的示范区，对外开放的先导区，以及全国较高水平的省级生态环保型城郊综合工业园区。 </w:t>
                  </w:r>
                </w:p>
              </w:tc>
              <w:tc>
                <w:tcPr>
                  <w:tcW w:w="2311"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bCs/>
                      <w:color w:val="auto"/>
                      <w:szCs w:val="21"/>
                      <w:u w:val="none"/>
                    </w:rPr>
                  </w:pPr>
                  <w:r>
                    <w:rPr>
                      <w:bCs/>
                      <w:color w:val="auto"/>
                      <w:szCs w:val="21"/>
                      <w:u w:val="none"/>
                    </w:rPr>
                    <w:t>项目投产后经济效益显著，将给当地经济和就业带来一定的机会。因此，本项目符合园区功能定位。</w:t>
                  </w:r>
                </w:p>
              </w:tc>
              <w:tc>
                <w:tcPr>
                  <w:tcW w:w="929"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产业定位</w:t>
                  </w:r>
                </w:p>
              </w:tc>
              <w:tc>
                <w:tcPr>
                  <w:tcW w:w="3002"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 xml:space="preserve">主导产业：绿色装备制造、绿色建筑建材、绿色食品加工； </w:t>
                  </w:r>
                </w:p>
                <w:p>
                  <w:pPr>
                    <w:adjustRightInd w:val="0"/>
                    <w:snapToGrid w:val="0"/>
                    <w:ind w:right="55" w:rightChars="26"/>
                    <w:jc w:val="center"/>
                    <w:rPr>
                      <w:color w:val="auto"/>
                      <w:szCs w:val="21"/>
                      <w:u w:val="none"/>
                    </w:rPr>
                  </w:pPr>
                  <w:r>
                    <w:rPr>
                      <w:color w:val="auto"/>
                      <w:szCs w:val="21"/>
                      <w:u w:val="none"/>
                    </w:rPr>
                    <w:t>配套产业：电子信息、新材料。</w:t>
                  </w:r>
                </w:p>
              </w:tc>
              <w:tc>
                <w:tcPr>
                  <w:tcW w:w="2311"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本项目为</w:t>
                  </w:r>
                  <w:r>
                    <w:rPr>
                      <w:rFonts w:hint="eastAsia"/>
                      <w:color w:val="auto"/>
                      <w:szCs w:val="21"/>
                      <w:u w:val="none"/>
                    </w:rPr>
                    <w:t>食品制造业</w:t>
                  </w:r>
                  <w:r>
                    <w:rPr>
                      <w:color w:val="auto"/>
                      <w:szCs w:val="21"/>
                      <w:u w:val="none"/>
                    </w:rPr>
                    <w:t>，符合园区产业定位。</w:t>
                  </w:r>
                </w:p>
              </w:tc>
              <w:tc>
                <w:tcPr>
                  <w:tcW w:w="929"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rFonts w:hint="eastAsia"/>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分区定位</w:t>
                  </w:r>
                </w:p>
              </w:tc>
              <w:tc>
                <w:tcPr>
                  <w:tcW w:w="3002"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洋沙湖片区规划重点发展装备制造、食品加工、新材料产业（主要包含电子专用材料制造、电池制造（不含铅酸蓄电池））、废弃资源综合利用（包括利用金属废料和碎屑加工处理和废油回收）、电子信息和建筑建材</w:t>
                  </w:r>
                </w:p>
              </w:tc>
              <w:tc>
                <w:tcPr>
                  <w:tcW w:w="2311"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项目</w:t>
                  </w:r>
                  <w:r>
                    <w:rPr>
                      <w:rFonts w:hint="eastAsia"/>
                      <w:color w:val="auto"/>
                      <w:szCs w:val="21"/>
                      <w:u w:val="none"/>
                    </w:rPr>
                    <w:t>属于</w:t>
                  </w:r>
                  <w:r>
                    <w:rPr>
                      <w:color w:val="auto"/>
                      <w:szCs w:val="21"/>
                      <w:u w:val="none"/>
                    </w:rPr>
                    <w:t>《国民经济行业分类》(GB/T4754-2017）中的</w:t>
                  </w:r>
                  <w:r>
                    <w:rPr>
                      <w:rFonts w:hint="eastAsia"/>
                      <w:color w:val="auto"/>
                      <w:szCs w:val="21"/>
                      <w:u w:val="none"/>
                    </w:rPr>
                    <w:t>C13农副食品加工业及C14食品制造业</w:t>
                  </w:r>
                  <w:r>
                    <w:rPr>
                      <w:color w:val="auto"/>
                      <w:szCs w:val="21"/>
                      <w:u w:val="none"/>
                    </w:rPr>
                    <w:t>，</w:t>
                  </w:r>
                  <w:r>
                    <w:rPr>
                      <w:rFonts w:hint="eastAsia"/>
                      <w:color w:val="auto"/>
                      <w:szCs w:val="21"/>
                      <w:u w:val="none"/>
                    </w:rPr>
                    <w:t>为洋沙湖片区</w:t>
                  </w:r>
                  <w:r>
                    <w:rPr>
                      <w:color w:val="auto"/>
                      <w:szCs w:val="21"/>
                      <w:u w:val="none"/>
                    </w:rPr>
                    <w:t>重点发展的</w:t>
                  </w:r>
                  <w:r>
                    <w:rPr>
                      <w:rFonts w:hint="eastAsia"/>
                      <w:color w:val="auto"/>
                      <w:szCs w:val="21"/>
                      <w:u w:val="none"/>
                    </w:rPr>
                    <w:t>食品加工行业</w:t>
                  </w:r>
                </w:p>
              </w:tc>
              <w:tc>
                <w:tcPr>
                  <w:tcW w:w="929"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符合</w:t>
                  </w:r>
                </w:p>
              </w:tc>
            </w:tr>
          </w:tbl>
          <w:p>
            <w:pPr>
              <w:adjustRightInd w:val="0"/>
              <w:snapToGrid w:val="0"/>
              <w:spacing w:line="360" w:lineRule="auto"/>
              <w:ind w:right="55" w:rightChars="26" w:firstLine="480" w:firstLineChars="200"/>
              <w:jc w:val="left"/>
              <w:rPr>
                <w:color w:val="auto"/>
                <w:sz w:val="24"/>
                <w:u w:val="none"/>
              </w:rPr>
            </w:pPr>
            <w:r>
              <w:rPr>
                <w:rFonts w:hint="eastAsia"/>
                <w:color w:val="auto"/>
                <w:sz w:val="24"/>
                <w:u w:val="none"/>
              </w:rPr>
              <w:t>由上表分析可知，</w:t>
            </w:r>
            <w:r>
              <w:rPr>
                <w:color w:val="auto"/>
                <w:sz w:val="24"/>
                <w:u w:val="none"/>
              </w:rPr>
              <w:t>本项目与《湖南湘阴高新区近期规划（2020-2025）》相符。</w:t>
            </w:r>
          </w:p>
          <w:p>
            <w:pPr>
              <w:adjustRightInd w:val="0"/>
              <w:snapToGrid w:val="0"/>
              <w:spacing w:line="360" w:lineRule="auto"/>
              <w:ind w:right="55" w:rightChars="26"/>
              <w:jc w:val="left"/>
              <w:rPr>
                <w:color w:val="auto"/>
                <w:sz w:val="24"/>
                <w:u w:val="none"/>
              </w:rPr>
            </w:pPr>
            <w:r>
              <w:rPr>
                <w:rFonts w:hint="eastAsia"/>
                <w:b/>
                <w:bCs/>
                <w:color w:val="auto"/>
                <w:sz w:val="24"/>
                <w:u w:val="none"/>
              </w:rPr>
              <w:t xml:space="preserve">1.2 </w:t>
            </w:r>
            <w:r>
              <w:rPr>
                <w:b/>
                <w:bCs/>
                <w:color w:val="auto"/>
                <w:sz w:val="24"/>
                <w:u w:val="none"/>
              </w:rPr>
              <w:t>与规划环评相符性分析</w:t>
            </w:r>
          </w:p>
          <w:p>
            <w:pPr>
              <w:adjustRightInd w:val="0"/>
              <w:snapToGrid w:val="0"/>
              <w:spacing w:line="360" w:lineRule="auto"/>
              <w:ind w:right="55" w:rightChars="26" w:firstLine="482" w:firstLineChars="200"/>
              <w:jc w:val="left"/>
              <w:rPr>
                <w:b/>
                <w:bCs/>
                <w:color w:val="auto"/>
                <w:sz w:val="24"/>
                <w:u w:val="none"/>
              </w:rPr>
            </w:pPr>
            <w:r>
              <w:rPr>
                <w:rFonts w:hint="eastAsia"/>
                <w:b/>
                <w:bCs/>
                <w:color w:val="auto"/>
                <w:sz w:val="24"/>
                <w:u w:val="none"/>
              </w:rPr>
              <w:t>1.2.1 与规划环评审查意见符合性分析</w:t>
            </w:r>
          </w:p>
          <w:p>
            <w:pPr>
              <w:adjustRightInd w:val="0"/>
              <w:snapToGrid w:val="0"/>
              <w:spacing w:line="360" w:lineRule="auto"/>
              <w:ind w:right="55" w:rightChars="26" w:firstLine="480" w:firstLineChars="200"/>
              <w:jc w:val="left"/>
              <w:rPr>
                <w:color w:val="auto"/>
                <w:sz w:val="24"/>
                <w:u w:val="none"/>
              </w:rPr>
            </w:pPr>
            <w:r>
              <w:rPr>
                <w:color w:val="auto"/>
                <w:sz w:val="24"/>
                <w:u w:val="none"/>
              </w:rPr>
              <w:t>本项目位于湖南省岳阳市湘阴县湘阴高新技术产业开发区洋沙湖片区范围内，项目与《湘阴高新技术产业开发区调区扩区规划环境影响报告书审查意见的函》（湘环评函〔2022〕65号）相符性分析见如下：</w:t>
            </w:r>
          </w:p>
          <w:p>
            <w:pPr>
              <w:adjustRightInd w:val="0"/>
              <w:snapToGrid w:val="0"/>
              <w:spacing w:line="360" w:lineRule="auto"/>
              <w:ind w:right="55" w:rightChars="26"/>
              <w:jc w:val="center"/>
              <w:rPr>
                <w:b/>
                <w:bCs/>
                <w:color w:val="auto"/>
                <w:sz w:val="24"/>
                <w:u w:val="none"/>
              </w:rPr>
            </w:pPr>
            <w:r>
              <w:rPr>
                <w:b/>
                <w:bCs/>
                <w:color w:val="auto"/>
                <w:sz w:val="24"/>
                <w:u w:val="none"/>
              </w:rPr>
              <w:t>表1</w:t>
            </w:r>
            <w:r>
              <w:rPr>
                <w:rFonts w:hint="eastAsia"/>
                <w:b/>
                <w:bCs/>
                <w:color w:val="auto"/>
                <w:sz w:val="24"/>
                <w:u w:val="none"/>
              </w:rPr>
              <w:t>.2-1</w:t>
            </w:r>
            <w:r>
              <w:rPr>
                <w:b/>
                <w:bCs/>
                <w:color w:val="auto"/>
                <w:sz w:val="24"/>
                <w:u w:val="none"/>
              </w:rPr>
              <w:t xml:space="preserve">  与（湘环评函〔2022〕65号）符合性分析</w:t>
            </w:r>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
              <w:gridCol w:w="3333"/>
              <w:gridCol w:w="2646"/>
              <w:gridCol w:w="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b/>
                      <w:bCs/>
                      <w:color w:val="auto"/>
                      <w:szCs w:val="21"/>
                      <w:u w:val="none"/>
                    </w:rPr>
                  </w:pPr>
                  <w:r>
                    <w:rPr>
                      <w:b/>
                      <w:bCs/>
                      <w:color w:val="auto"/>
                      <w:szCs w:val="21"/>
                      <w:u w:val="none"/>
                    </w:rPr>
                    <w:t>项目</w:t>
                  </w:r>
                </w:p>
              </w:tc>
              <w:tc>
                <w:tcPr>
                  <w:tcW w:w="309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b/>
                      <w:bCs/>
                      <w:color w:val="auto"/>
                      <w:szCs w:val="21"/>
                      <w:u w:val="none"/>
                    </w:rPr>
                  </w:pPr>
                  <w:r>
                    <w:rPr>
                      <w:b/>
                      <w:bCs/>
                      <w:color w:val="auto"/>
                      <w:szCs w:val="21"/>
                      <w:u w:val="none"/>
                    </w:rPr>
                    <w:t>批复情况</w:t>
                  </w:r>
                </w:p>
              </w:tc>
              <w:tc>
                <w:tcPr>
                  <w:tcW w:w="245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b/>
                      <w:bCs/>
                      <w:color w:val="auto"/>
                      <w:szCs w:val="21"/>
                      <w:u w:val="none"/>
                    </w:rPr>
                  </w:pPr>
                  <w:r>
                    <w:rPr>
                      <w:b/>
                      <w:bCs/>
                      <w:color w:val="auto"/>
                      <w:szCs w:val="21"/>
                      <w:u w:val="none"/>
                    </w:rPr>
                    <w:t>本项目情况</w:t>
                  </w: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b/>
                      <w:bCs/>
                      <w:color w:val="auto"/>
                      <w:szCs w:val="21"/>
                      <w:u w:val="none"/>
                    </w:rPr>
                  </w:pPr>
                  <w:r>
                    <w:rPr>
                      <w:b/>
                      <w:bCs/>
                      <w:color w:val="auto"/>
                      <w:szCs w:val="21"/>
                      <w:u w:val="none"/>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严格依规开发，优化空间功能布局</w:t>
                  </w:r>
                </w:p>
              </w:tc>
              <w:tc>
                <w:tcPr>
                  <w:tcW w:w="309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园区在进行国土空间规划和开发建设过程中应充分吸收规划环评对不同功能用地和不同工业用地类别的设置意见，从规划层面提升环境相容性，并严格按照经核准的园区规划范围开发建设，园区规划用地不得涉及各类法定保护地。湘阴县政府应确保落实湘阴政函〔2022〕108号承诺对湘阴县老工业区17家企业的搬迁和退出方案，切实推进企业入园发展，不得违反相关规定要求在园区外新增工业项目，新引进项目及园外企业搬迁入园过程中应着重从降低环境影响的角度出发合理选址布局，</w:t>
                  </w:r>
                  <w:r>
                    <w:rPr>
                      <w:color w:val="auto"/>
                      <w:szCs w:val="21"/>
                      <w:highlight w:val="none"/>
                      <w:u w:val="none"/>
                    </w:rPr>
                    <w:t>不得在一类工业用地上布局与之功能定位不相符的工业项目。</w:t>
                  </w:r>
                  <w:r>
                    <w:rPr>
                      <w:color w:val="auto"/>
                      <w:szCs w:val="21"/>
                      <w:u w:val="none"/>
                    </w:rPr>
                    <w:t>园区调扩区发展方向涉及状元塔、左太傅祠省级文物保护范围及建设控制地带的地块，以及涉及湖南湘阴洋沙湖－东湖国家湿地公园的地块，建议不纳入园区的扩区规划范围。</w:t>
                  </w:r>
                </w:p>
              </w:tc>
              <w:tc>
                <w:tcPr>
                  <w:tcW w:w="245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本项目位于湘阴高新技术产业开发区洋沙湖片，</w:t>
                  </w:r>
                  <w:r>
                    <w:rPr>
                      <w:color w:val="auto"/>
                      <w:szCs w:val="21"/>
                      <w:highlight w:val="none"/>
                      <w:u w:val="none"/>
                    </w:rPr>
                    <w:t>用地类型为工业用地</w:t>
                  </w:r>
                  <w:r>
                    <w:rPr>
                      <w:rFonts w:hint="eastAsia"/>
                      <w:color w:val="auto"/>
                      <w:szCs w:val="21"/>
                      <w:highlight w:val="none"/>
                      <w:u w:val="none"/>
                    </w:rPr>
                    <w:t>，根据洋沙湖片区产业布局规划，项目位于</w:t>
                  </w:r>
                  <w:r>
                    <w:rPr>
                      <w:color w:val="auto"/>
                      <w:szCs w:val="21"/>
                      <w:highlight w:val="none"/>
                      <w:u w:val="none"/>
                    </w:rPr>
                    <w:t>食品加工、电子信息产业集聚区</w:t>
                  </w:r>
                  <w:r>
                    <w:rPr>
                      <w:rFonts w:hint="eastAsia"/>
                      <w:color w:val="auto"/>
                      <w:szCs w:val="21"/>
                      <w:highlight w:val="none"/>
                      <w:u w:val="none"/>
                    </w:rPr>
                    <w:t>，本项目为</w:t>
                  </w:r>
                  <w:r>
                    <w:rPr>
                      <w:color w:val="auto"/>
                      <w:szCs w:val="21"/>
                      <w:highlight w:val="none"/>
                      <w:u w:val="none"/>
                    </w:rPr>
                    <w:t>C13农副食品加工业及C14食品制造业</w:t>
                  </w:r>
                  <w:r>
                    <w:rPr>
                      <w:rFonts w:hint="eastAsia"/>
                      <w:color w:val="auto"/>
                      <w:szCs w:val="21"/>
                      <w:highlight w:val="none"/>
                      <w:u w:val="none"/>
                    </w:rPr>
                    <w:t>，符合产业布局规划，且用地已取得湘阴县自然资源局颁发的不动产权证，项目已取得开发区管委会备案证明</w:t>
                  </w:r>
                  <w:r>
                    <w:rPr>
                      <w:rFonts w:hint="eastAsia"/>
                      <w:color w:val="auto"/>
                      <w:szCs w:val="21"/>
                      <w:highlight w:val="none"/>
                      <w:u w:val="none"/>
                      <w:lang w:eastAsia="zh-CN"/>
                    </w:rPr>
                    <w:t>，</w:t>
                  </w:r>
                  <w:r>
                    <w:rPr>
                      <w:rFonts w:hint="eastAsia"/>
                      <w:color w:val="auto"/>
                      <w:szCs w:val="21"/>
                      <w:highlight w:val="none"/>
                      <w:u w:val="none"/>
                      <w:lang w:val="en-US" w:eastAsia="zh-CN"/>
                    </w:rPr>
                    <w:t>建设单位已与高新区管委会签订招商引资合同</w:t>
                  </w:r>
                  <w:r>
                    <w:rPr>
                      <w:color w:val="auto"/>
                      <w:szCs w:val="21"/>
                      <w:highlight w:val="none"/>
                      <w:u w:val="none"/>
                    </w:rPr>
                    <w:t>。</w:t>
                  </w: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rFonts w:hint="eastAsia"/>
                      <w:color w:val="auto"/>
                      <w:szCs w:val="21"/>
                      <w:highlight w:val="none"/>
                      <w:u w:val="none"/>
                    </w:rPr>
                    <w:t>不冲突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严格环境准入，优化园区产业结构</w:t>
                  </w:r>
                </w:p>
              </w:tc>
              <w:tc>
                <w:tcPr>
                  <w:tcW w:w="309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园区产业引进应严格遵循《中华人民共和国长江保护法》《长江经济带发展负面清单》《湘江保护条例》《洞庭湖保护条例》等法律法规及相关政策的要求，落实园区“三线一单”环境准入要求，严格执行《报告书》提出的产业定位和生态环境准入清单。对于园区外已有企业或项目的搬迁入园应确保实现其清洁生产水平的提升与污染物排放总量的降低。临港片区严控以气型污染为主的企业入驻；金龙片区限制</w:t>
                  </w:r>
                  <w:r>
                    <w:rPr>
                      <w:rFonts w:hint="eastAsia"/>
                      <w:color w:val="auto"/>
                      <w:szCs w:val="21"/>
                      <w:u w:val="none"/>
                    </w:rPr>
                    <w:t>以</w:t>
                  </w:r>
                  <w:r>
                    <w:rPr>
                      <w:color w:val="auto"/>
                      <w:szCs w:val="21"/>
                      <w:u w:val="none"/>
                    </w:rPr>
                    <w:t>水型污染为主的企业入驻。</w:t>
                  </w:r>
                </w:p>
              </w:tc>
              <w:tc>
                <w:tcPr>
                  <w:tcW w:w="245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项目符合《中华人民共和国长江保护法》《长江经济带发展负面清单》《湘江保护条例》《洞庭湖保护条例》等法律法规及相关政策的要求</w:t>
                  </w:r>
                  <w:r>
                    <w:rPr>
                      <w:rFonts w:hint="eastAsia"/>
                      <w:color w:val="auto"/>
                      <w:szCs w:val="21"/>
                      <w:u w:val="none"/>
                    </w:rPr>
                    <w:t>；符合</w:t>
                  </w:r>
                  <w:r>
                    <w:rPr>
                      <w:color w:val="auto"/>
                      <w:szCs w:val="21"/>
                      <w:u w:val="none"/>
                    </w:rPr>
                    <w:t>园区生态环境准入清单</w:t>
                  </w:r>
                  <w:r>
                    <w:rPr>
                      <w:rFonts w:hint="eastAsia"/>
                      <w:color w:val="auto"/>
                      <w:szCs w:val="21"/>
                      <w:u w:val="none"/>
                    </w:rPr>
                    <w:t>要求；</w:t>
                  </w:r>
                  <w:r>
                    <w:rPr>
                      <w:color w:val="auto"/>
                      <w:szCs w:val="21"/>
                      <w:u w:val="none"/>
                    </w:rPr>
                    <w:t>本项目位于洋沙湖片区，</w:t>
                  </w:r>
                  <w:r>
                    <w:rPr>
                      <w:rFonts w:hint="eastAsia"/>
                      <w:color w:val="auto"/>
                      <w:szCs w:val="21"/>
                      <w:u w:val="none"/>
                    </w:rPr>
                    <w:t>所属行业为</w:t>
                  </w:r>
                  <w:r>
                    <w:rPr>
                      <w:color w:val="auto"/>
                      <w:szCs w:val="21"/>
                      <w:u w:val="none"/>
                    </w:rPr>
                    <w:t>C13农副食品加工业及C14食品制造业</w:t>
                  </w:r>
                  <w:r>
                    <w:rPr>
                      <w:rFonts w:hint="eastAsia"/>
                      <w:color w:val="auto"/>
                      <w:szCs w:val="21"/>
                      <w:u w:val="none"/>
                    </w:rPr>
                    <w:t>，符合洋沙湖片区产业定位，不属于</w:t>
                  </w:r>
                  <w:r>
                    <w:rPr>
                      <w:color w:val="auto"/>
                      <w:szCs w:val="21"/>
                      <w:u w:val="none"/>
                    </w:rPr>
                    <w:t>环境准入行业清单</w:t>
                  </w:r>
                  <w:r>
                    <w:rPr>
                      <w:rFonts w:hint="eastAsia"/>
                      <w:color w:val="auto"/>
                      <w:szCs w:val="21"/>
                      <w:u w:val="none"/>
                    </w:rPr>
                    <w:t>中的限制类及禁止类。</w:t>
                  </w: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落实管控措施，加强园区排污管理</w:t>
                  </w:r>
                </w:p>
              </w:tc>
              <w:tc>
                <w:tcPr>
                  <w:tcW w:w="309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完善污水管网建设，做好雨污分流，确保园区各片区生产生活污水应收尽收，集中排入污水处理厂，园区不得超过污水处理厂的处理能力和入河排污口设置审批所规定的废水排放量引进项目。</w:t>
                  </w:r>
                  <w:r>
                    <w:rPr>
                      <w:rFonts w:hint="eastAsia"/>
                      <w:color w:val="auto"/>
                      <w:szCs w:val="21"/>
                      <w:u w:val="none"/>
                    </w:rPr>
                    <w:t>金龙</w:t>
                  </w:r>
                  <w:r>
                    <w:rPr>
                      <w:color w:val="auto"/>
                      <w:szCs w:val="21"/>
                      <w:u w:val="none"/>
                    </w:rPr>
                    <w:t>片区应按承诺时限要求完成湘阴县第</w:t>
                  </w:r>
                  <w:r>
                    <w:rPr>
                      <w:rFonts w:hint="eastAsia"/>
                      <w:color w:val="auto"/>
                      <w:szCs w:val="21"/>
                      <w:u w:val="none"/>
                    </w:rPr>
                    <w:t>三</w:t>
                  </w:r>
                  <w:r>
                    <w:rPr>
                      <w:color w:val="auto"/>
                      <w:szCs w:val="21"/>
                      <w:u w:val="none"/>
                    </w:rPr>
                    <w:t>污水处理厂提标升级改造工作，其排放标准应按《湖南省城镇污水处理厂主要水污染物排放标准》（DB43/T 1546-2018）一级标准予以执行。园区应推广使用清洁能源，加强园区大气污染防治，采取有效措施减少污染物排放总量，严格控制无组织排放，加强对园区企业VOCs排放的治理。建立园区固废规范化管理体系，做好工业固体废物和生活垃圾的分类收集、转运、综合利用和无害化处理。对危险废物应严格按照国家有关规定综合利用或妥善处置，对危险废物产生企业和经营单位，应强化日常环境监管。园区企业须严格落实排污许可制度和污染物排放总量控制，推动入园企业开展清洁生产审核。</w:t>
                  </w:r>
                </w:p>
              </w:tc>
              <w:tc>
                <w:tcPr>
                  <w:tcW w:w="245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bCs/>
                      <w:color w:val="auto"/>
                      <w:szCs w:val="21"/>
                      <w:u w:val="none"/>
                    </w:rPr>
                  </w:pPr>
                  <w:r>
                    <w:rPr>
                      <w:color w:val="auto"/>
                      <w:szCs w:val="21"/>
                      <w:u w:val="none"/>
                    </w:rPr>
                    <w:t>本项目</w:t>
                  </w:r>
                  <w:r>
                    <w:rPr>
                      <w:rFonts w:hint="eastAsia"/>
                      <w:color w:val="auto"/>
                      <w:szCs w:val="21"/>
                      <w:u w:val="none"/>
                    </w:rPr>
                    <w:t>生产、生活废水经预</w:t>
                  </w:r>
                  <w:r>
                    <w:rPr>
                      <w:color w:val="auto"/>
                      <w:szCs w:val="21"/>
                      <w:u w:val="none"/>
                    </w:rPr>
                    <w:t>处理后进入湘阴县第二污水处理厂处理深度处理</w:t>
                  </w:r>
                  <w:r>
                    <w:rPr>
                      <w:rFonts w:hint="eastAsia"/>
                      <w:color w:val="auto"/>
                      <w:szCs w:val="21"/>
                      <w:u w:val="none"/>
                    </w:rPr>
                    <w:t>，外排水量未</w:t>
                  </w:r>
                  <w:r>
                    <w:rPr>
                      <w:color w:val="auto"/>
                      <w:szCs w:val="21"/>
                      <w:u w:val="none"/>
                    </w:rPr>
                    <w:t>超过污水处理厂的处理能力</w:t>
                  </w:r>
                  <w:r>
                    <w:rPr>
                      <w:rFonts w:hint="eastAsia"/>
                      <w:bCs/>
                      <w:color w:val="auto"/>
                      <w:szCs w:val="21"/>
                      <w:u w:val="none"/>
                    </w:rPr>
                    <w:t>。</w:t>
                  </w:r>
                </w:p>
                <w:p>
                  <w:pPr>
                    <w:adjustRightInd w:val="0"/>
                    <w:snapToGrid w:val="0"/>
                    <w:ind w:right="55" w:rightChars="26" w:firstLine="420" w:firstLineChars="200"/>
                    <w:rPr>
                      <w:bCs/>
                      <w:color w:val="auto"/>
                      <w:szCs w:val="21"/>
                      <w:u w:val="none"/>
                    </w:rPr>
                  </w:pPr>
                  <w:r>
                    <w:rPr>
                      <w:rFonts w:hint="eastAsia"/>
                      <w:bCs/>
                      <w:color w:val="auto"/>
                      <w:szCs w:val="21"/>
                      <w:u w:val="none"/>
                    </w:rPr>
                    <w:t>项目能源采用电能及天然气，废气采取有效措施处理后达标排放。</w:t>
                  </w:r>
                </w:p>
                <w:p>
                  <w:pPr>
                    <w:adjustRightInd w:val="0"/>
                    <w:snapToGrid w:val="0"/>
                    <w:ind w:right="55" w:rightChars="26" w:firstLine="420" w:firstLineChars="200"/>
                    <w:rPr>
                      <w:bCs/>
                      <w:color w:val="auto"/>
                      <w:szCs w:val="21"/>
                      <w:u w:val="none"/>
                    </w:rPr>
                  </w:pPr>
                  <w:r>
                    <w:rPr>
                      <w:bCs/>
                      <w:color w:val="auto"/>
                      <w:szCs w:val="21"/>
                      <w:u w:val="none"/>
                    </w:rPr>
                    <w:t xml:space="preserve">本项目一般固废暂存一般固废间后交物资回收单位处理；危险废物暂存于危废间，定期委托有资质单位回收。 </w:t>
                  </w:r>
                </w:p>
                <w:p>
                  <w:pPr>
                    <w:adjustRightInd w:val="0"/>
                    <w:snapToGrid w:val="0"/>
                    <w:ind w:right="55" w:rightChars="26" w:firstLine="420" w:firstLineChars="200"/>
                    <w:rPr>
                      <w:color w:val="auto"/>
                      <w:szCs w:val="21"/>
                      <w:u w:val="none"/>
                    </w:rPr>
                  </w:pPr>
                  <w:r>
                    <w:rPr>
                      <w:bCs/>
                      <w:color w:val="auto"/>
                      <w:szCs w:val="21"/>
                      <w:u w:val="none"/>
                    </w:rPr>
                    <w:t>本项目建成后会严格落实排污许可制度和污染物排放总量控制。</w:t>
                  </w: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完善监测体系，监控环境质量变化状况</w:t>
                  </w:r>
                </w:p>
              </w:tc>
              <w:tc>
                <w:tcPr>
                  <w:tcW w:w="309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结合园区规划的功能分区、产业布局、重点企业分布、特征污染物的排放种类和状况、环境敏感目标分布等，建立健全环境空气、地表水、地下水、土壤等环境要素的监控体系。合理布局大气小微站，并涵盖相关特征污染物监测。</w:t>
                  </w:r>
                </w:p>
              </w:tc>
              <w:tc>
                <w:tcPr>
                  <w:tcW w:w="245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本项目会按相关规定制定监测计划，并按时监测。</w:t>
                  </w: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强化风险管控，严防园区环境事故</w:t>
                  </w:r>
                </w:p>
              </w:tc>
              <w:tc>
                <w:tcPr>
                  <w:tcW w:w="309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建立健全园区环境风险管理长效机制，开发区管理机构应建立环境监督管理机构；落实环境风险防控措施，及时完成园区环境应急预案的修订和备案工作及推动重点污染企业环境应急预案编制和备案工作，加强应急救援队伍、装备和设施建设，储备必要的应急物资，有计划地组织应急培训和演练，全面提升园区风险防控和事故应急处置能力。</w:t>
                  </w:r>
                </w:p>
              </w:tc>
              <w:tc>
                <w:tcPr>
                  <w:tcW w:w="245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rFonts w:hint="eastAsia"/>
                      <w:color w:val="auto"/>
                      <w:szCs w:val="21"/>
                      <w:u w:val="none"/>
                    </w:rPr>
                    <w:t>项目建成后需根据</w:t>
                  </w:r>
                  <w:r>
                    <w:rPr>
                      <w:color w:val="auto"/>
                      <w:szCs w:val="21"/>
                      <w:u w:val="none"/>
                    </w:rPr>
                    <w:t>《湖南省突发环境事件应急预案管理办法（修订版）》</w:t>
                  </w:r>
                  <w:r>
                    <w:rPr>
                      <w:rFonts w:hint="eastAsia"/>
                      <w:color w:val="auto"/>
                      <w:szCs w:val="21"/>
                      <w:u w:val="none"/>
                    </w:rPr>
                    <w:t>（</w:t>
                  </w:r>
                  <w:r>
                    <w:rPr>
                      <w:color w:val="auto"/>
                      <w:szCs w:val="21"/>
                      <w:u w:val="none"/>
                    </w:rPr>
                    <w:t>湘环发〔2024〕49号</w:t>
                  </w:r>
                  <w:r>
                    <w:rPr>
                      <w:rFonts w:hint="eastAsia"/>
                      <w:color w:val="auto"/>
                      <w:szCs w:val="21"/>
                      <w:u w:val="none"/>
                    </w:rPr>
                    <w:t>）相关要求，结合企业实际情况实施突发环境事件应急预案管理工作。</w:t>
                  </w: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做好周边控规，落实拆迁安置计划</w:t>
                  </w:r>
                </w:p>
              </w:tc>
              <w:tc>
                <w:tcPr>
                  <w:tcW w:w="309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严格做好控规，杜绝在规划的工业用地上新增环境敏感目标，确保园区开发过程中的居民拆迁安置到位，防止发生居民再次安置和次生环境问题。对于具体项目环评设置防护距离和拆迁要求的，要确保予以落实。</w:t>
                  </w:r>
                </w:p>
              </w:tc>
              <w:tc>
                <w:tcPr>
                  <w:tcW w:w="245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本项目不涉及居民拆迁，符合要求。</w:t>
                  </w: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做好园区建设期生态保护和水土保持工作</w:t>
                  </w:r>
                </w:p>
              </w:tc>
              <w:tc>
                <w:tcPr>
                  <w:tcW w:w="309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施工期对土石方开挖、堆存及回填要实施围挡、护坡等措施，裸露地及时恢复植被，防治水土流失，杜绝后续施工建设对地表水体的污染。</w:t>
                  </w:r>
                </w:p>
              </w:tc>
              <w:tc>
                <w:tcPr>
                  <w:tcW w:w="245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firstLine="420" w:firstLineChars="200"/>
                    <w:rPr>
                      <w:color w:val="auto"/>
                      <w:szCs w:val="21"/>
                      <w:u w:val="none"/>
                    </w:rPr>
                  </w:pPr>
                  <w:r>
                    <w:rPr>
                      <w:color w:val="auto"/>
                      <w:szCs w:val="21"/>
                      <w:u w:val="none"/>
                    </w:rPr>
                    <w:t>本项目</w:t>
                  </w:r>
                  <w:r>
                    <w:rPr>
                      <w:rFonts w:hint="eastAsia"/>
                      <w:color w:val="auto"/>
                      <w:szCs w:val="21"/>
                      <w:u w:val="none"/>
                    </w:rPr>
                    <w:t>施工期</w:t>
                  </w:r>
                  <w:r>
                    <w:rPr>
                      <w:color w:val="auto"/>
                      <w:szCs w:val="21"/>
                      <w:u w:val="none"/>
                    </w:rPr>
                    <w:t>土石方开挖、堆存、回填等实施围挡、护坡等措施，厂区及时做好绿化，防止水土流失。</w:t>
                  </w: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5" w:rightChars="26"/>
                    <w:jc w:val="center"/>
                    <w:rPr>
                      <w:color w:val="auto"/>
                      <w:szCs w:val="21"/>
                      <w:u w:val="none"/>
                    </w:rPr>
                  </w:pPr>
                  <w:r>
                    <w:rPr>
                      <w:color w:val="auto"/>
                      <w:szCs w:val="21"/>
                      <w:u w:val="none"/>
                    </w:rPr>
                    <w:t>符合</w:t>
                  </w:r>
                </w:p>
              </w:tc>
            </w:tr>
          </w:tbl>
          <w:p>
            <w:pPr>
              <w:spacing w:line="360" w:lineRule="auto"/>
              <w:ind w:firstLine="480" w:firstLineChars="200"/>
              <w:jc w:val="left"/>
              <w:rPr>
                <w:color w:val="auto"/>
                <w:sz w:val="24"/>
                <w:u w:val="none"/>
              </w:rPr>
            </w:pPr>
            <w:r>
              <w:rPr>
                <w:color w:val="auto"/>
                <w:sz w:val="24"/>
                <w:u w:val="none"/>
              </w:rPr>
              <w:t>综上，本项目与《湘阴高新技术产业开发区调区扩区规划环境影响报告书审查意见的函》相符。</w:t>
            </w:r>
          </w:p>
          <w:p>
            <w:pPr>
              <w:spacing w:line="360" w:lineRule="auto"/>
              <w:ind w:firstLine="482" w:firstLineChars="200"/>
              <w:jc w:val="left"/>
              <w:rPr>
                <w:b/>
                <w:bCs/>
                <w:color w:val="auto"/>
                <w:sz w:val="24"/>
                <w:u w:val="none"/>
              </w:rPr>
            </w:pPr>
            <w:r>
              <w:rPr>
                <w:rFonts w:hint="eastAsia"/>
                <w:b/>
                <w:bCs/>
                <w:color w:val="auto"/>
                <w:sz w:val="24"/>
                <w:u w:val="none"/>
              </w:rPr>
              <w:t>1.2.2 与规划环评</w:t>
            </w:r>
            <w:r>
              <w:rPr>
                <w:b/>
                <w:bCs/>
                <w:color w:val="auto"/>
                <w:sz w:val="24"/>
                <w:u w:val="none"/>
              </w:rPr>
              <w:t>环境准入条件符合性</w:t>
            </w:r>
          </w:p>
          <w:p>
            <w:pPr>
              <w:tabs>
                <w:tab w:val="left" w:pos="480"/>
              </w:tabs>
              <w:spacing w:line="480" w:lineRule="exact"/>
              <w:ind w:firstLine="480" w:firstLineChars="200"/>
              <w:rPr>
                <w:color w:val="auto"/>
                <w:sz w:val="24"/>
                <w:u w:val="none"/>
              </w:rPr>
            </w:pPr>
            <w:r>
              <w:rPr>
                <w:rFonts w:ascii="宋体" w:hAnsi="宋体"/>
                <w:color w:val="auto"/>
                <w:sz w:val="24"/>
                <w:u w:val="none"/>
              </w:rPr>
              <w:t>根据《湘阴高新技术产业开发区</w:t>
            </w:r>
            <w:r>
              <w:rPr>
                <w:color w:val="auto"/>
                <w:sz w:val="24"/>
                <w:u w:val="none"/>
              </w:rPr>
              <w:t>调区扩区规划环境影响报告书》（湖南葆华环保有限公司，2022年6月），本项</w:t>
            </w:r>
            <w:r>
              <w:rPr>
                <w:rFonts w:ascii="宋体" w:hAnsi="宋体"/>
                <w:color w:val="auto"/>
                <w:sz w:val="24"/>
                <w:u w:val="none"/>
              </w:rPr>
              <w:t>目位于洋沙湖片区</w:t>
            </w:r>
            <w:r>
              <w:rPr>
                <w:rFonts w:hint="eastAsia" w:ascii="宋体" w:hAnsi="宋体"/>
                <w:color w:val="auto"/>
                <w:sz w:val="24"/>
                <w:u w:val="none"/>
              </w:rPr>
              <w:t>其他区域</w:t>
            </w:r>
            <w:r>
              <w:rPr>
                <w:rFonts w:ascii="宋体" w:hAnsi="宋体"/>
                <w:color w:val="auto"/>
                <w:sz w:val="24"/>
                <w:u w:val="none"/>
              </w:rPr>
              <w:t>，本项目与园区企业引进准入条件符合性分析如下：</w:t>
            </w:r>
          </w:p>
          <w:p>
            <w:pPr>
              <w:keepNext/>
              <w:jc w:val="center"/>
              <w:rPr>
                <w:b/>
                <w:color w:val="auto"/>
                <w:sz w:val="24"/>
                <w:u w:val="none"/>
              </w:rPr>
            </w:pPr>
            <w:r>
              <w:rPr>
                <w:rFonts w:ascii="宋体" w:hAnsi="宋体"/>
                <w:b/>
                <w:color w:val="auto"/>
                <w:sz w:val="24"/>
                <w:u w:val="none"/>
              </w:rPr>
              <w:t>表</w:t>
            </w:r>
            <w:r>
              <w:rPr>
                <w:rFonts w:hint="eastAsia"/>
                <w:b/>
                <w:color w:val="auto"/>
                <w:sz w:val="24"/>
                <w:u w:val="none"/>
              </w:rPr>
              <w:t xml:space="preserve">1.2-2 </w:t>
            </w:r>
            <w:r>
              <w:rPr>
                <w:rFonts w:ascii="宋体" w:hAnsi="宋体"/>
                <w:b/>
                <w:bCs/>
                <w:color w:val="auto"/>
                <w:sz w:val="24"/>
                <w:u w:val="none"/>
              </w:rPr>
              <w:t>湘阴高新区环境准入行业清单</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531"/>
              <w:gridCol w:w="3929"/>
              <w:gridCol w:w="1984"/>
              <w:gridCol w:w="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Align w:val="center"/>
                </w:tcPr>
                <w:p>
                  <w:pPr>
                    <w:tabs>
                      <w:tab w:val="left" w:pos="480"/>
                    </w:tabs>
                    <w:jc w:val="center"/>
                    <w:rPr>
                      <w:b/>
                      <w:bCs/>
                      <w:color w:val="auto"/>
                      <w:szCs w:val="21"/>
                      <w:u w:val="none"/>
                    </w:rPr>
                  </w:pPr>
                  <w:bookmarkStart w:id="5" w:name="_Hlk97326084"/>
                  <w:r>
                    <w:rPr>
                      <w:rFonts w:ascii="宋体" w:hAnsi="宋体"/>
                      <w:b/>
                      <w:bCs/>
                      <w:color w:val="auto"/>
                      <w:szCs w:val="21"/>
                      <w:u w:val="none"/>
                    </w:rPr>
                    <w:t>区域</w:t>
                  </w:r>
                  <w:bookmarkEnd w:id="5"/>
                </w:p>
              </w:tc>
              <w:tc>
                <w:tcPr>
                  <w:tcW w:w="336" w:type="pct"/>
                  <w:vAlign w:val="center"/>
                </w:tcPr>
                <w:p>
                  <w:pPr>
                    <w:tabs>
                      <w:tab w:val="left" w:pos="480"/>
                    </w:tabs>
                    <w:jc w:val="center"/>
                    <w:rPr>
                      <w:b/>
                      <w:bCs/>
                      <w:color w:val="auto"/>
                      <w:szCs w:val="21"/>
                      <w:u w:val="none"/>
                    </w:rPr>
                  </w:pPr>
                  <w:r>
                    <w:rPr>
                      <w:rFonts w:ascii="宋体" w:hAnsi="宋体"/>
                      <w:b/>
                      <w:bCs/>
                      <w:color w:val="auto"/>
                      <w:szCs w:val="21"/>
                      <w:u w:val="none"/>
                    </w:rPr>
                    <w:t>类别</w:t>
                  </w:r>
                </w:p>
              </w:tc>
              <w:tc>
                <w:tcPr>
                  <w:tcW w:w="2487" w:type="pct"/>
                  <w:vAlign w:val="center"/>
                </w:tcPr>
                <w:p>
                  <w:pPr>
                    <w:tabs>
                      <w:tab w:val="left" w:pos="480"/>
                    </w:tabs>
                    <w:jc w:val="center"/>
                    <w:rPr>
                      <w:b/>
                      <w:bCs/>
                      <w:color w:val="auto"/>
                      <w:szCs w:val="21"/>
                      <w:u w:val="none"/>
                    </w:rPr>
                  </w:pPr>
                  <w:r>
                    <w:rPr>
                      <w:rFonts w:ascii="宋体" w:hAnsi="宋体"/>
                      <w:b/>
                      <w:bCs/>
                      <w:color w:val="auto"/>
                      <w:szCs w:val="21"/>
                      <w:u w:val="none"/>
                    </w:rPr>
                    <w:t>行业</w:t>
                  </w:r>
                </w:p>
              </w:tc>
              <w:tc>
                <w:tcPr>
                  <w:tcW w:w="1256" w:type="pct"/>
                  <w:vAlign w:val="center"/>
                </w:tcPr>
                <w:p>
                  <w:pPr>
                    <w:tabs>
                      <w:tab w:val="left" w:pos="480"/>
                    </w:tabs>
                    <w:jc w:val="center"/>
                    <w:rPr>
                      <w:b/>
                      <w:bCs/>
                      <w:color w:val="auto"/>
                      <w:szCs w:val="21"/>
                      <w:u w:val="none"/>
                    </w:rPr>
                  </w:pPr>
                  <w:r>
                    <w:rPr>
                      <w:rFonts w:ascii="宋体" w:hAnsi="宋体"/>
                      <w:b/>
                      <w:bCs/>
                      <w:color w:val="auto"/>
                      <w:szCs w:val="21"/>
                      <w:u w:val="none"/>
                    </w:rPr>
                    <w:t>本项目情况</w:t>
                  </w:r>
                </w:p>
              </w:tc>
              <w:tc>
                <w:tcPr>
                  <w:tcW w:w="534" w:type="pct"/>
                  <w:vAlign w:val="center"/>
                </w:tcPr>
                <w:p>
                  <w:pPr>
                    <w:tabs>
                      <w:tab w:val="left" w:pos="480"/>
                    </w:tabs>
                    <w:jc w:val="center"/>
                    <w:rPr>
                      <w:rFonts w:hint="eastAsia" w:ascii="宋体" w:hAnsi="宋体"/>
                      <w:b/>
                      <w:bCs/>
                      <w:color w:val="auto"/>
                      <w:szCs w:val="21"/>
                      <w:u w:val="none"/>
                    </w:rPr>
                  </w:pPr>
                  <w:r>
                    <w:rPr>
                      <w:rFonts w:hint="eastAsia" w:ascii="宋体" w:hAnsi="宋体"/>
                      <w:b/>
                      <w:bCs/>
                      <w:color w:val="auto"/>
                      <w:szCs w:val="21"/>
                      <w:u w:val="none"/>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restart"/>
                  <w:vAlign w:val="center"/>
                </w:tcPr>
                <w:p>
                  <w:pPr>
                    <w:tabs>
                      <w:tab w:val="left" w:pos="480"/>
                    </w:tabs>
                    <w:jc w:val="center"/>
                    <w:rPr>
                      <w:color w:val="auto"/>
                      <w:szCs w:val="21"/>
                      <w:u w:val="none"/>
                    </w:rPr>
                  </w:pPr>
                  <w:r>
                    <w:rPr>
                      <w:rFonts w:ascii="宋体" w:hAnsi="宋体"/>
                      <w:color w:val="auto"/>
                      <w:szCs w:val="21"/>
                      <w:u w:val="none"/>
                    </w:rPr>
                    <w:t>洋沙湖片区</w:t>
                  </w:r>
                  <w:r>
                    <w:rPr>
                      <w:rFonts w:hint="eastAsia" w:ascii="宋体" w:hAnsi="宋体"/>
                      <w:color w:val="auto"/>
                      <w:szCs w:val="21"/>
                      <w:u w:val="none"/>
                    </w:rPr>
                    <w:t>其他区域</w:t>
                  </w:r>
                </w:p>
              </w:tc>
              <w:tc>
                <w:tcPr>
                  <w:tcW w:w="336" w:type="pct"/>
                  <w:vAlign w:val="center"/>
                </w:tcPr>
                <w:p>
                  <w:pPr>
                    <w:tabs>
                      <w:tab w:val="left" w:pos="480"/>
                    </w:tabs>
                    <w:jc w:val="center"/>
                    <w:rPr>
                      <w:color w:val="auto"/>
                      <w:szCs w:val="21"/>
                      <w:u w:val="none"/>
                    </w:rPr>
                  </w:pPr>
                  <w:r>
                    <w:rPr>
                      <w:rFonts w:ascii="宋体" w:hAnsi="宋体"/>
                      <w:color w:val="auto"/>
                      <w:szCs w:val="21"/>
                      <w:u w:val="none"/>
                    </w:rPr>
                    <w:t>产业定位</w:t>
                  </w:r>
                </w:p>
              </w:tc>
              <w:tc>
                <w:tcPr>
                  <w:tcW w:w="2487" w:type="pct"/>
                  <w:vAlign w:val="center"/>
                </w:tcPr>
                <w:p>
                  <w:pPr>
                    <w:tabs>
                      <w:tab w:val="left" w:pos="480"/>
                    </w:tabs>
                    <w:rPr>
                      <w:color w:val="auto"/>
                      <w:szCs w:val="21"/>
                      <w:u w:val="none"/>
                    </w:rPr>
                  </w:pPr>
                  <w:r>
                    <w:rPr>
                      <w:color w:val="auto"/>
                      <w:szCs w:val="21"/>
                      <w:u w:val="none"/>
                    </w:rPr>
                    <w:t>主要发展装备制造、食品加工、电子信息、建筑建材产业。代表行业：C13农副食品加工业、C14食品制造业；C21家具制造业；C33金属制品业、C34通用设备制造业、C35专用设备制造业，C36汽车制造业、C37铁路、船舶、航空航天和其他运输设备制造业、C38电气机械和器材制造业；C39计算机、通信和其他电子设备制造业；</w:t>
                  </w:r>
                </w:p>
              </w:tc>
              <w:tc>
                <w:tcPr>
                  <w:tcW w:w="1256" w:type="pct"/>
                  <w:vAlign w:val="center"/>
                </w:tcPr>
                <w:p>
                  <w:pPr>
                    <w:tabs>
                      <w:tab w:val="left" w:pos="480"/>
                    </w:tabs>
                    <w:jc w:val="center"/>
                    <w:rPr>
                      <w:color w:val="auto"/>
                      <w:szCs w:val="21"/>
                      <w:u w:val="none"/>
                    </w:rPr>
                  </w:pPr>
                  <w:r>
                    <w:rPr>
                      <w:rFonts w:hint="eastAsia"/>
                      <w:color w:val="auto"/>
                      <w:szCs w:val="21"/>
                      <w:u w:val="none"/>
                    </w:rPr>
                    <w:t>本项目所属行业为</w:t>
                  </w:r>
                  <w:r>
                    <w:rPr>
                      <w:color w:val="auto"/>
                      <w:szCs w:val="21"/>
                      <w:u w:val="none"/>
                    </w:rPr>
                    <w:t>C13农副食品加工业及C14食品制造业</w:t>
                  </w:r>
                  <w:r>
                    <w:rPr>
                      <w:rFonts w:hint="eastAsia"/>
                      <w:color w:val="auto"/>
                      <w:szCs w:val="21"/>
                      <w:u w:val="none"/>
                    </w:rPr>
                    <w:t>，符合产业定位</w:t>
                  </w:r>
                </w:p>
              </w:tc>
              <w:tc>
                <w:tcPr>
                  <w:tcW w:w="534" w:type="pct"/>
                  <w:vAlign w:val="center"/>
                </w:tcPr>
                <w:p>
                  <w:pPr>
                    <w:tabs>
                      <w:tab w:val="left" w:pos="480"/>
                    </w:tabs>
                    <w:jc w:val="center"/>
                    <w:rPr>
                      <w:rFonts w:hint="eastAsia" w:ascii="宋体" w:hAnsi="宋体"/>
                      <w:color w:val="auto"/>
                      <w:szCs w:val="21"/>
                      <w:u w:val="none"/>
                    </w:rPr>
                  </w:pPr>
                  <w:r>
                    <w:rPr>
                      <w:rFonts w:hint="eastAsia" w:ascii="宋体" w:hAnsi="宋体"/>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vAlign w:val="center"/>
                </w:tcPr>
                <w:p>
                  <w:pPr>
                    <w:widowControl/>
                    <w:jc w:val="left"/>
                    <w:rPr>
                      <w:color w:val="auto"/>
                      <w:szCs w:val="21"/>
                      <w:u w:val="none"/>
                    </w:rPr>
                  </w:pPr>
                </w:p>
              </w:tc>
              <w:tc>
                <w:tcPr>
                  <w:tcW w:w="336" w:type="pct"/>
                  <w:vAlign w:val="center"/>
                </w:tcPr>
                <w:p>
                  <w:pPr>
                    <w:tabs>
                      <w:tab w:val="left" w:pos="480"/>
                    </w:tabs>
                    <w:jc w:val="center"/>
                    <w:rPr>
                      <w:color w:val="auto"/>
                      <w:szCs w:val="21"/>
                      <w:u w:val="none"/>
                    </w:rPr>
                  </w:pPr>
                  <w:r>
                    <w:rPr>
                      <w:rFonts w:ascii="宋体" w:hAnsi="宋体"/>
                      <w:color w:val="auto"/>
                      <w:szCs w:val="21"/>
                      <w:u w:val="none"/>
                    </w:rPr>
                    <w:t>限制类</w:t>
                  </w:r>
                </w:p>
              </w:tc>
              <w:tc>
                <w:tcPr>
                  <w:tcW w:w="2487" w:type="pct"/>
                  <w:vAlign w:val="center"/>
                </w:tcPr>
                <w:p>
                  <w:pPr>
                    <w:tabs>
                      <w:tab w:val="left" w:pos="480"/>
                    </w:tabs>
                    <w:rPr>
                      <w:color w:val="auto"/>
                      <w:szCs w:val="21"/>
                      <w:u w:val="none"/>
                    </w:rPr>
                  </w:pPr>
                  <w:r>
                    <w:rPr>
                      <w:color w:val="auto"/>
                      <w:szCs w:val="21"/>
                      <w:u w:val="none"/>
                    </w:rPr>
                    <w:t>涉及挥发性有机物排放较大的喷漆、家具制造等行业；使用油性涂料且用量较大的项目；严格控制重金属类污染物和持久性有机污染物等有毒有害物质排放的项目。</w:t>
                  </w:r>
                </w:p>
              </w:tc>
              <w:tc>
                <w:tcPr>
                  <w:tcW w:w="1256" w:type="pct"/>
                  <w:vAlign w:val="center"/>
                </w:tcPr>
                <w:p>
                  <w:pPr>
                    <w:tabs>
                      <w:tab w:val="left" w:pos="480"/>
                    </w:tabs>
                    <w:jc w:val="center"/>
                    <w:rPr>
                      <w:color w:val="auto"/>
                      <w:szCs w:val="21"/>
                      <w:u w:val="none"/>
                    </w:rPr>
                  </w:pPr>
                  <w:r>
                    <w:rPr>
                      <w:rFonts w:hint="eastAsia"/>
                      <w:color w:val="auto"/>
                      <w:szCs w:val="21"/>
                      <w:u w:val="none"/>
                    </w:rPr>
                    <w:t>本项目不属于喷漆、家具制造行业；不使用油性涂料；不涉及</w:t>
                  </w:r>
                  <w:r>
                    <w:rPr>
                      <w:color w:val="auto"/>
                      <w:szCs w:val="21"/>
                      <w:u w:val="none"/>
                    </w:rPr>
                    <w:t>重金属类污染物和持久性有机污染物等有毒有害物质排放</w:t>
                  </w:r>
                  <w:r>
                    <w:rPr>
                      <w:rFonts w:hint="eastAsia"/>
                      <w:color w:val="auto"/>
                      <w:szCs w:val="21"/>
                      <w:u w:val="none"/>
                    </w:rPr>
                    <w:t>。</w:t>
                  </w:r>
                </w:p>
              </w:tc>
              <w:tc>
                <w:tcPr>
                  <w:tcW w:w="534" w:type="pct"/>
                  <w:vAlign w:val="center"/>
                </w:tcPr>
                <w:p>
                  <w:pPr>
                    <w:tabs>
                      <w:tab w:val="left" w:pos="480"/>
                    </w:tabs>
                    <w:jc w:val="center"/>
                    <w:rPr>
                      <w:rFonts w:hint="eastAsia" w:ascii="宋体" w:hAnsi="宋体"/>
                      <w:color w:val="auto"/>
                      <w:szCs w:val="21"/>
                      <w:u w:val="none"/>
                    </w:rPr>
                  </w:pPr>
                  <w:r>
                    <w:rPr>
                      <w:rFonts w:hint="eastAsia" w:ascii="宋体" w:hAnsi="宋体"/>
                      <w:color w:val="auto"/>
                      <w:szCs w:val="21"/>
                      <w:u w:val="none"/>
                    </w:rPr>
                    <w:t>不属于限制类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vMerge w:val="continue"/>
                  <w:vAlign w:val="center"/>
                </w:tcPr>
                <w:p>
                  <w:pPr>
                    <w:widowControl/>
                    <w:jc w:val="left"/>
                    <w:rPr>
                      <w:color w:val="auto"/>
                      <w:szCs w:val="21"/>
                      <w:u w:val="none"/>
                    </w:rPr>
                  </w:pPr>
                </w:p>
              </w:tc>
              <w:tc>
                <w:tcPr>
                  <w:tcW w:w="336" w:type="pct"/>
                  <w:vAlign w:val="center"/>
                </w:tcPr>
                <w:p>
                  <w:pPr>
                    <w:tabs>
                      <w:tab w:val="left" w:pos="480"/>
                    </w:tabs>
                    <w:jc w:val="center"/>
                    <w:rPr>
                      <w:color w:val="auto"/>
                      <w:szCs w:val="21"/>
                      <w:u w:val="none"/>
                    </w:rPr>
                  </w:pPr>
                  <w:r>
                    <w:rPr>
                      <w:rFonts w:ascii="宋体" w:hAnsi="宋体"/>
                      <w:color w:val="auto"/>
                      <w:szCs w:val="21"/>
                      <w:u w:val="none"/>
                    </w:rPr>
                    <w:t>禁止类</w:t>
                  </w:r>
                </w:p>
              </w:tc>
              <w:tc>
                <w:tcPr>
                  <w:tcW w:w="2487" w:type="pct"/>
                  <w:vAlign w:val="center"/>
                </w:tcPr>
                <w:p>
                  <w:pPr>
                    <w:tabs>
                      <w:tab w:val="left" w:pos="480"/>
                    </w:tabs>
                    <w:rPr>
                      <w:color w:val="auto"/>
                      <w:szCs w:val="21"/>
                      <w:u w:val="none"/>
                    </w:rPr>
                  </w:pPr>
                  <w:r>
                    <w:rPr>
                      <w:color w:val="auto"/>
                      <w:szCs w:val="21"/>
                      <w:u w:val="none"/>
                    </w:rPr>
                    <w:t>禁止建设印刷线路板项目；禁止引入化工、平板玻璃、水泥、烧结砖瓦、陶瓷制品项目；C271化学药品原料药制造；C31黑色金属冶炼和压延加工业（C313钢压延加工除外）、C32有色金属冶炼和压延加工业(C325有色金属压延加工除外)。</w:t>
                  </w:r>
                </w:p>
              </w:tc>
              <w:tc>
                <w:tcPr>
                  <w:tcW w:w="1256" w:type="pct"/>
                  <w:vAlign w:val="center"/>
                </w:tcPr>
                <w:p>
                  <w:pPr>
                    <w:tabs>
                      <w:tab w:val="left" w:pos="480"/>
                    </w:tabs>
                    <w:jc w:val="center"/>
                    <w:rPr>
                      <w:color w:val="auto"/>
                      <w:szCs w:val="21"/>
                      <w:u w:val="none"/>
                    </w:rPr>
                  </w:pPr>
                  <w:r>
                    <w:rPr>
                      <w:rFonts w:hint="eastAsia"/>
                      <w:color w:val="auto"/>
                      <w:szCs w:val="21"/>
                      <w:u w:val="none"/>
                    </w:rPr>
                    <w:t>不属于左侧所列行业</w:t>
                  </w:r>
                </w:p>
              </w:tc>
              <w:tc>
                <w:tcPr>
                  <w:tcW w:w="534" w:type="pct"/>
                  <w:vAlign w:val="center"/>
                </w:tcPr>
                <w:p>
                  <w:pPr>
                    <w:tabs>
                      <w:tab w:val="left" w:pos="480"/>
                    </w:tabs>
                    <w:jc w:val="center"/>
                    <w:rPr>
                      <w:rFonts w:hint="eastAsia" w:ascii="宋体" w:hAnsi="宋体"/>
                      <w:color w:val="auto"/>
                      <w:szCs w:val="21"/>
                      <w:u w:val="none"/>
                    </w:rPr>
                  </w:pPr>
                  <w:r>
                    <w:rPr>
                      <w:rFonts w:hint="eastAsia" w:ascii="宋体" w:hAnsi="宋体"/>
                      <w:color w:val="auto"/>
                      <w:szCs w:val="21"/>
                      <w:u w:val="none"/>
                    </w:rPr>
                    <w:t>不属于禁止类</w:t>
                  </w:r>
                </w:p>
              </w:tc>
            </w:tr>
          </w:tbl>
          <w:p>
            <w:pPr>
              <w:spacing w:line="360" w:lineRule="auto"/>
              <w:ind w:firstLine="480" w:firstLineChars="200"/>
              <w:jc w:val="left"/>
              <w:rPr>
                <w:color w:val="auto"/>
                <w:kern w:val="0"/>
                <w:sz w:val="24"/>
                <w:u w:val="none"/>
              </w:rPr>
            </w:pPr>
            <w:r>
              <w:rPr>
                <w:color w:val="auto"/>
                <w:kern w:val="0"/>
                <w:sz w:val="24"/>
                <w:u w:val="none"/>
              </w:rPr>
              <w:t>本项目属于洋沙湖片区其他区域产业定位中的C13农副食品加工业及C14食品制造业，不属于</w:t>
            </w:r>
            <w:r>
              <w:rPr>
                <w:rFonts w:hint="eastAsia"/>
                <w:color w:val="auto"/>
                <w:kern w:val="0"/>
                <w:sz w:val="24"/>
                <w:u w:val="none"/>
              </w:rPr>
              <w:t>限制类及</w:t>
            </w:r>
            <w:r>
              <w:rPr>
                <w:color w:val="auto"/>
                <w:kern w:val="0"/>
                <w:sz w:val="24"/>
                <w:u w:val="none"/>
              </w:rPr>
              <w:t>禁止类项目</w:t>
            </w:r>
            <w:r>
              <w:rPr>
                <w:rFonts w:hint="eastAsia"/>
                <w:color w:val="auto"/>
                <w:kern w:val="0"/>
                <w:sz w:val="24"/>
                <w:u w:val="none"/>
              </w:rPr>
              <w:t>，</w:t>
            </w:r>
            <w:r>
              <w:rPr>
                <w:color w:val="auto"/>
                <w:kern w:val="0"/>
                <w:sz w:val="24"/>
                <w:u w:val="none"/>
              </w:rPr>
              <w:t>符合湘阴高新区环境准入行业清单要求。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9" w:type="dxa"/>
            <w:vAlign w:val="center"/>
          </w:tcPr>
          <w:p>
            <w:pPr>
              <w:autoSpaceDE w:val="0"/>
              <w:autoSpaceDN w:val="0"/>
              <w:adjustRightInd w:val="0"/>
              <w:snapToGrid w:val="0"/>
              <w:spacing w:line="360" w:lineRule="auto"/>
              <w:jc w:val="center"/>
              <w:rPr>
                <w:color w:val="auto"/>
                <w:kern w:val="0"/>
                <w:sz w:val="24"/>
                <w:u w:val="none"/>
              </w:rPr>
            </w:pPr>
            <w:r>
              <w:rPr>
                <w:color w:val="auto"/>
                <w:kern w:val="0"/>
                <w:sz w:val="24"/>
                <w:u w:val="none"/>
              </w:rPr>
              <w:t>其他符合性分析</w:t>
            </w:r>
          </w:p>
        </w:tc>
        <w:tc>
          <w:tcPr>
            <w:tcW w:w="8125" w:type="dxa"/>
            <w:gridSpan w:val="5"/>
            <w:vAlign w:val="center"/>
          </w:tcPr>
          <w:p>
            <w:pPr>
              <w:spacing w:line="360" w:lineRule="auto"/>
              <w:rPr>
                <w:b/>
                <w:color w:val="auto"/>
                <w:sz w:val="24"/>
                <w:u w:val="none"/>
              </w:rPr>
            </w:pPr>
            <w:r>
              <w:rPr>
                <w:rFonts w:hint="eastAsia"/>
                <w:b/>
                <w:color w:val="auto"/>
                <w:sz w:val="24"/>
                <w:u w:val="none"/>
              </w:rPr>
              <w:t xml:space="preserve">1.3 </w:t>
            </w:r>
            <w:r>
              <w:rPr>
                <w:b/>
                <w:color w:val="auto"/>
                <w:sz w:val="24"/>
                <w:u w:val="none"/>
              </w:rPr>
              <w:t>产业政策符合性分析</w:t>
            </w:r>
          </w:p>
          <w:p>
            <w:pPr>
              <w:spacing w:line="360" w:lineRule="auto"/>
              <w:ind w:firstLine="480" w:firstLineChars="200"/>
              <w:jc w:val="left"/>
              <w:rPr>
                <w:color w:val="auto"/>
                <w:sz w:val="24"/>
                <w:u w:val="none"/>
              </w:rPr>
            </w:pPr>
            <w:r>
              <w:rPr>
                <w:rFonts w:hint="eastAsia"/>
                <w:color w:val="auto"/>
                <w:sz w:val="24"/>
                <w:u w:val="none"/>
              </w:rPr>
              <w:t>本项目生产产品为腐乳、豆豉、剁辣椒、油辣椒、下饭菜及分装植物油，其中腐乳、豆豉属于</w:t>
            </w:r>
            <w:r>
              <w:rPr>
                <w:color w:val="auto"/>
                <w:sz w:val="24"/>
                <w:u w:val="none"/>
              </w:rPr>
              <w:t>《国民经济行业分类》(GB/T4754-2017）中</w:t>
            </w:r>
            <w:r>
              <w:rPr>
                <w:rFonts w:hint="eastAsia"/>
                <w:color w:val="auto"/>
                <w:sz w:val="24"/>
                <w:u w:val="none"/>
              </w:rPr>
              <w:t>的</w:t>
            </w:r>
            <w:r>
              <w:rPr>
                <w:color w:val="auto"/>
                <w:sz w:val="24"/>
                <w:u w:val="none"/>
              </w:rPr>
              <w:t>C13</w:t>
            </w:r>
            <w:r>
              <w:rPr>
                <w:rFonts w:hint="eastAsia"/>
                <w:color w:val="auto"/>
                <w:sz w:val="24"/>
                <w:u w:val="none"/>
              </w:rPr>
              <w:t>92豆制品制造，剁辣椒、油辣椒为C1469其他调味品、发酵制品制造，下饭菜为C1454其他罐头食品制造，分装植物油属于C1331食用植物油加工。根据《产业结构调整指导目录（2024年本）》，本项目</w:t>
            </w:r>
            <w:r>
              <w:rPr>
                <w:rFonts w:hint="eastAsia"/>
                <w:color w:val="auto"/>
                <w:sz w:val="24"/>
                <w:u w:val="none"/>
                <w:lang w:val="en-US" w:eastAsia="zh-CN"/>
              </w:rPr>
              <w:t>所属行业、</w:t>
            </w:r>
            <w:r>
              <w:rPr>
                <w:rFonts w:hint="eastAsia"/>
                <w:color w:val="auto"/>
                <w:sz w:val="24"/>
                <w:u w:val="none"/>
              </w:rPr>
              <w:t>产品及所使用的原材料、生产设备、生产工艺均不属于鼓励类、限制类、淘汰类项目，属于允许类。因此，本项目的建设符合国家相关产业政策。</w:t>
            </w:r>
          </w:p>
          <w:p>
            <w:pPr>
              <w:spacing w:line="360" w:lineRule="auto"/>
              <w:jc w:val="left"/>
              <w:rPr>
                <w:b/>
                <w:bCs/>
                <w:color w:val="auto"/>
                <w:sz w:val="24"/>
                <w:u w:val="none"/>
              </w:rPr>
            </w:pPr>
            <w:r>
              <w:rPr>
                <w:rFonts w:hint="eastAsia"/>
                <w:b/>
                <w:bCs/>
                <w:color w:val="auto"/>
                <w:sz w:val="24"/>
                <w:u w:val="none"/>
              </w:rPr>
              <w:t xml:space="preserve">1.4 </w:t>
            </w:r>
            <w:r>
              <w:rPr>
                <w:b/>
                <w:bCs/>
                <w:color w:val="auto"/>
                <w:sz w:val="24"/>
                <w:u w:val="none"/>
              </w:rPr>
              <w:t>与《湖南省生态环境分区管控总体管控要求暨省级以上产业园区生态环境准入清单》</w:t>
            </w:r>
            <w:r>
              <w:rPr>
                <w:rFonts w:hint="eastAsia"/>
                <w:b/>
                <w:bCs/>
                <w:color w:val="auto"/>
                <w:sz w:val="24"/>
                <w:u w:val="none"/>
              </w:rPr>
              <w:t>（</w:t>
            </w:r>
            <w:r>
              <w:rPr>
                <w:b/>
                <w:bCs/>
                <w:color w:val="auto"/>
                <w:sz w:val="24"/>
                <w:u w:val="none"/>
              </w:rPr>
              <w:t>湘环函〔2024〕26号</w:t>
            </w:r>
            <w:r>
              <w:rPr>
                <w:rFonts w:hint="eastAsia"/>
                <w:b/>
                <w:bCs/>
                <w:color w:val="auto"/>
                <w:sz w:val="24"/>
                <w:u w:val="none"/>
              </w:rPr>
              <w:t>）</w:t>
            </w:r>
            <w:r>
              <w:rPr>
                <w:b/>
                <w:bCs/>
                <w:color w:val="auto"/>
                <w:sz w:val="24"/>
                <w:u w:val="none"/>
              </w:rPr>
              <w:t>符合性分析</w:t>
            </w:r>
          </w:p>
          <w:p>
            <w:pPr>
              <w:snapToGrid w:val="0"/>
              <w:spacing w:line="360" w:lineRule="auto"/>
              <w:ind w:firstLine="480" w:firstLineChars="200"/>
              <w:jc w:val="left"/>
              <w:rPr>
                <w:color w:val="auto"/>
                <w:kern w:val="0"/>
                <w:sz w:val="24"/>
                <w:u w:val="none"/>
              </w:rPr>
            </w:pPr>
            <w:r>
              <w:rPr>
                <w:rFonts w:ascii="宋体" w:hAnsi="宋体"/>
                <w:color w:val="auto"/>
                <w:kern w:val="0"/>
                <w:sz w:val="24"/>
                <w:u w:val="none"/>
              </w:rPr>
              <w:t>省级以上工业园区环境管控单元生态环境准入清单依照《湖南省生态环境厅关于发布《湖南省生态环境分区管控总体管控要求暨省级以上产业园区生态环境准入清单》（湘环函〔2024〕26号），本项目属于湘阴高新技术产业</w:t>
            </w:r>
            <w:r>
              <w:rPr>
                <w:rFonts w:hint="eastAsia" w:ascii="宋体" w:hAnsi="宋体"/>
                <w:color w:val="auto"/>
                <w:kern w:val="0"/>
                <w:sz w:val="24"/>
                <w:u w:val="none"/>
              </w:rPr>
              <w:t>开发</w:t>
            </w:r>
            <w:r>
              <w:rPr>
                <w:rFonts w:ascii="宋体" w:hAnsi="宋体"/>
                <w:color w:val="auto"/>
                <w:kern w:val="0"/>
                <w:sz w:val="24"/>
                <w:u w:val="none"/>
              </w:rPr>
              <w:t>区范围，属于重点管控单元，环境管控单元编码为</w:t>
            </w:r>
            <w:r>
              <w:rPr>
                <w:color w:val="auto"/>
                <w:kern w:val="0"/>
                <w:sz w:val="24"/>
                <w:u w:val="none"/>
              </w:rPr>
              <w:t>ZH43062420002</w:t>
            </w:r>
            <w:r>
              <w:rPr>
                <w:rFonts w:ascii="宋体" w:hAnsi="宋体"/>
                <w:color w:val="auto"/>
                <w:kern w:val="0"/>
                <w:sz w:val="24"/>
                <w:u w:val="none"/>
              </w:rPr>
              <w:t>，其管控要求具体如下：</w:t>
            </w:r>
          </w:p>
          <w:p>
            <w:pPr>
              <w:autoSpaceDE w:val="0"/>
              <w:autoSpaceDN w:val="0"/>
              <w:adjustRightInd w:val="0"/>
              <w:snapToGrid w:val="0"/>
              <w:jc w:val="center"/>
              <w:rPr>
                <w:b/>
                <w:bCs/>
                <w:color w:val="auto"/>
                <w:szCs w:val="21"/>
                <w:u w:val="none"/>
              </w:rPr>
            </w:pPr>
            <w:r>
              <w:rPr>
                <w:rFonts w:ascii="宋体" w:hAnsi="宋体"/>
                <w:b/>
                <w:bCs/>
                <w:color w:val="auto"/>
                <w:szCs w:val="21"/>
                <w:u w:val="none"/>
              </w:rPr>
              <w:t>表</w:t>
            </w:r>
            <w:r>
              <w:rPr>
                <w:rFonts w:hint="eastAsia"/>
                <w:b/>
                <w:bCs/>
                <w:color w:val="auto"/>
                <w:szCs w:val="21"/>
                <w:u w:val="none"/>
              </w:rPr>
              <w:t>1.4-1</w:t>
            </w:r>
            <w:r>
              <w:rPr>
                <w:b/>
                <w:bCs/>
                <w:color w:val="auto"/>
                <w:szCs w:val="21"/>
                <w:u w:val="none"/>
              </w:rPr>
              <w:t xml:space="preserve"> </w:t>
            </w:r>
            <w:r>
              <w:rPr>
                <w:rFonts w:ascii="宋体" w:hAnsi="宋体"/>
                <w:b/>
                <w:bCs/>
                <w:color w:val="auto"/>
                <w:szCs w:val="21"/>
                <w:u w:val="none"/>
              </w:rPr>
              <w:t>与湘环函〔2024〕26号</w:t>
            </w:r>
            <w:r>
              <w:rPr>
                <w:rFonts w:hint="eastAsia" w:ascii="宋体" w:hAnsi="宋体"/>
                <w:b/>
                <w:bCs/>
                <w:color w:val="auto"/>
                <w:szCs w:val="21"/>
                <w:u w:val="none"/>
              </w:rPr>
              <w:t>中</w:t>
            </w:r>
            <w:r>
              <w:rPr>
                <w:rFonts w:ascii="宋体" w:hAnsi="宋体"/>
                <w:b/>
                <w:bCs/>
                <w:color w:val="auto"/>
                <w:szCs w:val="21"/>
                <w:u w:val="none"/>
              </w:rPr>
              <w:t>湘阴高新技术产业开发区</w:t>
            </w:r>
            <w:r>
              <w:rPr>
                <w:rFonts w:hint="eastAsia" w:ascii="宋体" w:hAnsi="宋体"/>
                <w:b/>
                <w:bCs/>
                <w:color w:val="auto"/>
                <w:szCs w:val="21"/>
                <w:u w:val="none"/>
              </w:rPr>
              <w:t>管控要求</w:t>
            </w:r>
            <w:r>
              <w:rPr>
                <w:rFonts w:ascii="宋体" w:hAnsi="宋体"/>
                <w:b/>
                <w:bCs/>
                <w:color w:val="auto"/>
                <w:szCs w:val="21"/>
                <w:u w:val="none"/>
              </w:rPr>
              <w:t>相符性分析</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4139"/>
              <w:gridCol w:w="2144"/>
              <w:gridCol w:w="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Align w:val="center"/>
                </w:tcPr>
                <w:p>
                  <w:pPr>
                    <w:pStyle w:val="112"/>
                    <w:spacing w:after="0" w:afterAutospacing="0"/>
                    <w:rPr>
                      <w:color w:val="auto"/>
                      <w:u w:val="none"/>
                    </w:rPr>
                  </w:pPr>
                  <w:r>
                    <w:rPr>
                      <w:rFonts w:ascii="宋体" w:hAnsi="宋体"/>
                      <w:color w:val="auto"/>
                      <w:u w:val="none"/>
                    </w:rPr>
                    <w:t>管控维度</w:t>
                  </w:r>
                </w:p>
              </w:tc>
              <w:tc>
                <w:tcPr>
                  <w:tcW w:w="2713" w:type="pct"/>
                  <w:vAlign w:val="center"/>
                </w:tcPr>
                <w:p>
                  <w:pPr>
                    <w:pStyle w:val="112"/>
                    <w:spacing w:after="0" w:afterAutospacing="0"/>
                    <w:rPr>
                      <w:color w:val="auto"/>
                      <w:u w:val="none"/>
                    </w:rPr>
                  </w:pPr>
                  <w:r>
                    <w:rPr>
                      <w:rFonts w:ascii="宋体" w:hAnsi="宋体"/>
                      <w:color w:val="auto"/>
                      <w:u w:val="none"/>
                    </w:rPr>
                    <w:t>管控要求</w:t>
                  </w:r>
                </w:p>
              </w:tc>
              <w:tc>
                <w:tcPr>
                  <w:tcW w:w="1450" w:type="pct"/>
                  <w:vAlign w:val="center"/>
                </w:tcPr>
                <w:p>
                  <w:pPr>
                    <w:pStyle w:val="112"/>
                    <w:spacing w:after="0" w:afterAutospacing="0"/>
                    <w:rPr>
                      <w:color w:val="auto"/>
                      <w:u w:val="none"/>
                    </w:rPr>
                  </w:pPr>
                  <w:r>
                    <w:rPr>
                      <w:rFonts w:ascii="宋体" w:hAnsi="宋体"/>
                      <w:color w:val="auto"/>
                      <w:u w:val="none"/>
                    </w:rPr>
                    <w:t>项目情况</w:t>
                  </w:r>
                </w:p>
              </w:tc>
              <w:tc>
                <w:tcPr>
                  <w:tcW w:w="445" w:type="pct"/>
                  <w:vAlign w:val="center"/>
                </w:tcPr>
                <w:p>
                  <w:pPr>
                    <w:pStyle w:val="112"/>
                    <w:spacing w:after="0" w:afterAutospacing="0"/>
                    <w:rPr>
                      <w:color w:val="auto"/>
                      <w:u w:val="none"/>
                    </w:rPr>
                  </w:pPr>
                  <w:r>
                    <w:rPr>
                      <w:rFonts w:ascii="宋体" w:hAnsi="宋体"/>
                      <w:color w:val="auto"/>
                      <w:u w:val="none"/>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Align w:val="center"/>
                </w:tcPr>
                <w:p>
                  <w:pPr>
                    <w:pStyle w:val="112"/>
                    <w:spacing w:after="0" w:afterAutospacing="0"/>
                    <w:rPr>
                      <w:color w:val="auto"/>
                      <w:u w:val="none"/>
                    </w:rPr>
                  </w:pPr>
                  <w:r>
                    <w:rPr>
                      <w:rFonts w:ascii="宋体" w:hAnsi="宋体"/>
                      <w:color w:val="auto"/>
                      <w:u w:val="none"/>
                    </w:rPr>
                    <w:t>主导产业</w:t>
                  </w:r>
                </w:p>
              </w:tc>
              <w:tc>
                <w:tcPr>
                  <w:tcW w:w="2713" w:type="pct"/>
                  <w:vAlign w:val="center"/>
                </w:tcPr>
                <w:p>
                  <w:pPr>
                    <w:pStyle w:val="112"/>
                    <w:spacing w:after="0" w:afterAutospacing="0"/>
                    <w:ind w:firstLine="420" w:firstLineChars="200"/>
                    <w:jc w:val="left"/>
                    <w:rPr>
                      <w:rFonts w:hint="eastAsia" w:ascii="宋体" w:hAnsi="宋体"/>
                      <w:color w:val="auto"/>
                      <w:u w:val="none"/>
                    </w:rPr>
                  </w:pPr>
                  <w:r>
                    <w:rPr>
                      <w:rFonts w:ascii="宋体" w:hAnsi="宋体"/>
                      <w:color w:val="auto"/>
                      <w:u w:val="none"/>
                    </w:rPr>
                    <w:t>湘发改地区〔</w:t>
                  </w:r>
                  <w:r>
                    <w:rPr>
                      <w:color w:val="auto"/>
                      <w:u w:val="none"/>
                    </w:rPr>
                    <w:t>2021</w:t>
                  </w:r>
                  <w:r>
                    <w:rPr>
                      <w:rFonts w:ascii="宋体" w:hAnsi="宋体"/>
                      <w:color w:val="auto"/>
                      <w:u w:val="none"/>
                    </w:rPr>
                    <w:t>〕</w:t>
                  </w:r>
                  <w:r>
                    <w:rPr>
                      <w:color w:val="auto"/>
                      <w:u w:val="none"/>
                    </w:rPr>
                    <w:t>394</w:t>
                  </w:r>
                  <w:r>
                    <w:rPr>
                      <w:rFonts w:ascii="宋体" w:hAnsi="宋体"/>
                      <w:color w:val="auto"/>
                      <w:u w:val="none"/>
                    </w:rPr>
                    <w:t>号：主导产业，装备制造；特色产业，装配建筑建材；</w:t>
                  </w:r>
                </w:p>
                <w:p>
                  <w:pPr>
                    <w:pStyle w:val="112"/>
                    <w:spacing w:after="0" w:afterAutospacing="0"/>
                    <w:ind w:firstLine="420" w:firstLineChars="200"/>
                    <w:jc w:val="left"/>
                    <w:rPr>
                      <w:color w:val="auto"/>
                      <w:u w:val="none"/>
                    </w:rPr>
                  </w:pPr>
                  <w:r>
                    <w:rPr>
                      <w:rFonts w:ascii="宋体" w:hAnsi="宋体"/>
                      <w:color w:val="auto"/>
                      <w:u w:val="none"/>
                    </w:rPr>
                    <w:t>湘环评函〔</w:t>
                  </w:r>
                  <w:r>
                    <w:rPr>
                      <w:color w:val="auto"/>
                      <w:u w:val="none"/>
                    </w:rPr>
                    <w:t>2022</w:t>
                  </w:r>
                  <w:r>
                    <w:rPr>
                      <w:rFonts w:ascii="宋体" w:hAnsi="宋体"/>
                      <w:color w:val="auto"/>
                      <w:u w:val="none"/>
                    </w:rPr>
                    <w:t>〕</w:t>
                  </w:r>
                  <w:r>
                    <w:rPr>
                      <w:color w:val="auto"/>
                      <w:u w:val="none"/>
                    </w:rPr>
                    <w:t>65</w:t>
                  </w:r>
                  <w:r>
                    <w:rPr>
                      <w:rFonts w:ascii="宋体" w:hAnsi="宋体"/>
                      <w:color w:val="auto"/>
                      <w:u w:val="none"/>
                    </w:rPr>
                    <w:t>号：区块一、区块二</w:t>
                  </w:r>
                  <w:r>
                    <w:rPr>
                      <w:color w:val="auto"/>
                      <w:u w:val="none"/>
                    </w:rPr>
                    <w:t>(</w:t>
                  </w:r>
                  <w:r>
                    <w:rPr>
                      <w:rFonts w:ascii="宋体" w:hAnsi="宋体"/>
                      <w:color w:val="auto"/>
                      <w:u w:val="none"/>
                    </w:rPr>
                    <w:t>洋沙湖片区</w:t>
                  </w:r>
                  <w:r>
                    <w:rPr>
                      <w:color w:val="auto"/>
                      <w:u w:val="none"/>
                    </w:rPr>
                    <w:t>)</w:t>
                  </w:r>
                  <w:r>
                    <w:rPr>
                      <w:rFonts w:ascii="宋体" w:hAnsi="宋体"/>
                      <w:color w:val="auto"/>
                      <w:u w:val="none"/>
                    </w:rPr>
                    <w:t>重点发展装备制造、食品加工、新材料产业</w:t>
                  </w:r>
                  <w:r>
                    <w:rPr>
                      <w:color w:val="auto"/>
                      <w:u w:val="none"/>
                    </w:rPr>
                    <w:t>(</w:t>
                  </w:r>
                  <w:r>
                    <w:rPr>
                      <w:rFonts w:ascii="宋体" w:hAnsi="宋体"/>
                      <w:color w:val="auto"/>
                      <w:u w:val="none"/>
                    </w:rPr>
                    <w:t>主要包含电子专用材料制造、电池制造</w:t>
                  </w:r>
                  <w:r>
                    <w:rPr>
                      <w:color w:val="auto"/>
                      <w:u w:val="none"/>
                    </w:rPr>
                    <w:t>(</w:t>
                  </w:r>
                  <w:r>
                    <w:rPr>
                      <w:rFonts w:ascii="宋体" w:hAnsi="宋体"/>
                      <w:color w:val="auto"/>
                      <w:u w:val="none"/>
                    </w:rPr>
                    <w:t>不含铅酸蓄电池</w:t>
                  </w:r>
                  <w:r>
                    <w:rPr>
                      <w:color w:val="auto"/>
                      <w:u w:val="none"/>
                    </w:rPr>
                    <w:t>)</w:t>
                  </w:r>
                  <w:r>
                    <w:rPr>
                      <w:rFonts w:ascii="宋体" w:hAnsi="宋体"/>
                      <w:color w:val="auto"/>
                      <w:u w:val="none"/>
                    </w:rPr>
                    <w:t>等</w:t>
                  </w:r>
                  <w:r>
                    <w:rPr>
                      <w:color w:val="auto"/>
                      <w:u w:val="none"/>
                    </w:rPr>
                    <w:t>)</w:t>
                  </w:r>
                  <w:r>
                    <w:rPr>
                      <w:rFonts w:ascii="宋体" w:hAnsi="宋体"/>
                      <w:color w:val="auto"/>
                      <w:u w:val="none"/>
                    </w:rPr>
                    <w:t>、废弃资源综合利用</w:t>
                  </w:r>
                  <w:r>
                    <w:rPr>
                      <w:color w:val="auto"/>
                      <w:u w:val="none"/>
                    </w:rPr>
                    <w:t>(</w:t>
                  </w:r>
                  <w:r>
                    <w:rPr>
                      <w:rFonts w:ascii="宋体" w:hAnsi="宋体"/>
                      <w:color w:val="auto"/>
                      <w:u w:val="none"/>
                    </w:rPr>
                    <w:t>包括利用金属废料和碎屑加工处理和废油回收</w:t>
                  </w:r>
                  <w:r>
                    <w:rPr>
                      <w:color w:val="auto"/>
                      <w:u w:val="none"/>
                    </w:rPr>
                    <w:t>);</w:t>
                  </w:r>
                  <w:r>
                    <w:rPr>
                      <w:rFonts w:ascii="宋体" w:hAnsi="宋体"/>
                      <w:color w:val="auto"/>
                      <w:u w:val="none"/>
                    </w:rPr>
                    <w:t>区块三、区块四、区块五</w:t>
                  </w:r>
                  <w:r>
                    <w:rPr>
                      <w:color w:val="auto"/>
                      <w:u w:val="none"/>
                    </w:rPr>
                    <w:t>(</w:t>
                  </w:r>
                  <w:r>
                    <w:rPr>
                      <w:rFonts w:ascii="宋体" w:hAnsi="宋体"/>
                      <w:color w:val="auto"/>
                      <w:u w:val="none"/>
                    </w:rPr>
                    <w:t>临港片区</w:t>
                  </w:r>
                  <w:r>
                    <w:rPr>
                      <w:color w:val="auto"/>
                      <w:u w:val="none"/>
                    </w:rPr>
                    <w:t>)</w:t>
                  </w:r>
                  <w:r>
                    <w:rPr>
                      <w:rFonts w:ascii="宋体" w:hAnsi="宋体"/>
                      <w:color w:val="auto"/>
                      <w:u w:val="none"/>
                    </w:rPr>
                    <w:t>重点发展装配式建筑建材产业、配套发展物流产业；区块六</w:t>
                  </w:r>
                  <w:r>
                    <w:rPr>
                      <w:color w:val="auto"/>
                      <w:u w:val="none"/>
                    </w:rPr>
                    <w:t>(</w:t>
                  </w:r>
                  <w:r>
                    <w:rPr>
                      <w:rFonts w:ascii="宋体" w:hAnsi="宋体"/>
                      <w:color w:val="auto"/>
                      <w:u w:val="none"/>
                    </w:rPr>
                    <w:t>金龙片区</w:t>
                  </w:r>
                  <w:r>
                    <w:rPr>
                      <w:color w:val="auto"/>
                      <w:u w:val="none"/>
                    </w:rPr>
                    <w:t xml:space="preserve">) </w:t>
                  </w:r>
                  <w:r>
                    <w:rPr>
                      <w:rFonts w:ascii="宋体" w:hAnsi="宋体"/>
                      <w:color w:val="auto"/>
                      <w:u w:val="none"/>
                    </w:rPr>
                    <w:t>重点发展装备制造产业。</w:t>
                  </w:r>
                </w:p>
              </w:tc>
              <w:tc>
                <w:tcPr>
                  <w:tcW w:w="1450" w:type="pct"/>
                  <w:vAlign w:val="center"/>
                </w:tcPr>
                <w:p>
                  <w:pPr>
                    <w:pStyle w:val="112"/>
                    <w:spacing w:after="0" w:afterAutospacing="0"/>
                    <w:ind w:firstLine="420" w:firstLineChars="200"/>
                    <w:jc w:val="left"/>
                    <w:rPr>
                      <w:color w:val="auto"/>
                      <w:u w:val="none"/>
                    </w:rPr>
                  </w:pPr>
                  <w:r>
                    <w:rPr>
                      <w:rFonts w:ascii="宋体" w:hAnsi="宋体"/>
                      <w:color w:val="auto"/>
                      <w:u w:val="none"/>
                    </w:rPr>
                    <w:t>本项目</w:t>
                  </w:r>
                  <w:r>
                    <w:rPr>
                      <w:rFonts w:hint="eastAsia" w:ascii="宋体" w:hAnsi="宋体"/>
                      <w:color w:val="auto"/>
                      <w:u w:val="none"/>
                    </w:rPr>
                    <w:t>位于区块一，</w:t>
                  </w:r>
                  <w:r>
                    <w:rPr>
                      <w:rFonts w:hint="eastAsia"/>
                      <w:color w:val="auto"/>
                      <w:u w:val="none"/>
                    </w:rPr>
                    <w:t>所属行业为</w:t>
                  </w:r>
                  <w:r>
                    <w:rPr>
                      <w:color w:val="auto"/>
                      <w:u w:val="none"/>
                    </w:rPr>
                    <w:t>C13农副食品加工业及C14食品制造业</w:t>
                  </w:r>
                  <w:r>
                    <w:rPr>
                      <w:rFonts w:hint="eastAsia"/>
                      <w:color w:val="auto"/>
                      <w:u w:val="none"/>
                    </w:rPr>
                    <w:t>，为洋沙湖片区</w:t>
                  </w:r>
                  <w:r>
                    <w:rPr>
                      <w:color w:val="auto"/>
                      <w:u w:val="none"/>
                    </w:rPr>
                    <w:t>重点发展的</w:t>
                  </w:r>
                  <w:r>
                    <w:rPr>
                      <w:rFonts w:hint="eastAsia"/>
                      <w:color w:val="auto"/>
                      <w:u w:val="none"/>
                    </w:rPr>
                    <w:t>食品加工行业。</w:t>
                  </w:r>
                </w:p>
              </w:tc>
              <w:tc>
                <w:tcPr>
                  <w:tcW w:w="445" w:type="pct"/>
                  <w:vAlign w:val="center"/>
                </w:tcPr>
                <w:p>
                  <w:pPr>
                    <w:pStyle w:val="112"/>
                    <w:spacing w:after="0" w:afterAutospacing="0"/>
                    <w:rPr>
                      <w:color w:val="auto"/>
                      <w:u w:val="none"/>
                    </w:rPr>
                  </w:pPr>
                  <w:r>
                    <w:rPr>
                      <w:rFonts w:ascii="宋体" w:hAnsi="宋体"/>
                      <w:color w:val="auto"/>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Align w:val="center"/>
                </w:tcPr>
                <w:p>
                  <w:pPr>
                    <w:pStyle w:val="112"/>
                    <w:spacing w:after="0" w:afterAutospacing="0"/>
                    <w:rPr>
                      <w:color w:val="auto"/>
                      <w:u w:val="none"/>
                    </w:rPr>
                  </w:pPr>
                  <w:r>
                    <w:rPr>
                      <w:rFonts w:ascii="宋体" w:hAnsi="宋体"/>
                      <w:color w:val="auto"/>
                      <w:u w:val="none"/>
                    </w:rPr>
                    <w:t>空间布局</w:t>
                  </w:r>
                </w:p>
                <w:p>
                  <w:pPr>
                    <w:pStyle w:val="112"/>
                    <w:spacing w:after="0" w:afterAutospacing="0"/>
                    <w:rPr>
                      <w:color w:val="auto"/>
                      <w:u w:val="none"/>
                    </w:rPr>
                  </w:pPr>
                  <w:r>
                    <w:rPr>
                      <w:rFonts w:ascii="宋体" w:hAnsi="宋体"/>
                      <w:color w:val="auto"/>
                      <w:u w:val="none"/>
                    </w:rPr>
                    <w:t>约束</w:t>
                  </w:r>
                </w:p>
              </w:tc>
              <w:tc>
                <w:tcPr>
                  <w:tcW w:w="2713" w:type="pct"/>
                  <w:vAlign w:val="center"/>
                </w:tcPr>
                <w:p>
                  <w:pPr>
                    <w:pStyle w:val="112"/>
                    <w:spacing w:after="0" w:afterAutospacing="0"/>
                    <w:ind w:firstLine="420" w:firstLineChars="200"/>
                    <w:jc w:val="left"/>
                    <w:rPr>
                      <w:color w:val="auto"/>
                      <w:u w:val="none"/>
                    </w:rPr>
                  </w:pPr>
                  <w:r>
                    <w:rPr>
                      <w:color w:val="auto"/>
                      <w:u w:val="none"/>
                    </w:rPr>
                    <w:t>(1.1)</w:t>
                  </w:r>
                  <w:r>
                    <w:rPr>
                      <w:rFonts w:ascii="宋体" w:hAnsi="宋体"/>
                      <w:color w:val="auto"/>
                      <w:u w:val="none"/>
                    </w:rPr>
                    <w:t>新引进项目及高新区外企业搬迁入园过程中应着重从降低环境影响的角度出发合理选址布局。对于高新区外已有企业或项目的搬迁入园应确保实现其清洁生产水平的提升与污染物排放总量的降低。</w:t>
                  </w:r>
                </w:p>
                <w:p>
                  <w:pPr>
                    <w:pStyle w:val="112"/>
                    <w:spacing w:after="0" w:afterAutospacing="0"/>
                    <w:ind w:firstLine="420" w:firstLineChars="200"/>
                    <w:jc w:val="left"/>
                    <w:rPr>
                      <w:color w:val="auto"/>
                      <w:u w:val="none"/>
                    </w:rPr>
                  </w:pPr>
                  <w:r>
                    <w:rPr>
                      <w:color w:val="auto"/>
                      <w:u w:val="none"/>
                    </w:rPr>
                    <w:t>(1.2)</w:t>
                  </w:r>
                  <w:r>
                    <w:rPr>
                      <w:rFonts w:ascii="宋体" w:hAnsi="宋体"/>
                      <w:color w:val="auto"/>
                      <w:u w:val="none"/>
                    </w:rPr>
                    <w:t>区块一、区块二</w:t>
                  </w:r>
                  <w:r>
                    <w:rPr>
                      <w:color w:val="auto"/>
                      <w:u w:val="none"/>
                    </w:rPr>
                    <w:t>(</w:t>
                  </w:r>
                  <w:r>
                    <w:rPr>
                      <w:rFonts w:ascii="宋体" w:hAnsi="宋体"/>
                      <w:color w:val="auto"/>
                      <w:u w:val="none"/>
                    </w:rPr>
                    <w:t>洋沙湖片区</w:t>
                  </w:r>
                  <w:r>
                    <w:rPr>
                      <w:color w:val="auto"/>
                      <w:u w:val="none"/>
                    </w:rPr>
                    <w:t>)</w:t>
                  </w:r>
                  <w:r>
                    <w:rPr>
                      <w:rFonts w:ascii="宋体" w:hAnsi="宋体"/>
                      <w:color w:val="auto"/>
                      <w:u w:val="none"/>
                    </w:rPr>
                    <w:t>将涉及气型污染物无组织排放的企业、车间尽量远离湿地公园布置；禁止引进对洋沙湖</w:t>
                  </w:r>
                  <w:r>
                    <w:rPr>
                      <w:color w:val="auto"/>
                      <w:u w:val="none"/>
                    </w:rPr>
                    <w:t>-</w:t>
                  </w:r>
                  <w:r>
                    <w:rPr>
                      <w:rFonts w:ascii="宋体" w:hAnsi="宋体"/>
                      <w:color w:val="auto"/>
                      <w:u w:val="none"/>
                    </w:rPr>
                    <w:t>东湖国家湿地公园产生不利影响的企业。</w:t>
                  </w:r>
                </w:p>
                <w:p>
                  <w:pPr>
                    <w:pStyle w:val="112"/>
                    <w:spacing w:after="0" w:afterAutospacing="0"/>
                    <w:ind w:firstLine="420" w:firstLineChars="200"/>
                    <w:jc w:val="left"/>
                    <w:rPr>
                      <w:color w:val="auto"/>
                      <w:u w:val="none"/>
                    </w:rPr>
                  </w:pPr>
                  <w:r>
                    <w:rPr>
                      <w:color w:val="auto"/>
                      <w:u w:val="none"/>
                    </w:rPr>
                    <w:t>(1.3)</w:t>
                  </w:r>
                  <w:r>
                    <w:rPr>
                      <w:rFonts w:ascii="宋体" w:hAnsi="宋体"/>
                      <w:color w:val="auto"/>
                      <w:u w:val="none"/>
                    </w:rPr>
                    <w:t>区块三、区块四、区块五</w:t>
                  </w:r>
                  <w:r>
                    <w:rPr>
                      <w:color w:val="auto"/>
                      <w:u w:val="none"/>
                    </w:rPr>
                    <w:t>(</w:t>
                  </w:r>
                  <w:r>
                    <w:rPr>
                      <w:rFonts w:ascii="宋体" w:hAnsi="宋体"/>
                      <w:color w:val="auto"/>
                      <w:u w:val="none"/>
                    </w:rPr>
                    <w:t>临港片区</w:t>
                  </w:r>
                  <w:r>
                    <w:rPr>
                      <w:color w:val="auto"/>
                      <w:u w:val="none"/>
                    </w:rPr>
                    <w:t>)</w:t>
                  </w:r>
                  <w:r>
                    <w:rPr>
                      <w:rFonts w:ascii="宋体" w:hAnsi="宋体"/>
                      <w:color w:val="auto"/>
                      <w:u w:val="none"/>
                    </w:rPr>
                    <w:t>严控以气型污染为主的企业入驻。</w:t>
                  </w:r>
                </w:p>
                <w:p>
                  <w:pPr>
                    <w:pStyle w:val="112"/>
                    <w:spacing w:after="0" w:afterAutospacing="0"/>
                    <w:ind w:firstLine="420" w:firstLineChars="200"/>
                    <w:jc w:val="left"/>
                    <w:rPr>
                      <w:color w:val="auto"/>
                      <w:u w:val="none"/>
                    </w:rPr>
                  </w:pPr>
                  <w:r>
                    <w:rPr>
                      <w:color w:val="auto"/>
                      <w:u w:val="none"/>
                    </w:rPr>
                    <w:t>(1.4)</w:t>
                  </w:r>
                  <w:r>
                    <w:rPr>
                      <w:rFonts w:ascii="宋体" w:hAnsi="宋体"/>
                      <w:color w:val="auto"/>
                      <w:u w:val="none"/>
                    </w:rPr>
                    <w:t>区块六</w:t>
                  </w:r>
                  <w:r>
                    <w:rPr>
                      <w:color w:val="auto"/>
                      <w:u w:val="none"/>
                    </w:rPr>
                    <w:t>(</w:t>
                  </w:r>
                  <w:r>
                    <w:rPr>
                      <w:rFonts w:ascii="宋体" w:hAnsi="宋体"/>
                      <w:color w:val="auto"/>
                      <w:u w:val="none"/>
                    </w:rPr>
                    <w:t>金龙片区</w:t>
                  </w:r>
                  <w:r>
                    <w:rPr>
                      <w:color w:val="auto"/>
                      <w:u w:val="none"/>
                    </w:rPr>
                    <w:t>)</w:t>
                  </w:r>
                  <w:r>
                    <w:rPr>
                      <w:rFonts w:ascii="宋体" w:hAnsi="宋体"/>
                      <w:color w:val="auto"/>
                      <w:u w:val="none"/>
                    </w:rPr>
                    <w:t>适当限制以水型污染为主的企业入驻。</w:t>
                  </w:r>
                </w:p>
              </w:tc>
              <w:tc>
                <w:tcPr>
                  <w:tcW w:w="1450" w:type="pct"/>
                  <w:vAlign w:val="center"/>
                </w:tcPr>
                <w:p>
                  <w:pPr>
                    <w:pStyle w:val="112"/>
                    <w:spacing w:after="0" w:afterAutospacing="0"/>
                    <w:ind w:firstLine="420" w:firstLineChars="200"/>
                    <w:jc w:val="left"/>
                    <w:rPr>
                      <w:color w:val="auto"/>
                      <w:u w:val="none"/>
                    </w:rPr>
                  </w:pPr>
                  <w:r>
                    <w:rPr>
                      <w:color w:val="auto"/>
                      <w:u w:val="none"/>
                    </w:rPr>
                    <w:t>1</w:t>
                  </w:r>
                  <w:r>
                    <w:rPr>
                      <w:rFonts w:ascii="宋体" w:hAnsi="宋体"/>
                      <w:color w:val="auto"/>
                      <w:u w:val="none"/>
                    </w:rPr>
                    <w:t>、本项目</w:t>
                  </w:r>
                  <w:r>
                    <w:rPr>
                      <w:rFonts w:hint="eastAsia" w:ascii="宋体" w:hAnsi="宋体"/>
                      <w:color w:val="auto"/>
                      <w:u w:val="none"/>
                    </w:rPr>
                    <w:t>选址合理，与周边环境相容</w:t>
                  </w:r>
                  <w:r>
                    <w:rPr>
                      <w:rFonts w:ascii="宋体" w:hAnsi="宋体"/>
                      <w:color w:val="auto"/>
                      <w:u w:val="none"/>
                    </w:rPr>
                    <w:t>。</w:t>
                  </w:r>
                </w:p>
                <w:p>
                  <w:pPr>
                    <w:pStyle w:val="112"/>
                    <w:spacing w:after="0" w:afterAutospacing="0"/>
                    <w:ind w:firstLine="420" w:firstLineChars="200"/>
                    <w:jc w:val="left"/>
                    <w:rPr>
                      <w:color w:val="auto"/>
                      <w:u w:val="none"/>
                    </w:rPr>
                  </w:pPr>
                  <w:r>
                    <w:rPr>
                      <w:color w:val="auto"/>
                      <w:u w:val="none"/>
                    </w:rPr>
                    <w:t>2</w:t>
                  </w:r>
                  <w:r>
                    <w:rPr>
                      <w:rFonts w:ascii="宋体" w:hAnsi="宋体"/>
                      <w:color w:val="auto"/>
                      <w:u w:val="none"/>
                    </w:rPr>
                    <w:t>、本项目</w:t>
                  </w:r>
                  <w:r>
                    <w:rPr>
                      <w:rFonts w:hint="eastAsia" w:ascii="宋体" w:hAnsi="宋体"/>
                      <w:color w:val="auto"/>
                      <w:u w:val="none"/>
                    </w:rPr>
                    <w:t>使用天然气为燃料，锅炉</w:t>
                  </w:r>
                  <w:r>
                    <w:rPr>
                      <w:rFonts w:ascii="宋体" w:hAnsi="宋体"/>
                      <w:color w:val="auto"/>
                      <w:u w:val="none"/>
                    </w:rPr>
                    <w:t>废气</w:t>
                  </w:r>
                  <w:r>
                    <w:rPr>
                      <w:rFonts w:hint="eastAsia" w:ascii="宋体" w:hAnsi="宋体"/>
                      <w:color w:val="auto"/>
                      <w:u w:val="none"/>
                    </w:rPr>
                    <w:t>配备低氮燃烧器，车间炒制废气、食堂油烟经油烟净化器处理后经排气筒达标排放，污水站臭气收集除臭处理后经排气筒</w:t>
                  </w:r>
                  <w:r>
                    <w:rPr>
                      <w:rFonts w:ascii="宋体" w:hAnsi="宋体"/>
                      <w:color w:val="auto"/>
                      <w:u w:val="none"/>
                    </w:rPr>
                    <w:t>达标排放。不涉及洋沙湖</w:t>
                  </w:r>
                  <w:r>
                    <w:rPr>
                      <w:color w:val="auto"/>
                      <w:u w:val="none"/>
                    </w:rPr>
                    <w:t>-</w:t>
                  </w:r>
                  <w:r>
                    <w:rPr>
                      <w:rFonts w:ascii="宋体" w:hAnsi="宋体"/>
                      <w:color w:val="auto"/>
                      <w:u w:val="none"/>
                    </w:rPr>
                    <w:t>东湖国家湿地公园。</w:t>
                  </w:r>
                </w:p>
              </w:tc>
              <w:tc>
                <w:tcPr>
                  <w:tcW w:w="445" w:type="pct"/>
                  <w:vAlign w:val="center"/>
                </w:tcPr>
                <w:p>
                  <w:pPr>
                    <w:pStyle w:val="112"/>
                    <w:spacing w:after="0" w:afterAutospacing="0"/>
                    <w:rPr>
                      <w:color w:val="auto"/>
                      <w:u w:val="none"/>
                    </w:rPr>
                  </w:pPr>
                  <w:r>
                    <w:rPr>
                      <w:rFonts w:ascii="宋体" w:hAnsi="宋体"/>
                      <w:color w:val="auto"/>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Align w:val="center"/>
                </w:tcPr>
                <w:p>
                  <w:pPr>
                    <w:pStyle w:val="112"/>
                    <w:spacing w:after="0" w:afterAutospacing="0"/>
                    <w:rPr>
                      <w:color w:val="auto"/>
                      <w:u w:val="none"/>
                    </w:rPr>
                  </w:pPr>
                  <w:r>
                    <w:rPr>
                      <w:rFonts w:ascii="宋体" w:hAnsi="宋体"/>
                      <w:color w:val="auto"/>
                      <w:u w:val="none"/>
                    </w:rPr>
                    <w:t>污染物排</w:t>
                  </w:r>
                </w:p>
                <w:p>
                  <w:pPr>
                    <w:pStyle w:val="112"/>
                    <w:spacing w:after="0" w:afterAutospacing="0"/>
                    <w:rPr>
                      <w:color w:val="auto"/>
                      <w:u w:val="none"/>
                    </w:rPr>
                  </w:pPr>
                  <w:r>
                    <w:rPr>
                      <w:rFonts w:ascii="宋体" w:hAnsi="宋体"/>
                      <w:color w:val="auto"/>
                      <w:u w:val="none"/>
                    </w:rPr>
                    <w:t>放管控</w:t>
                  </w:r>
                </w:p>
              </w:tc>
              <w:tc>
                <w:tcPr>
                  <w:tcW w:w="2713" w:type="pct"/>
                  <w:vAlign w:val="center"/>
                </w:tcPr>
                <w:p>
                  <w:pPr>
                    <w:pStyle w:val="112"/>
                    <w:spacing w:after="0" w:afterAutospacing="0"/>
                    <w:ind w:firstLine="420" w:firstLineChars="200"/>
                    <w:jc w:val="left"/>
                    <w:rPr>
                      <w:color w:val="auto"/>
                      <w:u w:val="none"/>
                    </w:rPr>
                  </w:pPr>
                  <w:r>
                    <w:rPr>
                      <w:color w:val="auto"/>
                      <w:u w:val="none"/>
                    </w:rPr>
                    <w:t>(2.1)</w:t>
                  </w:r>
                  <w:r>
                    <w:rPr>
                      <w:rFonts w:ascii="宋体" w:hAnsi="宋体"/>
                      <w:color w:val="auto"/>
                      <w:u w:val="none"/>
                    </w:rPr>
                    <w:t>废水</w:t>
                  </w:r>
                </w:p>
                <w:p>
                  <w:pPr>
                    <w:pStyle w:val="112"/>
                    <w:spacing w:after="0" w:afterAutospacing="0"/>
                    <w:ind w:firstLine="420" w:firstLineChars="200"/>
                    <w:jc w:val="left"/>
                    <w:rPr>
                      <w:color w:val="auto"/>
                      <w:u w:val="none"/>
                    </w:rPr>
                  </w:pPr>
                  <w:r>
                    <w:rPr>
                      <w:color w:val="auto"/>
                      <w:u w:val="none"/>
                    </w:rPr>
                    <w:t>(2.1.1)</w:t>
                  </w:r>
                  <w:r>
                    <w:rPr>
                      <w:rFonts w:ascii="宋体" w:hAnsi="宋体"/>
                      <w:color w:val="auto"/>
                      <w:u w:val="none"/>
                    </w:rPr>
                    <w:t>高新区各区块排水实施雨污分流，雨水经雨水管网排入洋沙湖。</w:t>
                  </w:r>
                </w:p>
                <w:p>
                  <w:pPr>
                    <w:pStyle w:val="112"/>
                    <w:spacing w:after="0" w:afterAutospacing="0"/>
                    <w:ind w:firstLine="420" w:firstLineChars="200"/>
                    <w:jc w:val="left"/>
                    <w:rPr>
                      <w:color w:val="auto"/>
                      <w:u w:val="none"/>
                    </w:rPr>
                  </w:pPr>
                  <w:r>
                    <w:rPr>
                      <w:color w:val="auto"/>
                      <w:u w:val="none"/>
                    </w:rPr>
                    <w:t>(2.1.2)</w:t>
                  </w:r>
                  <w:r>
                    <w:rPr>
                      <w:rFonts w:ascii="宋体" w:hAnsi="宋体"/>
                      <w:color w:val="auto"/>
                      <w:u w:val="none"/>
                    </w:rPr>
                    <w:t>区块一、区块二</w:t>
                  </w:r>
                  <w:r>
                    <w:rPr>
                      <w:color w:val="auto"/>
                      <w:u w:val="none"/>
                    </w:rPr>
                    <w:t>(</w:t>
                  </w:r>
                  <w:r>
                    <w:rPr>
                      <w:rFonts w:ascii="宋体" w:hAnsi="宋体"/>
                      <w:color w:val="auto"/>
                      <w:u w:val="none"/>
                    </w:rPr>
                    <w:t>洋沙湖片区</w:t>
                  </w:r>
                  <w:r>
                    <w:rPr>
                      <w:color w:val="auto"/>
                      <w:u w:val="none"/>
                    </w:rPr>
                    <w:t>)</w:t>
                  </w:r>
                  <w:r>
                    <w:rPr>
                      <w:rFonts w:ascii="宋体" w:hAnsi="宋体"/>
                      <w:color w:val="auto"/>
                      <w:u w:val="none"/>
                    </w:rPr>
                    <w:t>废水进入湘阴县第二污水处理厂处理达标后排入洋沙湖闸外流入湘江；区块三、区块四</w:t>
                  </w:r>
                  <w:r>
                    <w:rPr>
                      <w:rFonts w:hint="eastAsia" w:ascii="宋体" w:hAnsi="宋体"/>
                      <w:color w:val="auto"/>
                      <w:u w:val="none"/>
                    </w:rPr>
                    <w:t>、区块五</w:t>
                  </w:r>
                  <w:r>
                    <w:rPr>
                      <w:rFonts w:hint="eastAsia"/>
                      <w:color w:val="auto"/>
                      <w:u w:val="none"/>
                    </w:rPr>
                    <w:t>(</w:t>
                  </w:r>
                  <w:r>
                    <w:rPr>
                      <w:rFonts w:hint="eastAsia" w:ascii="宋体" w:hAnsi="宋体"/>
                      <w:color w:val="auto"/>
                      <w:u w:val="none"/>
                    </w:rPr>
                    <w:t>临港片区</w:t>
                  </w:r>
                  <w:r>
                    <w:rPr>
                      <w:rFonts w:hint="eastAsia"/>
                      <w:color w:val="auto"/>
                      <w:u w:val="none"/>
                    </w:rPr>
                    <w:t>)</w:t>
                  </w:r>
                  <w:r>
                    <w:rPr>
                      <w:rFonts w:hint="eastAsia" w:ascii="宋体" w:hAnsi="宋体"/>
                      <w:color w:val="auto"/>
                      <w:u w:val="none"/>
                    </w:rPr>
                    <w:t>废水依托湘阴县第一污水处理厂处理达标后排入湘江；区块六</w:t>
                  </w:r>
                  <w:r>
                    <w:rPr>
                      <w:rFonts w:hint="eastAsia"/>
                      <w:color w:val="auto"/>
                      <w:u w:val="none"/>
                    </w:rPr>
                    <w:t>(</w:t>
                  </w:r>
                  <w:r>
                    <w:rPr>
                      <w:rFonts w:hint="eastAsia" w:ascii="宋体" w:hAnsi="宋体"/>
                      <w:color w:val="auto"/>
                      <w:u w:val="none"/>
                    </w:rPr>
                    <w:t>金龙片区</w:t>
                  </w:r>
                  <w:r>
                    <w:rPr>
                      <w:rFonts w:hint="eastAsia"/>
                      <w:color w:val="auto"/>
                      <w:u w:val="none"/>
                    </w:rPr>
                    <w:t>)</w:t>
                  </w:r>
                  <w:r>
                    <w:rPr>
                      <w:rFonts w:hint="eastAsia" w:ascii="宋体" w:hAnsi="宋体"/>
                      <w:color w:val="auto"/>
                      <w:u w:val="none"/>
                    </w:rPr>
                    <w:t>废水依托湘阴县第三污水处理厂处 理达标后由洋沙河排入洋沙湖。</w:t>
                  </w:r>
                </w:p>
                <w:p>
                  <w:pPr>
                    <w:pStyle w:val="112"/>
                    <w:spacing w:after="0" w:afterAutospacing="0"/>
                    <w:ind w:firstLine="420" w:firstLineChars="200"/>
                    <w:jc w:val="left"/>
                    <w:rPr>
                      <w:color w:val="auto"/>
                      <w:u w:val="none"/>
                    </w:rPr>
                  </w:pPr>
                  <w:r>
                    <w:rPr>
                      <w:rFonts w:hint="eastAsia"/>
                      <w:color w:val="auto"/>
                      <w:u w:val="none"/>
                    </w:rPr>
                    <w:t>(2.2)</w:t>
                  </w:r>
                  <w:r>
                    <w:rPr>
                      <w:rFonts w:hint="eastAsia" w:ascii="宋体" w:hAnsi="宋体"/>
                      <w:color w:val="auto"/>
                      <w:u w:val="none"/>
                    </w:rPr>
                    <w:t>废气</w:t>
                  </w:r>
                </w:p>
                <w:p>
                  <w:pPr>
                    <w:pStyle w:val="112"/>
                    <w:spacing w:after="0" w:afterAutospacing="0"/>
                    <w:ind w:firstLine="420" w:firstLineChars="200"/>
                    <w:jc w:val="left"/>
                    <w:rPr>
                      <w:color w:val="auto"/>
                      <w:u w:val="none"/>
                    </w:rPr>
                  </w:pPr>
                  <w:r>
                    <w:rPr>
                      <w:rFonts w:hint="eastAsia"/>
                      <w:color w:val="auto"/>
                      <w:u w:val="none"/>
                    </w:rPr>
                    <w:t>(2.2.1)</w:t>
                  </w:r>
                  <w:r>
                    <w:rPr>
                      <w:rFonts w:hint="eastAsia" w:ascii="宋体" w:hAnsi="宋体"/>
                      <w:color w:val="auto"/>
                      <w:u w:val="none"/>
                    </w:rPr>
                    <w:t>持续深化工业炉窑大气污染专项治理，进一步加强传统产业环保升级，采用节能低碳环保技术改造提升传统产业，努力构建绿色制造体系，不断优化工业产品结构。</w:t>
                  </w:r>
                </w:p>
                <w:p>
                  <w:pPr>
                    <w:pStyle w:val="112"/>
                    <w:spacing w:after="0" w:afterAutospacing="0"/>
                    <w:ind w:firstLine="420" w:firstLineChars="200"/>
                    <w:jc w:val="left"/>
                    <w:rPr>
                      <w:color w:val="auto"/>
                      <w:u w:val="none"/>
                    </w:rPr>
                  </w:pPr>
                  <w:r>
                    <w:rPr>
                      <w:rFonts w:hint="eastAsia"/>
                      <w:color w:val="auto"/>
                      <w:u w:val="none"/>
                    </w:rPr>
                    <w:t>(2.2.2)</w:t>
                  </w:r>
                  <w:r>
                    <w:rPr>
                      <w:rFonts w:hint="eastAsia" w:ascii="宋体" w:hAnsi="宋体"/>
                      <w:color w:val="auto"/>
                      <w:u w:val="none"/>
                    </w:rPr>
                    <w:t>加强高新区大气污染防治，采取有效措施减少污染物排放总量，严格控制无组织排放，加强对高新区企业</w:t>
                  </w:r>
                  <w:r>
                    <w:rPr>
                      <w:rFonts w:hint="eastAsia"/>
                      <w:color w:val="auto"/>
                      <w:u w:val="none"/>
                    </w:rPr>
                    <w:t>VOCs</w:t>
                  </w:r>
                  <w:r>
                    <w:rPr>
                      <w:rFonts w:hint="eastAsia" w:ascii="宋体" w:hAnsi="宋体"/>
                      <w:color w:val="auto"/>
                      <w:u w:val="none"/>
                    </w:rPr>
                    <w:t>排放的治理。</w:t>
                  </w:r>
                </w:p>
                <w:p>
                  <w:pPr>
                    <w:pStyle w:val="112"/>
                    <w:spacing w:after="0" w:afterAutospacing="0"/>
                    <w:ind w:firstLine="420" w:firstLineChars="200"/>
                    <w:jc w:val="left"/>
                    <w:rPr>
                      <w:color w:val="auto"/>
                      <w:u w:val="none"/>
                    </w:rPr>
                  </w:pPr>
                  <w:r>
                    <w:rPr>
                      <w:rFonts w:hint="eastAsia"/>
                      <w:color w:val="auto"/>
                      <w:u w:val="none"/>
                    </w:rPr>
                    <w:t>(2.3)</w:t>
                  </w:r>
                  <w:r>
                    <w:rPr>
                      <w:rFonts w:hint="eastAsia" w:ascii="宋体" w:hAnsi="宋体"/>
                      <w:color w:val="auto"/>
                      <w:u w:val="none"/>
                    </w:rPr>
                    <w:t>固体废弃物：建立高新区固废规范化管理体系，做好工业固体废物的分类收集、转运、综合利用和无害化处理。对危险 废物应严格按照国家有关规定综合利用或妥善处置，对危险废物产生企业和经营单位，应强化日常环境监管。</w:t>
                  </w:r>
                </w:p>
                <w:p>
                  <w:pPr>
                    <w:pStyle w:val="112"/>
                    <w:spacing w:after="0" w:afterAutospacing="0"/>
                    <w:ind w:firstLine="420" w:firstLineChars="200"/>
                    <w:jc w:val="left"/>
                    <w:rPr>
                      <w:color w:val="auto"/>
                      <w:u w:val="none"/>
                    </w:rPr>
                  </w:pPr>
                  <w:r>
                    <w:rPr>
                      <w:rFonts w:hint="eastAsia"/>
                      <w:color w:val="auto"/>
                      <w:u w:val="none"/>
                    </w:rPr>
                    <w:t>(2.4)</w:t>
                  </w:r>
                  <w:r>
                    <w:rPr>
                      <w:rFonts w:hint="eastAsia" w:ascii="宋体" w:hAnsi="宋体"/>
                      <w:color w:val="auto"/>
                      <w:u w:val="none"/>
                    </w:rPr>
                    <w:t xml:space="preserve">建立健全环境空气、地表水、地下水、土壤等环境要素的监控体系。合理布局大气小微站，并涵盖相关特征污染物监测。 </w:t>
                  </w:r>
                </w:p>
                <w:p>
                  <w:pPr>
                    <w:pStyle w:val="112"/>
                    <w:spacing w:after="0" w:afterAutospacing="0"/>
                    <w:ind w:firstLine="420" w:firstLineChars="200"/>
                    <w:jc w:val="left"/>
                    <w:rPr>
                      <w:color w:val="auto"/>
                      <w:u w:val="none"/>
                    </w:rPr>
                  </w:pPr>
                  <w:r>
                    <w:rPr>
                      <w:rFonts w:hint="eastAsia"/>
                      <w:color w:val="auto"/>
                      <w:u w:val="none"/>
                    </w:rPr>
                    <w:t>(2.5)</w:t>
                  </w:r>
                  <w:r>
                    <w:rPr>
                      <w:rFonts w:hint="eastAsia" w:ascii="宋体" w:hAnsi="宋体"/>
                      <w:color w:val="auto"/>
                      <w:u w:val="none"/>
                    </w:rPr>
                    <w:t>高新区内相关行业污染物排放满足《湖南省生态环境厅关于执行污染物特别排放限值</w:t>
                  </w:r>
                  <w:r>
                    <w:rPr>
                      <w:rFonts w:hint="eastAsia"/>
                      <w:color w:val="auto"/>
                      <w:u w:val="none"/>
                    </w:rPr>
                    <w:t>(</w:t>
                  </w:r>
                  <w:r>
                    <w:rPr>
                      <w:rFonts w:hint="eastAsia" w:ascii="宋体" w:hAnsi="宋体"/>
                      <w:color w:val="auto"/>
                      <w:u w:val="none"/>
                    </w:rPr>
                    <w:t>第一批</w:t>
                  </w:r>
                  <w:r>
                    <w:rPr>
                      <w:rFonts w:hint="eastAsia"/>
                      <w:color w:val="auto"/>
                      <w:u w:val="none"/>
                    </w:rPr>
                    <w:t>)</w:t>
                  </w:r>
                  <w:r>
                    <w:rPr>
                      <w:rFonts w:hint="eastAsia" w:ascii="宋体" w:hAnsi="宋体"/>
                      <w:color w:val="auto"/>
                      <w:u w:val="none"/>
                    </w:rPr>
                    <w:t>的公告》中的要求。</w:t>
                  </w:r>
                </w:p>
              </w:tc>
              <w:tc>
                <w:tcPr>
                  <w:tcW w:w="1450" w:type="pct"/>
                  <w:vAlign w:val="center"/>
                </w:tcPr>
                <w:p>
                  <w:pPr>
                    <w:pStyle w:val="112"/>
                    <w:spacing w:after="0" w:afterAutospacing="0"/>
                    <w:ind w:firstLine="420" w:firstLineChars="200"/>
                    <w:jc w:val="left"/>
                    <w:rPr>
                      <w:color w:val="auto"/>
                      <w:u w:val="none"/>
                    </w:rPr>
                  </w:pPr>
                  <w:r>
                    <w:rPr>
                      <w:color w:val="auto"/>
                      <w:u w:val="none"/>
                    </w:rPr>
                    <w:t>1</w:t>
                  </w:r>
                  <w:r>
                    <w:rPr>
                      <w:rFonts w:ascii="宋体" w:hAnsi="宋体"/>
                      <w:color w:val="auto"/>
                      <w:u w:val="none"/>
                    </w:rPr>
                    <w:t>、本项目</w:t>
                  </w:r>
                  <w:r>
                    <w:rPr>
                      <w:rFonts w:hint="eastAsia" w:ascii="宋体" w:hAnsi="宋体"/>
                      <w:color w:val="auto"/>
                      <w:u w:val="none"/>
                    </w:rPr>
                    <w:t>位于区块一，厂区雨污分流，废水厂内预处理后经园区管网</w:t>
                  </w:r>
                  <w:r>
                    <w:rPr>
                      <w:rFonts w:ascii="宋体" w:hAnsi="宋体"/>
                      <w:bCs/>
                      <w:color w:val="auto"/>
                      <w:kern w:val="0"/>
                      <w:u w:val="none"/>
                    </w:rPr>
                    <w:t>进入</w:t>
                  </w:r>
                  <w:r>
                    <w:rPr>
                      <w:rFonts w:hint="eastAsia" w:ascii="宋体" w:hAnsi="宋体"/>
                      <w:bCs/>
                      <w:color w:val="auto"/>
                      <w:kern w:val="0"/>
                      <w:u w:val="none"/>
                    </w:rPr>
                    <w:t>湘阴县第二污水处理厂</w:t>
                  </w:r>
                  <w:r>
                    <w:rPr>
                      <w:rFonts w:ascii="宋体" w:hAnsi="宋体"/>
                      <w:bCs/>
                      <w:color w:val="auto"/>
                      <w:kern w:val="0"/>
                      <w:u w:val="none"/>
                    </w:rPr>
                    <w:t>处理</w:t>
                  </w:r>
                  <w:r>
                    <w:rPr>
                      <w:rFonts w:ascii="宋体" w:hAnsi="宋体"/>
                      <w:color w:val="auto"/>
                      <w:u w:val="none"/>
                    </w:rPr>
                    <w:t>。</w:t>
                  </w:r>
                </w:p>
                <w:p>
                  <w:pPr>
                    <w:pStyle w:val="112"/>
                    <w:spacing w:after="0" w:afterAutospacing="0"/>
                    <w:ind w:firstLine="420" w:firstLineChars="200"/>
                    <w:jc w:val="left"/>
                    <w:rPr>
                      <w:rFonts w:hint="eastAsia" w:ascii="宋体" w:hAnsi="宋体"/>
                      <w:color w:val="auto"/>
                      <w:u w:val="none"/>
                    </w:rPr>
                  </w:pPr>
                  <w:r>
                    <w:rPr>
                      <w:color w:val="auto"/>
                      <w:u w:val="none"/>
                    </w:rPr>
                    <w:t>2</w:t>
                  </w:r>
                  <w:r>
                    <w:rPr>
                      <w:rFonts w:ascii="宋体" w:hAnsi="宋体"/>
                      <w:color w:val="auto"/>
                      <w:u w:val="none"/>
                    </w:rPr>
                    <w:t>、项目</w:t>
                  </w:r>
                  <w:r>
                    <w:rPr>
                      <w:rFonts w:hint="eastAsia" w:ascii="宋体" w:hAnsi="宋体"/>
                      <w:color w:val="auto"/>
                      <w:u w:val="none"/>
                    </w:rPr>
                    <w:t>不设工业炉窑；锅炉</w:t>
                  </w:r>
                  <w:r>
                    <w:rPr>
                      <w:rFonts w:ascii="宋体" w:hAnsi="宋体"/>
                      <w:color w:val="auto"/>
                      <w:u w:val="none"/>
                    </w:rPr>
                    <w:t>废气</w:t>
                  </w:r>
                  <w:r>
                    <w:rPr>
                      <w:rFonts w:hint="eastAsia" w:ascii="宋体" w:hAnsi="宋体"/>
                      <w:color w:val="auto"/>
                      <w:u w:val="none"/>
                    </w:rPr>
                    <w:t>配备低氮燃烧器，车间炒制废气、食堂油烟经油烟净化器处理后经排气筒达标排放，污水站臭气收集除臭处理后经排气筒</w:t>
                  </w:r>
                  <w:r>
                    <w:rPr>
                      <w:rFonts w:ascii="宋体" w:hAnsi="宋体"/>
                      <w:color w:val="auto"/>
                      <w:u w:val="none"/>
                    </w:rPr>
                    <w:t>达标排放。</w:t>
                  </w:r>
                  <w:r>
                    <w:rPr>
                      <w:rFonts w:hint="eastAsia" w:ascii="宋体" w:hAnsi="宋体"/>
                      <w:color w:val="auto"/>
                      <w:u w:val="none"/>
                    </w:rPr>
                    <w:t>打码采用水性油墨，VOCs产生量极少。</w:t>
                  </w:r>
                </w:p>
                <w:p>
                  <w:pPr>
                    <w:pStyle w:val="112"/>
                    <w:spacing w:after="0" w:afterAutospacing="0"/>
                    <w:ind w:firstLine="420" w:firstLineChars="200"/>
                    <w:jc w:val="left"/>
                    <w:rPr>
                      <w:rFonts w:hint="eastAsia" w:ascii="宋体" w:hAnsi="宋体"/>
                      <w:color w:val="auto"/>
                      <w:u w:val="none"/>
                    </w:rPr>
                  </w:pPr>
                  <w:r>
                    <w:rPr>
                      <w:color w:val="auto"/>
                      <w:u w:val="none"/>
                    </w:rPr>
                    <w:t>3</w:t>
                  </w:r>
                  <w:r>
                    <w:rPr>
                      <w:rFonts w:ascii="宋体" w:hAnsi="宋体"/>
                      <w:color w:val="auto"/>
                      <w:u w:val="none"/>
                    </w:rPr>
                    <w:t>、设置了危险废物暂存间，危险废物在厂内暂存，定期送有资质单位处置。设置一般固废暂存间，一般固废在厂区暂存，定期交由回收单位处理。生活垃圾收集后由环卫部门处理。</w:t>
                  </w:r>
                </w:p>
                <w:p>
                  <w:pPr>
                    <w:pStyle w:val="112"/>
                    <w:spacing w:after="0" w:afterAutospacing="0"/>
                    <w:ind w:firstLine="420" w:firstLineChars="200"/>
                    <w:jc w:val="left"/>
                    <w:rPr>
                      <w:color w:val="auto"/>
                      <w:u w:val="none"/>
                    </w:rPr>
                  </w:pPr>
                  <w:r>
                    <w:rPr>
                      <w:rFonts w:hint="eastAsia"/>
                      <w:color w:val="auto"/>
                      <w:u w:val="none"/>
                    </w:rPr>
                    <w:t>4、制定监测</w:t>
                  </w:r>
                  <w:r>
                    <w:rPr>
                      <w:rFonts w:hint="eastAsia" w:ascii="宋体" w:hAnsi="宋体"/>
                      <w:color w:val="auto"/>
                      <w:u w:val="none"/>
                    </w:rPr>
                    <w:t>计划</w:t>
                  </w:r>
                  <w:r>
                    <w:rPr>
                      <w:rFonts w:hint="eastAsia"/>
                      <w:color w:val="auto"/>
                      <w:u w:val="none"/>
                    </w:rPr>
                    <w:t>，项目建成后开展自行检测。</w:t>
                  </w:r>
                </w:p>
                <w:p>
                  <w:pPr>
                    <w:pStyle w:val="112"/>
                    <w:spacing w:after="0" w:afterAutospacing="0"/>
                    <w:ind w:firstLine="420" w:firstLineChars="200"/>
                    <w:jc w:val="left"/>
                    <w:rPr>
                      <w:color w:val="auto"/>
                      <w:u w:val="none"/>
                    </w:rPr>
                  </w:pPr>
                  <w:r>
                    <w:rPr>
                      <w:rFonts w:hint="eastAsia"/>
                      <w:color w:val="auto"/>
                      <w:u w:val="none"/>
                    </w:rPr>
                    <w:t>5、本项目燃气锅炉废气执行《锅炉大气污染物排放标准》（GB 13271-2014）特别排放限值。</w:t>
                  </w:r>
                </w:p>
              </w:tc>
              <w:tc>
                <w:tcPr>
                  <w:tcW w:w="445" w:type="pct"/>
                  <w:vAlign w:val="center"/>
                </w:tcPr>
                <w:p>
                  <w:pPr>
                    <w:pStyle w:val="112"/>
                    <w:spacing w:after="0" w:afterAutospacing="0"/>
                    <w:rPr>
                      <w:color w:val="auto"/>
                      <w:u w:val="none"/>
                    </w:rPr>
                  </w:pPr>
                  <w:r>
                    <w:rPr>
                      <w:rFonts w:ascii="宋体" w:hAnsi="宋体"/>
                      <w:color w:val="auto"/>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Align w:val="center"/>
                </w:tcPr>
                <w:p>
                  <w:pPr>
                    <w:pStyle w:val="112"/>
                    <w:spacing w:after="0" w:afterAutospacing="0"/>
                    <w:rPr>
                      <w:color w:val="auto"/>
                      <w:u w:val="none"/>
                    </w:rPr>
                  </w:pPr>
                  <w:r>
                    <w:rPr>
                      <w:rFonts w:ascii="宋体" w:hAnsi="宋体"/>
                      <w:color w:val="auto"/>
                      <w:u w:val="none"/>
                    </w:rPr>
                    <w:t>环境风险</w:t>
                  </w:r>
                </w:p>
                <w:p>
                  <w:pPr>
                    <w:pStyle w:val="112"/>
                    <w:spacing w:after="0" w:afterAutospacing="0"/>
                    <w:rPr>
                      <w:color w:val="auto"/>
                      <w:u w:val="none"/>
                    </w:rPr>
                  </w:pPr>
                  <w:r>
                    <w:rPr>
                      <w:rFonts w:ascii="宋体" w:hAnsi="宋体"/>
                      <w:color w:val="auto"/>
                      <w:u w:val="none"/>
                    </w:rPr>
                    <w:t>防控</w:t>
                  </w:r>
                </w:p>
              </w:tc>
              <w:tc>
                <w:tcPr>
                  <w:tcW w:w="2713" w:type="pct"/>
                  <w:vAlign w:val="center"/>
                </w:tcPr>
                <w:p>
                  <w:pPr>
                    <w:pStyle w:val="112"/>
                    <w:spacing w:after="0" w:afterAutospacing="0"/>
                    <w:ind w:firstLine="420" w:firstLineChars="200"/>
                    <w:jc w:val="left"/>
                    <w:rPr>
                      <w:color w:val="auto"/>
                      <w:u w:val="none"/>
                    </w:rPr>
                  </w:pPr>
                  <w:r>
                    <w:rPr>
                      <w:color w:val="auto"/>
                      <w:u w:val="none"/>
                    </w:rPr>
                    <w:t>(3.1)</w:t>
                  </w:r>
                  <w:r>
                    <w:rPr>
                      <w:rFonts w:ascii="宋体" w:hAnsi="宋体"/>
                      <w:color w:val="auto"/>
                      <w:u w:val="none"/>
                    </w:rPr>
                    <w:t>高新区各区块应建立健全环境风险防控体系，组织推动高新区应急预案修编并落实相关要求，加强环境风险事故防范和应急管理。</w:t>
                  </w:r>
                </w:p>
                <w:p>
                  <w:pPr>
                    <w:pStyle w:val="112"/>
                    <w:spacing w:after="0" w:afterAutospacing="0"/>
                    <w:ind w:firstLine="420" w:firstLineChars="200"/>
                    <w:jc w:val="left"/>
                    <w:rPr>
                      <w:color w:val="auto"/>
                      <w:u w:val="none"/>
                    </w:rPr>
                  </w:pPr>
                  <w:r>
                    <w:rPr>
                      <w:color w:val="auto"/>
                      <w:u w:val="none"/>
                    </w:rPr>
                    <w:t>(3.2)</w:t>
                  </w:r>
                  <w:r>
                    <w:rPr>
                      <w:rFonts w:ascii="宋体" w:hAnsi="宋体"/>
                      <w:color w:val="auto"/>
                      <w:u w:val="none"/>
                    </w:rPr>
                    <w:t>高新区可能发生突发环境事件的污染物排放企业，生产、储存、运输、使用危险化学品的企业，产生、收集、贮存、运输危险废物的企业，应当编制和实施环境应急预案；鼓励其他企业制定单独的环境应急预案，或在突发事件应急预案中制定环境应急预案专章，并备案。</w:t>
                  </w:r>
                </w:p>
                <w:p>
                  <w:pPr>
                    <w:pStyle w:val="112"/>
                    <w:spacing w:after="0" w:afterAutospacing="0"/>
                    <w:ind w:firstLine="420" w:firstLineChars="200"/>
                    <w:jc w:val="left"/>
                    <w:rPr>
                      <w:color w:val="auto"/>
                      <w:u w:val="none"/>
                    </w:rPr>
                  </w:pPr>
                  <w:r>
                    <w:rPr>
                      <w:color w:val="auto"/>
                      <w:u w:val="none"/>
                    </w:rPr>
                    <w:t>(3.3)</w:t>
                  </w:r>
                  <w:r>
                    <w:rPr>
                      <w:rFonts w:ascii="宋体" w:hAnsi="宋体"/>
                      <w:color w:val="auto"/>
                      <w:u w:val="none"/>
                    </w:rPr>
                    <w:t>强化源头风险隐患排查，建立土壤环境风险管控清单，对重点监管源实施分类别、分用途和分阶段的全过程监管和综合整治，逐步构建形成具有区域特色的土壤环境管理体系，推动区域土壤环境质量逐步改善与提升。</w:t>
                  </w:r>
                </w:p>
              </w:tc>
              <w:tc>
                <w:tcPr>
                  <w:tcW w:w="1450" w:type="pct"/>
                  <w:vAlign w:val="center"/>
                </w:tcPr>
                <w:p>
                  <w:pPr>
                    <w:pStyle w:val="112"/>
                    <w:spacing w:after="0" w:afterAutospacing="0"/>
                    <w:ind w:firstLine="420" w:firstLineChars="200"/>
                    <w:jc w:val="left"/>
                    <w:rPr>
                      <w:color w:val="auto"/>
                      <w:u w:val="none"/>
                    </w:rPr>
                  </w:pPr>
                  <w:r>
                    <w:rPr>
                      <w:rFonts w:ascii="宋体" w:hAnsi="宋体"/>
                      <w:color w:val="auto"/>
                      <w:u w:val="none"/>
                    </w:rPr>
                    <w:t>加强环境管理，定期检查、维护各类环保生产设备设施，</w:t>
                  </w:r>
                  <w:r>
                    <w:rPr>
                      <w:rFonts w:hint="eastAsia"/>
                      <w:color w:val="auto"/>
                      <w:u w:val="none"/>
                    </w:rPr>
                    <w:t>根据</w:t>
                  </w:r>
                  <w:r>
                    <w:rPr>
                      <w:color w:val="auto"/>
                      <w:u w:val="none"/>
                    </w:rPr>
                    <w:t>《湖南省突发环境事件应急预案管理办法（修订版）》</w:t>
                  </w:r>
                  <w:r>
                    <w:rPr>
                      <w:rFonts w:hint="eastAsia"/>
                      <w:color w:val="auto"/>
                      <w:u w:val="none"/>
                    </w:rPr>
                    <w:t>（</w:t>
                  </w:r>
                  <w:r>
                    <w:rPr>
                      <w:color w:val="auto"/>
                      <w:u w:val="none"/>
                    </w:rPr>
                    <w:t>湘环发〔2024〕49号</w:t>
                  </w:r>
                  <w:r>
                    <w:rPr>
                      <w:rFonts w:hint="eastAsia"/>
                      <w:color w:val="auto"/>
                      <w:u w:val="none"/>
                    </w:rPr>
                    <w:t>）相关要求，结合企业实际情况实施突发环境事件应急预案管理工作。</w:t>
                  </w:r>
                </w:p>
              </w:tc>
              <w:tc>
                <w:tcPr>
                  <w:tcW w:w="445" w:type="pct"/>
                  <w:vAlign w:val="center"/>
                </w:tcPr>
                <w:p>
                  <w:pPr>
                    <w:pStyle w:val="112"/>
                    <w:spacing w:after="0" w:afterAutospacing="0"/>
                    <w:rPr>
                      <w:color w:val="auto"/>
                      <w:u w:val="none"/>
                    </w:rPr>
                  </w:pPr>
                  <w:r>
                    <w:rPr>
                      <w:rFonts w:ascii="宋体" w:hAnsi="宋体"/>
                      <w:color w:val="auto"/>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Align w:val="center"/>
                </w:tcPr>
                <w:p>
                  <w:pPr>
                    <w:pStyle w:val="112"/>
                    <w:spacing w:after="0" w:afterAutospacing="0"/>
                    <w:rPr>
                      <w:color w:val="auto"/>
                      <w:u w:val="none"/>
                    </w:rPr>
                  </w:pPr>
                  <w:r>
                    <w:rPr>
                      <w:rFonts w:ascii="宋体" w:hAnsi="宋体"/>
                      <w:color w:val="auto"/>
                      <w:u w:val="none"/>
                    </w:rPr>
                    <w:t>资源开发</w:t>
                  </w:r>
                </w:p>
                <w:p>
                  <w:pPr>
                    <w:pStyle w:val="112"/>
                    <w:spacing w:after="0" w:afterAutospacing="0"/>
                    <w:rPr>
                      <w:color w:val="auto"/>
                      <w:u w:val="none"/>
                    </w:rPr>
                  </w:pPr>
                  <w:r>
                    <w:rPr>
                      <w:rFonts w:ascii="宋体" w:hAnsi="宋体"/>
                      <w:color w:val="auto"/>
                      <w:u w:val="none"/>
                    </w:rPr>
                    <w:t>效率要求</w:t>
                  </w:r>
                </w:p>
              </w:tc>
              <w:tc>
                <w:tcPr>
                  <w:tcW w:w="2713" w:type="pct"/>
                  <w:vAlign w:val="center"/>
                </w:tcPr>
                <w:p>
                  <w:pPr>
                    <w:pStyle w:val="112"/>
                    <w:spacing w:after="0" w:afterAutospacing="0"/>
                    <w:ind w:firstLine="420" w:firstLineChars="200"/>
                    <w:jc w:val="left"/>
                    <w:rPr>
                      <w:color w:val="auto"/>
                      <w:u w:val="none"/>
                    </w:rPr>
                  </w:pPr>
                  <w:r>
                    <w:rPr>
                      <w:color w:val="auto"/>
                      <w:u w:val="none"/>
                    </w:rPr>
                    <w:t>(4.1)</w:t>
                  </w:r>
                  <w:r>
                    <w:rPr>
                      <w:rFonts w:ascii="宋体" w:hAnsi="宋体"/>
                      <w:color w:val="auto"/>
                      <w:u w:val="none"/>
                    </w:rPr>
                    <w:t>能源：推动高新区能源系统整体优化和污染综合整治，鼓励工业企业、园区优先利用可再生能源。</w:t>
                  </w:r>
                  <w:r>
                    <w:rPr>
                      <w:color w:val="auto"/>
                      <w:u w:val="none"/>
                    </w:rPr>
                    <w:t>2025</w:t>
                  </w:r>
                  <w:r>
                    <w:rPr>
                      <w:rFonts w:ascii="宋体" w:hAnsi="宋体"/>
                      <w:color w:val="auto"/>
                      <w:u w:val="none"/>
                    </w:rPr>
                    <w:t>年区域综合能 耗消费量预测当量值为</w:t>
                  </w:r>
                  <w:r>
                    <w:rPr>
                      <w:color w:val="auto"/>
                      <w:u w:val="none"/>
                    </w:rPr>
                    <w:t>449200</w:t>
                  </w:r>
                  <w:r>
                    <w:rPr>
                      <w:rFonts w:ascii="宋体" w:hAnsi="宋体"/>
                      <w:color w:val="auto"/>
                      <w:u w:val="none"/>
                    </w:rPr>
                    <w:t>吨标煤，区域单位</w:t>
                  </w:r>
                  <w:r>
                    <w:rPr>
                      <w:color w:val="auto"/>
                      <w:u w:val="none"/>
                    </w:rPr>
                    <w:t>GDP</w:t>
                  </w:r>
                  <w:r>
                    <w:rPr>
                      <w:rFonts w:ascii="宋体" w:hAnsi="宋体"/>
                      <w:color w:val="auto"/>
                      <w:u w:val="none"/>
                    </w:rPr>
                    <w:t>能耗预测值为</w:t>
                  </w:r>
                  <w:r>
                    <w:rPr>
                      <w:color w:val="auto"/>
                      <w:u w:val="none"/>
                    </w:rPr>
                    <w:t>0.5561</w:t>
                  </w:r>
                  <w:r>
                    <w:rPr>
                      <w:rFonts w:ascii="宋体" w:hAnsi="宋体"/>
                      <w:color w:val="auto"/>
                      <w:u w:val="none"/>
                    </w:rPr>
                    <w:t>吨标煤</w:t>
                  </w:r>
                  <w:r>
                    <w:rPr>
                      <w:color w:val="auto"/>
                      <w:u w:val="none"/>
                    </w:rPr>
                    <w:t>/</w:t>
                  </w:r>
                  <w:r>
                    <w:rPr>
                      <w:rFonts w:ascii="宋体" w:hAnsi="宋体"/>
                      <w:color w:val="auto"/>
                      <w:u w:val="none"/>
                    </w:rPr>
                    <w:t>万元，区域</w:t>
                  </w:r>
                  <w:r>
                    <w:rPr>
                      <w:color w:val="auto"/>
                      <w:u w:val="none"/>
                    </w:rPr>
                    <w:t>“</w:t>
                  </w:r>
                  <w:r>
                    <w:rPr>
                      <w:rFonts w:ascii="宋体" w:hAnsi="宋体"/>
                      <w:color w:val="auto"/>
                      <w:u w:val="none"/>
                    </w:rPr>
                    <w:t>十四五</w:t>
                  </w:r>
                  <w:r>
                    <w:rPr>
                      <w:color w:val="auto"/>
                      <w:u w:val="none"/>
                    </w:rPr>
                    <w:t>”</w:t>
                  </w:r>
                  <w:r>
                    <w:rPr>
                      <w:rFonts w:ascii="宋体" w:hAnsi="宋体"/>
                      <w:color w:val="auto"/>
                      <w:u w:val="none"/>
                    </w:rPr>
                    <w:t>时期能源消耗增量控制 在</w:t>
                  </w:r>
                  <w:r>
                    <w:rPr>
                      <w:color w:val="auto"/>
                      <w:u w:val="none"/>
                    </w:rPr>
                    <w:t>141700</w:t>
                  </w:r>
                  <w:r>
                    <w:rPr>
                      <w:rFonts w:ascii="宋体" w:hAnsi="宋体"/>
                      <w:color w:val="auto"/>
                      <w:u w:val="none"/>
                    </w:rPr>
                    <w:t>吨标煤。</w:t>
                  </w:r>
                </w:p>
                <w:p>
                  <w:pPr>
                    <w:pStyle w:val="112"/>
                    <w:spacing w:after="0" w:afterAutospacing="0"/>
                    <w:ind w:firstLine="420" w:firstLineChars="200"/>
                    <w:jc w:val="left"/>
                    <w:rPr>
                      <w:color w:val="auto"/>
                      <w:u w:val="none"/>
                    </w:rPr>
                  </w:pPr>
                  <w:r>
                    <w:rPr>
                      <w:color w:val="auto"/>
                      <w:u w:val="none"/>
                    </w:rPr>
                    <w:t>(4.2)</w:t>
                  </w:r>
                  <w:r>
                    <w:rPr>
                      <w:rFonts w:ascii="宋体" w:hAnsi="宋体"/>
                      <w:color w:val="auto"/>
                      <w:u w:val="none"/>
                    </w:rPr>
                    <w:t>水资源</w:t>
                  </w:r>
                </w:p>
                <w:p>
                  <w:pPr>
                    <w:pStyle w:val="112"/>
                    <w:spacing w:after="0" w:afterAutospacing="0"/>
                    <w:ind w:firstLine="420" w:firstLineChars="200"/>
                    <w:jc w:val="left"/>
                    <w:rPr>
                      <w:color w:val="auto"/>
                      <w:u w:val="none"/>
                    </w:rPr>
                  </w:pPr>
                  <w:r>
                    <w:rPr>
                      <w:color w:val="auto"/>
                      <w:u w:val="none"/>
                    </w:rPr>
                    <w:t>(4.2.1)</w:t>
                  </w:r>
                  <w:r>
                    <w:rPr>
                      <w:rFonts w:ascii="宋体" w:hAnsi="宋体"/>
                      <w:color w:val="auto"/>
                      <w:u w:val="none"/>
                    </w:rPr>
                    <w:t>强化生产用水管理，大力推广高效冷却、循环用水等节水工艺和技术，支持企业开展节水技术改造。</w:t>
                  </w:r>
                </w:p>
                <w:p>
                  <w:pPr>
                    <w:pStyle w:val="112"/>
                    <w:spacing w:after="0" w:afterAutospacing="0"/>
                    <w:ind w:firstLine="420" w:firstLineChars="200"/>
                    <w:jc w:val="left"/>
                    <w:rPr>
                      <w:color w:val="auto"/>
                      <w:u w:val="none"/>
                    </w:rPr>
                  </w:pPr>
                  <w:r>
                    <w:rPr>
                      <w:color w:val="auto"/>
                      <w:u w:val="none"/>
                    </w:rPr>
                    <w:t>(4.2.2)</w:t>
                  </w:r>
                  <w:r>
                    <w:rPr>
                      <w:rFonts w:ascii="宋体" w:hAnsi="宋体"/>
                      <w:color w:val="auto"/>
                      <w:u w:val="none"/>
                    </w:rPr>
                    <w:t>积极推行水循环梯级利用，推动现有企业和高新区开展绿色高质量省级和循环化改造，促进企业间串联用水、分质用水， 一水多用和循环利用。</w:t>
                  </w:r>
                </w:p>
                <w:p>
                  <w:pPr>
                    <w:pStyle w:val="112"/>
                    <w:spacing w:after="0" w:afterAutospacing="0"/>
                    <w:ind w:firstLine="420" w:firstLineChars="200"/>
                    <w:jc w:val="left"/>
                    <w:rPr>
                      <w:color w:val="auto"/>
                      <w:u w:val="none"/>
                    </w:rPr>
                  </w:pPr>
                  <w:r>
                    <w:rPr>
                      <w:color w:val="auto"/>
                      <w:u w:val="none"/>
                    </w:rPr>
                    <w:t>(4.2.3)2025</w:t>
                  </w:r>
                  <w:r>
                    <w:rPr>
                      <w:rFonts w:ascii="宋体" w:hAnsi="宋体"/>
                      <w:color w:val="auto"/>
                      <w:u w:val="none"/>
                    </w:rPr>
                    <w:t>年，高新区指标应符合相应行政区域的管控要求，湘阴县用水总量控制在</w:t>
                  </w:r>
                  <w:r>
                    <w:rPr>
                      <w:color w:val="auto"/>
                      <w:u w:val="none"/>
                    </w:rPr>
                    <w:t>3.455</w:t>
                  </w:r>
                  <w:r>
                    <w:rPr>
                      <w:rFonts w:ascii="宋体" w:hAnsi="宋体"/>
                      <w:color w:val="auto"/>
                      <w:u w:val="none"/>
                    </w:rPr>
                    <w:t>亿立方米以内，</w:t>
                  </w:r>
                  <w:r>
                    <w:rPr>
                      <w:color w:val="auto"/>
                      <w:u w:val="none"/>
                    </w:rPr>
                    <w:t>2025</w:t>
                  </w:r>
                  <w:r>
                    <w:rPr>
                      <w:rFonts w:ascii="宋体" w:hAnsi="宋体"/>
                      <w:color w:val="auto"/>
                      <w:u w:val="none"/>
                    </w:rPr>
                    <w:t>年万元地区 生产总值用水量比</w:t>
                  </w:r>
                  <w:r>
                    <w:rPr>
                      <w:color w:val="auto"/>
                      <w:u w:val="none"/>
                    </w:rPr>
                    <w:t>2020</w:t>
                  </w:r>
                  <w:r>
                    <w:rPr>
                      <w:rFonts w:ascii="宋体" w:hAnsi="宋体"/>
                      <w:color w:val="auto"/>
                      <w:u w:val="none"/>
                    </w:rPr>
                    <w:t>年下降</w:t>
                  </w:r>
                  <w:r>
                    <w:rPr>
                      <w:color w:val="auto"/>
                      <w:u w:val="none"/>
                    </w:rPr>
                    <w:t>21.26%,2025</w:t>
                  </w:r>
                  <w:r>
                    <w:rPr>
                      <w:rFonts w:ascii="宋体" w:hAnsi="宋体"/>
                      <w:color w:val="auto"/>
                      <w:u w:val="none"/>
                    </w:rPr>
                    <w:t>年万元工业增加值用水量比</w:t>
                  </w:r>
                  <w:r>
                    <w:rPr>
                      <w:color w:val="auto"/>
                      <w:u w:val="none"/>
                    </w:rPr>
                    <w:t>2020</w:t>
                  </w:r>
                  <w:r>
                    <w:rPr>
                      <w:rFonts w:ascii="宋体" w:hAnsi="宋体"/>
                      <w:color w:val="auto"/>
                      <w:u w:val="none"/>
                    </w:rPr>
                    <w:t>年下降</w:t>
                  </w:r>
                  <w:r>
                    <w:rPr>
                      <w:color w:val="auto"/>
                      <w:u w:val="none"/>
                    </w:rPr>
                    <w:t>21.55%</w:t>
                  </w:r>
                  <w:r>
                    <w:rPr>
                      <w:rFonts w:ascii="宋体" w:hAnsi="宋体"/>
                      <w:color w:val="auto"/>
                      <w:u w:val="none"/>
                    </w:rPr>
                    <w:t>。</w:t>
                  </w:r>
                </w:p>
                <w:p>
                  <w:pPr>
                    <w:pStyle w:val="112"/>
                    <w:spacing w:after="0" w:afterAutospacing="0"/>
                    <w:ind w:firstLine="420" w:firstLineChars="200"/>
                    <w:jc w:val="left"/>
                    <w:rPr>
                      <w:color w:val="auto"/>
                      <w:u w:val="none"/>
                    </w:rPr>
                  </w:pPr>
                  <w:r>
                    <w:rPr>
                      <w:color w:val="auto"/>
                      <w:u w:val="none"/>
                    </w:rPr>
                    <w:t>(4.3)</w:t>
                  </w:r>
                  <w:r>
                    <w:rPr>
                      <w:rFonts w:ascii="宋体" w:hAnsi="宋体"/>
                      <w:color w:val="auto"/>
                      <w:u w:val="none"/>
                    </w:rPr>
                    <w:t>土地资源：在详细规划编制、用地预审与选址、用地报批、土地出让、规划许可、竣工验收等环节，全面推行工业项</w:t>
                  </w:r>
                  <w:r>
                    <w:rPr>
                      <w:rFonts w:hint="eastAsia" w:ascii="宋体" w:hAnsi="宋体"/>
                      <w:color w:val="auto"/>
                      <w:u w:val="none"/>
                    </w:rPr>
                    <w:t>目建设用地引导指标和工业项目供地负面清单管理。省级园区工业用地固定资产投入强度达到</w:t>
                  </w:r>
                  <w:r>
                    <w:rPr>
                      <w:rFonts w:hint="eastAsia"/>
                      <w:color w:val="auto"/>
                      <w:u w:val="none"/>
                    </w:rPr>
                    <w:t>260</w:t>
                  </w:r>
                  <w:r>
                    <w:rPr>
                      <w:rFonts w:hint="eastAsia" w:ascii="宋体" w:hAnsi="宋体"/>
                      <w:color w:val="auto"/>
                      <w:u w:val="none"/>
                    </w:rPr>
                    <w:t>万元</w:t>
                  </w:r>
                  <w:r>
                    <w:rPr>
                      <w:rFonts w:hint="eastAsia"/>
                      <w:color w:val="auto"/>
                      <w:u w:val="none"/>
                    </w:rPr>
                    <w:t>/</w:t>
                  </w:r>
                  <w:r>
                    <w:rPr>
                      <w:rFonts w:hint="eastAsia" w:ascii="宋体" w:hAnsi="宋体"/>
                      <w:color w:val="auto"/>
                      <w:u w:val="none"/>
                    </w:rPr>
                    <w:t xml:space="preserve">亩，工业用地地均税收达到 </w:t>
                  </w:r>
                  <w:r>
                    <w:rPr>
                      <w:rFonts w:hint="eastAsia"/>
                      <w:color w:val="auto"/>
                      <w:u w:val="none"/>
                    </w:rPr>
                    <w:t>13</w:t>
                  </w:r>
                  <w:r>
                    <w:rPr>
                      <w:rFonts w:hint="eastAsia" w:ascii="宋体" w:hAnsi="宋体"/>
                      <w:color w:val="auto"/>
                      <w:u w:val="none"/>
                    </w:rPr>
                    <w:t>万元</w:t>
                  </w:r>
                  <w:r>
                    <w:rPr>
                      <w:rFonts w:hint="eastAsia"/>
                      <w:color w:val="auto"/>
                      <w:u w:val="none"/>
                    </w:rPr>
                    <w:t>/</w:t>
                  </w:r>
                  <w:r>
                    <w:rPr>
                      <w:rFonts w:hint="eastAsia" w:ascii="宋体" w:hAnsi="宋体"/>
                      <w:color w:val="auto"/>
                      <w:u w:val="none"/>
                    </w:rPr>
                    <w:t>亩。</w:t>
                  </w:r>
                </w:p>
              </w:tc>
              <w:tc>
                <w:tcPr>
                  <w:tcW w:w="1450" w:type="pct"/>
                  <w:vAlign w:val="center"/>
                </w:tcPr>
                <w:p>
                  <w:pPr>
                    <w:pStyle w:val="112"/>
                    <w:spacing w:after="0" w:afterAutospacing="0"/>
                    <w:ind w:firstLine="420" w:firstLineChars="200"/>
                    <w:jc w:val="left"/>
                    <w:rPr>
                      <w:color w:val="auto"/>
                      <w:u w:val="none"/>
                    </w:rPr>
                  </w:pPr>
                  <w:r>
                    <w:rPr>
                      <w:color w:val="auto"/>
                      <w:u w:val="none"/>
                    </w:rPr>
                    <w:t>1</w:t>
                  </w:r>
                  <w:r>
                    <w:rPr>
                      <w:rFonts w:ascii="宋体" w:hAnsi="宋体"/>
                      <w:color w:val="auto"/>
                      <w:u w:val="none"/>
                    </w:rPr>
                    <w:t>、本项目使用电</w:t>
                  </w:r>
                  <w:r>
                    <w:rPr>
                      <w:rFonts w:hint="eastAsia" w:ascii="宋体" w:hAnsi="宋体"/>
                      <w:color w:val="auto"/>
                      <w:u w:val="none"/>
                    </w:rPr>
                    <w:t>、天然气能源</w:t>
                  </w:r>
                  <w:r>
                    <w:rPr>
                      <w:rFonts w:ascii="宋体" w:hAnsi="宋体"/>
                      <w:color w:val="auto"/>
                      <w:u w:val="none"/>
                    </w:rPr>
                    <w:t>。</w:t>
                  </w:r>
                </w:p>
                <w:p>
                  <w:pPr>
                    <w:pStyle w:val="112"/>
                    <w:spacing w:after="0" w:afterAutospacing="0"/>
                    <w:ind w:firstLine="420" w:firstLineChars="200"/>
                    <w:jc w:val="left"/>
                    <w:rPr>
                      <w:rFonts w:hint="eastAsia" w:ascii="宋体" w:hAnsi="宋体"/>
                      <w:color w:val="auto"/>
                      <w:u w:val="none"/>
                    </w:rPr>
                  </w:pPr>
                  <w:r>
                    <w:rPr>
                      <w:rFonts w:hint="eastAsia"/>
                      <w:color w:val="auto"/>
                      <w:u w:val="none"/>
                    </w:rPr>
                    <w:t>2</w:t>
                  </w:r>
                  <w:r>
                    <w:rPr>
                      <w:rFonts w:ascii="宋体" w:hAnsi="宋体"/>
                      <w:color w:val="auto"/>
                      <w:u w:val="none"/>
                    </w:rPr>
                    <w:t>、建设单位将制定相关制度，降低能源消耗，同时根据行业工艺的发展，定期开展节能</w:t>
                  </w:r>
                  <w:r>
                    <w:rPr>
                      <w:rFonts w:hint="eastAsia" w:ascii="宋体" w:hAnsi="宋体"/>
                      <w:color w:val="auto"/>
                      <w:u w:val="none"/>
                    </w:rPr>
                    <w:t>、节水</w:t>
                  </w:r>
                  <w:r>
                    <w:rPr>
                      <w:rFonts w:ascii="宋体" w:hAnsi="宋体"/>
                      <w:color w:val="auto"/>
                      <w:u w:val="none"/>
                    </w:rPr>
                    <w:t>技术改造。</w:t>
                  </w:r>
                </w:p>
                <w:p>
                  <w:pPr>
                    <w:pStyle w:val="112"/>
                    <w:ind w:firstLine="420" w:firstLineChars="200"/>
                    <w:jc w:val="left"/>
                    <w:rPr>
                      <w:color w:val="auto"/>
                      <w:u w:val="none"/>
                    </w:rPr>
                  </w:pPr>
                  <w:r>
                    <w:rPr>
                      <w:rFonts w:hint="eastAsia" w:ascii="宋体" w:hAnsi="宋体"/>
                      <w:color w:val="auto"/>
                      <w:u w:val="none"/>
                    </w:rPr>
                    <w:t>3、</w:t>
                  </w:r>
                  <w:r>
                    <w:rPr>
                      <w:rFonts w:ascii="宋体" w:hAnsi="宋体"/>
                      <w:color w:val="auto"/>
                      <w:u w:val="none"/>
                    </w:rPr>
                    <w:t>本项目</w:t>
                  </w:r>
                  <w:r>
                    <w:rPr>
                      <w:rFonts w:hint="eastAsia" w:ascii="宋体" w:hAnsi="宋体"/>
                      <w:color w:val="auto"/>
                      <w:u w:val="none"/>
                    </w:rPr>
                    <w:t>购买原湖南驿通电子科技有限公司厂区进行建设，已完成土地出让手续并取得不动产权证。</w:t>
                  </w:r>
                </w:p>
              </w:tc>
              <w:tc>
                <w:tcPr>
                  <w:tcW w:w="445" w:type="pct"/>
                  <w:vAlign w:val="center"/>
                </w:tcPr>
                <w:p>
                  <w:pPr>
                    <w:pStyle w:val="112"/>
                    <w:spacing w:after="0" w:afterAutospacing="0"/>
                    <w:rPr>
                      <w:color w:val="auto"/>
                      <w:u w:val="none"/>
                    </w:rPr>
                  </w:pPr>
                  <w:r>
                    <w:rPr>
                      <w:rFonts w:ascii="宋体" w:hAnsi="宋体"/>
                      <w:color w:val="auto"/>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Align w:val="center"/>
                </w:tcPr>
                <w:p>
                  <w:pPr>
                    <w:pStyle w:val="112"/>
                    <w:spacing w:after="0" w:afterAutospacing="0"/>
                    <w:rPr>
                      <w:rFonts w:hint="eastAsia" w:ascii="宋体" w:hAnsi="宋体"/>
                      <w:color w:val="auto"/>
                      <w:u w:val="none"/>
                    </w:rPr>
                  </w:pPr>
                  <w:r>
                    <w:rPr>
                      <w:rFonts w:ascii="宋体" w:hAnsi="宋体"/>
                      <w:color w:val="auto"/>
                      <w:kern w:val="0"/>
                      <w:u w:val="none"/>
                    </w:rPr>
                    <w:t>备注</w:t>
                  </w:r>
                  <w:r>
                    <w:rPr>
                      <w:color w:val="auto"/>
                      <w:kern w:val="0"/>
                      <w:u w:val="none"/>
                    </w:rPr>
                    <w:t>*</w:t>
                  </w:r>
                  <w:r>
                    <w:rPr>
                      <w:rFonts w:ascii="宋体" w:hAnsi="宋体"/>
                      <w:color w:val="auto"/>
                      <w:kern w:val="0"/>
                      <w:u w:val="none"/>
                    </w:rPr>
                    <w:t>（湘发改</w:t>
                  </w:r>
                  <w:r>
                    <w:rPr>
                      <w:rFonts w:hint="eastAsia" w:ascii="宋体" w:hAnsi="宋体"/>
                      <w:color w:val="auto"/>
                      <w:kern w:val="0"/>
                      <w:u w:val="none"/>
                    </w:rPr>
                    <w:t>函</w:t>
                  </w:r>
                  <w:r>
                    <w:rPr>
                      <w:rFonts w:ascii="宋体" w:hAnsi="宋体"/>
                      <w:color w:val="auto"/>
                      <w:kern w:val="0"/>
                      <w:u w:val="none"/>
                    </w:rPr>
                    <w:t>〔</w:t>
                  </w:r>
                  <w:r>
                    <w:rPr>
                      <w:color w:val="auto"/>
                      <w:kern w:val="0"/>
                      <w:u w:val="none"/>
                    </w:rPr>
                    <w:t>202</w:t>
                  </w:r>
                  <w:r>
                    <w:rPr>
                      <w:rFonts w:hint="eastAsia"/>
                      <w:color w:val="auto"/>
                      <w:kern w:val="0"/>
                      <w:u w:val="none"/>
                    </w:rPr>
                    <w:t>3</w:t>
                  </w:r>
                  <w:r>
                    <w:rPr>
                      <w:rFonts w:ascii="宋体" w:hAnsi="宋体"/>
                      <w:color w:val="auto"/>
                      <w:kern w:val="0"/>
                      <w:u w:val="none"/>
                    </w:rPr>
                    <w:t>〕</w:t>
                  </w:r>
                  <w:r>
                    <w:rPr>
                      <w:rFonts w:hint="eastAsia"/>
                      <w:color w:val="auto"/>
                      <w:kern w:val="0"/>
                      <w:u w:val="none"/>
                    </w:rPr>
                    <w:t>68</w:t>
                  </w:r>
                  <w:r>
                    <w:rPr>
                      <w:rFonts w:ascii="宋体" w:hAnsi="宋体"/>
                      <w:color w:val="auto"/>
                      <w:kern w:val="0"/>
                      <w:u w:val="none"/>
                    </w:rPr>
                    <w:t>号）</w:t>
                  </w:r>
                </w:p>
              </w:tc>
              <w:tc>
                <w:tcPr>
                  <w:tcW w:w="2713" w:type="pct"/>
                  <w:vAlign w:val="center"/>
                </w:tcPr>
                <w:p>
                  <w:pPr>
                    <w:pStyle w:val="112"/>
                    <w:spacing w:after="0" w:afterAutospacing="0"/>
                    <w:ind w:firstLine="420" w:firstLineChars="200"/>
                    <w:jc w:val="left"/>
                    <w:rPr>
                      <w:color w:val="auto"/>
                      <w:u w:val="none"/>
                    </w:rPr>
                  </w:pPr>
                  <w:r>
                    <w:rPr>
                      <w:color w:val="auto"/>
                      <w:u w:val="none"/>
                    </w:rPr>
                    <w:t>（1）区块一：面积6.7464 km</w:t>
                  </w:r>
                  <w:r>
                    <w:rPr>
                      <w:color w:val="auto"/>
                      <w:u w:val="none"/>
                      <w:vertAlign w:val="superscript"/>
                    </w:rPr>
                    <w:t>2</w:t>
                  </w:r>
                  <w:r>
                    <w:rPr>
                      <w:color w:val="auto"/>
                      <w:u w:val="none"/>
                    </w:rPr>
                    <w:t>，四至范围：东至芙蓉北路，南至城南村，西至中联大道，北至白水江路。</w:t>
                  </w:r>
                </w:p>
                <w:p>
                  <w:pPr>
                    <w:pStyle w:val="112"/>
                    <w:spacing w:after="0" w:afterAutospacing="0"/>
                    <w:ind w:firstLine="420" w:firstLineChars="200"/>
                    <w:jc w:val="left"/>
                    <w:rPr>
                      <w:color w:val="auto"/>
                      <w:u w:val="none"/>
                    </w:rPr>
                  </w:pPr>
                  <w:r>
                    <w:rPr>
                      <w:color w:val="auto"/>
                      <w:u w:val="none"/>
                    </w:rPr>
                    <w:t>（2）区块二：面积1.7211km</w:t>
                  </w:r>
                  <w:r>
                    <w:rPr>
                      <w:color w:val="auto"/>
                      <w:u w:val="none"/>
                      <w:vertAlign w:val="superscript"/>
                    </w:rPr>
                    <w:t>2</w:t>
                  </w:r>
                  <w:r>
                    <w:rPr>
                      <w:color w:val="auto"/>
                      <w:u w:val="none"/>
                    </w:rPr>
                    <w:t>，四至范围：东至太傅路，南至湘阴潜溪港，西至湘江东岸，北至长岭村三峰窑。</w:t>
                  </w:r>
                </w:p>
                <w:p>
                  <w:pPr>
                    <w:pStyle w:val="112"/>
                    <w:spacing w:after="0" w:afterAutospacing="0"/>
                    <w:ind w:firstLine="420" w:firstLineChars="200"/>
                    <w:jc w:val="left"/>
                    <w:rPr>
                      <w:color w:val="auto"/>
                      <w:u w:val="none"/>
                    </w:rPr>
                  </w:pPr>
                  <w:r>
                    <w:rPr>
                      <w:color w:val="auto"/>
                      <w:u w:val="none"/>
                    </w:rPr>
                    <w:t>（3）区块三：面积2.4663 km</w:t>
                  </w:r>
                  <w:r>
                    <w:rPr>
                      <w:color w:val="auto"/>
                      <w:u w:val="none"/>
                      <w:vertAlign w:val="superscript"/>
                    </w:rPr>
                    <w:t>2</w:t>
                  </w:r>
                  <w:r>
                    <w:rPr>
                      <w:color w:val="auto"/>
                      <w:u w:val="none"/>
                    </w:rPr>
                    <w:t>，四至范围：东至金凤大道，南至余家冲，西至许广高速以东620米处，北至X064县道。</w:t>
                  </w:r>
                </w:p>
              </w:tc>
              <w:tc>
                <w:tcPr>
                  <w:tcW w:w="1450" w:type="pct"/>
                  <w:vAlign w:val="center"/>
                </w:tcPr>
                <w:p>
                  <w:pPr>
                    <w:pStyle w:val="112"/>
                    <w:spacing w:after="0" w:afterAutospacing="0"/>
                    <w:ind w:firstLine="420" w:firstLineChars="200"/>
                    <w:jc w:val="left"/>
                    <w:rPr>
                      <w:color w:val="auto"/>
                      <w:u w:val="none"/>
                    </w:rPr>
                  </w:pPr>
                  <w:r>
                    <w:rPr>
                      <w:rFonts w:hint="eastAsia"/>
                      <w:color w:val="auto"/>
                      <w:u w:val="none"/>
                    </w:rPr>
                    <w:t>本项目位于区块一。</w:t>
                  </w:r>
                </w:p>
              </w:tc>
              <w:tc>
                <w:tcPr>
                  <w:tcW w:w="445" w:type="pct"/>
                  <w:vAlign w:val="center"/>
                </w:tcPr>
                <w:p>
                  <w:pPr>
                    <w:pStyle w:val="112"/>
                    <w:spacing w:after="0" w:afterAutospacing="0"/>
                    <w:rPr>
                      <w:rFonts w:hint="eastAsia" w:ascii="宋体" w:hAnsi="宋体"/>
                      <w:color w:val="auto"/>
                      <w:u w:val="none"/>
                    </w:rPr>
                  </w:pPr>
                  <w:r>
                    <w:rPr>
                      <w:rFonts w:hint="eastAsia" w:ascii="宋体" w:hAnsi="宋体"/>
                      <w:color w:val="auto"/>
                      <w:u w:val="none"/>
                    </w:rPr>
                    <w:t>符合</w:t>
                  </w:r>
                </w:p>
              </w:tc>
            </w:tr>
          </w:tbl>
          <w:p>
            <w:pPr>
              <w:spacing w:line="360" w:lineRule="auto"/>
              <w:ind w:firstLine="600" w:firstLineChars="250"/>
              <w:jc w:val="left"/>
              <w:rPr>
                <w:color w:val="auto"/>
                <w:sz w:val="24"/>
                <w:u w:val="none"/>
              </w:rPr>
            </w:pPr>
            <w:r>
              <w:rPr>
                <w:rFonts w:ascii="宋体" w:hAnsi="宋体"/>
                <w:bCs/>
                <w:color w:val="auto"/>
                <w:sz w:val="24"/>
                <w:u w:val="none"/>
              </w:rPr>
              <w:t>综上，本项目与《湖南省生态环境分区管控总体管控要求暨省级以上产业园区生态环境准入清单》（</w:t>
            </w:r>
            <w:r>
              <w:rPr>
                <w:rFonts w:ascii="宋体" w:hAnsi="宋体"/>
                <w:color w:val="auto"/>
                <w:kern w:val="0"/>
                <w:sz w:val="24"/>
                <w:u w:val="none"/>
              </w:rPr>
              <w:t>湘环函〔2024〕26号</w:t>
            </w:r>
            <w:r>
              <w:rPr>
                <w:rFonts w:ascii="宋体" w:hAnsi="宋体"/>
                <w:bCs/>
                <w:color w:val="auto"/>
                <w:sz w:val="24"/>
                <w:u w:val="none"/>
              </w:rPr>
              <w:t>）相符。</w:t>
            </w:r>
          </w:p>
          <w:p>
            <w:pPr>
              <w:spacing w:line="360" w:lineRule="auto"/>
              <w:jc w:val="left"/>
              <w:rPr>
                <w:b/>
                <w:bCs/>
                <w:color w:val="auto"/>
                <w:sz w:val="24"/>
                <w:u w:val="none"/>
              </w:rPr>
            </w:pPr>
            <w:r>
              <w:rPr>
                <w:rFonts w:hint="eastAsia"/>
                <w:b/>
                <w:bCs/>
                <w:color w:val="auto"/>
                <w:sz w:val="24"/>
                <w:u w:val="none"/>
              </w:rPr>
              <w:t>1.5 与法律法规及相关政策符合性分析</w:t>
            </w:r>
          </w:p>
          <w:p>
            <w:pPr>
              <w:spacing w:line="360" w:lineRule="auto"/>
              <w:ind w:firstLine="600" w:firstLineChars="250"/>
              <w:jc w:val="left"/>
              <w:rPr>
                <w:color w:val="auto"/>
                <w:sz w:val="24"/>
                <w:u w:val="none"/>
              </w:rPr>
            </w:pPr>
            <w:r>
              <w:rPr>
                <w:rFonts w:hint="eastAsia"/>
                <w:color w:val="auto"/>
                <w:sz w:val="24"/>
                <w:u w:val="none"/>
              </w:rPr>
              <w:t>根据规划环评审查意见（</w:t>
            </w:r>
            <w:r>
              <w:rPr>
                <w:color w:val="auto"/>
                <w:sz w:val="24"/>
                <w:u w:val="none"/>
              </w:rPr>
              <w:t>湘环评函〔2022〕65号</w:t>
            </w:r>
            <w:r>
              <w:rPr>
                <w:rFonts w:hint="eastAsia"/>
                <w:color w:val="auto"/>
                <w:sz w:val="24"/>
                <w:u w:val="none"/>
              </w:rPr>
              <w:t>）要求，</w:t>
            </w:r>
            <w:r>
              <w:rPr>
                <w:color w:val="auto"/>
                <w:sz w:val="24"/>
                <w:u w:val="none"/>
              </w:rPr>
              <w:t>园区产业引进应严格遵循《中华人民共和国长江保护法》《长江经济带发展负面清单》《湘江保护条例》《洞庭湖保护条例》等法律法规及相关政策的要求</w:t>
            </w:r>
          </w:p>
          <w:p>
            <w:pPr>
              <w:spacing w:line="360" w:lineRule="auto"/>
              <w:ind w:firstLine="602" w:firstLineChars="250"/>
              <w:jc w:val="left"/>
              <w:rPr>
                <w:b/>
                <w:bCs/>
                <w:color w:val="auto"/>
                <w:sz w:val="24"/>
                <w:u w:val="none"/>
              </w:rPr>
            </w:pPr>
            <w:r>
              <w:rPr>
                <w:rFonts w:hint="eastAsia"/>
                <w:b/>
                <w:bCs/>
                <w:color w:val="auto"/>
                <w:sz w:val="24"/>
                <w:u w:val="none"/>
              </w:rPr>
              <w:t>1.5.1 与</w:t>
            </w:r>
            <w:r>
              <w:rPr>
                <w:b/>
                <w:bCs/>
                <w:color w:val="auto"/>
                <w:sz w:val="24"/>
                <w:u w:val="none"/>
              </w:rPr>
              <w:t>《中华人民共和国长江保护法》</w:t>
            </w:r>
            <w:r>
              <w:rPr>
                <w:rFonts w:hint="eastAsia"/>
                <w:b/>
                <w:bCs/>
                <w:color w:val="auto"/>
                <w:sz w:val="24"/>
                <w:u w:val="none"/>
              </w:rPr>
              <w:t>符合性分析</w:t>
            </w:r>
          </w:p>
          <w:p>
            <w:pPr>
              <w:spacing w:line="360" w:lineRule="auto"/>
              <w:ind w:firstLine="600" w:firstLineChars="250"/>
              <w:jc w:val="left"/>
              <w:rPr>
                <w:color w:val="auto"/>
                <w:sz w:val="24"/>
                <w:u w:val="none"/>
              </w:rPr>
            </w:pPr>
            <w:r>
              <w:rPr>
                <w:color w:val="auto"/>
                <w:sz w:val="24"/>
                <w:u w:val="none"/>
              </w:rPr>
              <w:t>《中华人民共和国长江保护法》</w:t>
            </w:r>
            <w:r>
              <w:rPr>
                <w:rFonts w:hint="eastAsia"/>
                <w:color w:val="auto"/>
                <w:sz w:val="24"/>
                <w:u w:val="none"/>
              </w:rPr>
              <w:t>相关要求：“禁止在长江干支流岸线一公里范围内新建、扩建化工园区和化工项目。禁止在长江干流岸线三公里范围内和重要支流岸线一公里范围内新建、改建、扩建尾矿库；但是以提升安全、生态环境保护水平为目的的改建除外。”</w:t>
            </w:r>
          </w:p>
          <w:p>
            <w:pPr>
              <w:spacing w:line="360" w:lineRule="auto"/>
              <w:ind w:firstLine="600" w:firstLineChars="250"/>
              <w:jc w:val="left"/>
              <w:rPr>
                <w:color w:val="auto"/>
                <w:sz w:val="24"/>
                <w:u w:val="none"/>
              </w:rPr>
            </w:pPr>
            <w:r>
              <w:rPr>
                <w:rFonts w:hint="eastAsia"/>
                <w:color w:val="auto"/>
                <w:sz w:val="24"/>
                <w:u w:val="none"/>
              </w:rPr>
              <w:t>本项目为</w:t>
            </w:r>
            <w:r>
              <w:rPr>
                <w:color w:val="auto"/>
                <w:sz w:val="24"/>
                <w:u w:val="none"/>
              </w:rPr>
              <w:t>C13农副食品加工业及C14食品制造业</w:t>
            </w:r>
            <w:r>
              <w:rPr>
                <w:rFonts w:hint="eastAsia"/>
                <w:color w:val="auto"/>
                <w:sz w:val="24"/>
                <w:u w:val="none"/>
              </w:rPr>
              <w:t>，不属于化工项目及尾矿库项目，符合</w:t>
            </w:r>
            <w:r>
              <w:rPr>
                <w:color w:val="auto"/>
                <w:sz w:val="24"/>
                <w:u w:val="none"/>
              </w:rPr>
              <w:t>《中华人民共和国长江保护法》</w:t>
            </w:r>
            <w:r>
              <w:rPr>
                <w:rFonts w:hint="eastAsia"/>
                <w:color w:val="auto"/>
                <w:sz w:val="24"/>
                <w:u w:val="none"/>
              </w:rPr>
              <w:t>相关要求。</w:t>
            </w:r>
          </w:p>
          <w:p>
            <w:pPr>
              <w:spacing w:line="360" w:lineRule="auto"/>
              <w:ind w:firstLine="602" w:firstLineChars="250"/>
              <w:jc w:val="left"/>
              <w:rPr>
                <w:b/>
                <w:bCs/>
                <w:color w:val="auto"/>
                <w:kern w:val="0"/>
                <w:sz w:val="24"/>
                <w:u w:val="none"/>
              </w:rPr>
            </w:pPr>
            <w:r>
              <w:rPr>
                <w:rFonts w:hint="eastAsia"/>
                <w:b/>
                <w:bCs/>
                <w:color w:val="auto"/>
                <w:sz w:val="24"/>
                <w:u w:val="none"/>
              </w:rPr>
              <w:t>1.5.2 与</w:t>
            </w:r>
            <w:r>
              <w:rPr>
                <w:b/>
                <w:bCs/>
                <w:color w:val="auto"/>
                <w:kern w:val="0"/>
                <w:sz w:val="24"/>
                <w:u w:val="none"/>
              </w:rPr>
              <w:t>《湖南省长江经济带发展负面清单实施细则(试行，2022年版)》相符性分析</w:t>
            </w:r>
          </w:p>
          <w:p>
            <w:pPr>
              <w:spacing w:line="360" w:lineRule="auto"/>
              <w:ind w:firstLine="480" w:firstLineChars="200"/>
              <w:rPr>
                <w:color w:val="auto"/>
                <w:kern w:val="0"/>
                <w:szCs w:val="21"/>
                <w:u w:val="none"/>
              </w:rPr>
            </w:pPr>
            <w:r>
              <w:rPr>
                <w:rFonts w:ascii="宋体" w:hAnsi="宋体"/>
                <w:color w:val="auto"/>
                <w:kern w:val="0"/>
                <w:sz w:val="24"/>
                <w:u w:val="none"/>
              </w:rPr>
              <w:t>本项目与《湖南省长江经济带发展负面清单实施细则</w:t>
            </w:r>
            <w:r>
              <w:rPr>
                <w:color w:val="auto"/>
                <w:kern w:val="0"/>
                <w:sz w:val="24"/>
                <w:u w:val="none"/>
              </w:rPr>
              <w:t>(</w:t>
            </w:r>
            <w:r>
              <w:rPr>
                <w:rFonts w:ascii="宋体" w:hAnsi="宋体"/>
                <w:color w:val="auto"/>
                <w:kern w:val="0"/>
                <w:sz w:val="24"/>
                <w:u w:val="none"/>
              </w:rPr>
              <w:t>试行，</w:t>
            </w:r>
            <w:r>
              <w:rPr>
                <w:color w:val="auto"/>
                <w:kern w:val="0"/>
                <w:sz w:val="24"/>
                <w:u w:val="none"/>
              </w:rPr>
              <w:t>2022</w:t>
            </w:r>
            <w:r>
              <w:rPr>
                <w:rFonts w:ascii="宋体" w:hAnsi="宋体"/>
                <w:color w:val="auto"/>
                <w:kern w:val="0"/>
                <w:sz w:val="24"/>
                <w:u w:val="none"/>
              </w:rPr>
              <w:t>年版</w:t>
            </w:r>
            <w:r>
              <w:rPr>
                <w:color w:val="auto"/>
                <w:kern w:val="0"/>
                <w:sz w:val="24"/>
                <w:u w:val="none"/>
              </w:rPr>
              <w:t>)</w:t>
            </w:r>
            <w:r>
              <w:rPr>
                <w:rFonts w:ascii="宋体" w:hAnsi="宋体"/>
                <w:color w:val="auto"/>
                <w:kern w:val="0"/>
                <w:sz w:val="24"/>
                <w:u w:val="none"/>
              </w:rPr>
              <w:t>》相符性分析如下：</w:t>
            </w:r>
          </w:p>
          <w:p>
            <w:pPr>
              <w:spacing w:line="480" w:lineRule="exact"/>
              <w:jc w:val="center"/>
              <w:rPr>
                <w:b/>
                <w:color w:val="auto"/>
                <w:kern w:val="0"/>
                <w:sz w:val="20"/>
                <w:szCs w:val="20"/>
                <w:u w:val="none"/>
              </w:rPr>
            </w:pPr>
            <w:r>
              <w:rPr>
                <w:rFonts w:ascii="宋体" w:hAnsi="宋体"/>
                <w:b/>
                <w:color w:val="auto"/>
                <w:kern w:val="0"/>
                <w:szCs w:val="21"/>
                <w:u w:val="none"/>
              </w:rPr>
              <w:t>表</w:t>
            </w:r>
            <w:r>
              <w:rPr>
                <w:rFonts w:hint="eastAsia"/>
                <w:b/>
                <w:color w:val="auto"/>
                <w:kern w:val="0"/>
                <w:szCs w:val="21"/>
                <w:u w:val="none"/>
              </w:rPr>
              <w:t>1.5-1</w:t>
            </w:r>
            <w:r>
              <w:rPr>
                <w:rFonts w:ascii="宋体" w:hAnsi="宋体"/>
                <w:b/>
                <w:color w:val="auto"/>
                <w:kern w:val="0"/>
                <w:szCs w:val="21"/>
                <w:u w:val="none"/>
              </w:rPr>
              <w:t>与《湖南省长江经济带发展负面清单实施细则</w:t>
            </w:r>
            <w:r>
              <w:rPr>
                <w:b/>
                <w:color w:val="auto"/>
                <w:kern w:val="0"/>
                <w:szCs w:val="21"/>
                <w:u w:val="none"/>
              </w:rPr>
              <w:t>(</w:t>
            </w:r>
            <w:r>
              <w:rPr>
                <w:rFonts w:ascii="宋体" w:hAnsi="宋体"/>
                <w:b/>
                <w:color w:val="auto"/>
                <w:kern w:val="0"/>
                <w:szCs w:val="21"/>
                <w:u w:val="none"/>
              </w:rPr>
              <w:t>试行，</w:t>
            </w:r>
            <w:r>
              <w:rPr>
                <w:b/>
                <w:color w:val="auto"/>
                <w:kern w:val="0"/>
                <w:szCs w:val="21"/>
                <w:u w:val="none"/>
              </w:rPr>
              <w:t>2022</w:t>
            </w:r>
            <w:r>
              <w:rPr>
                <w:rFonts w:ascii="宋体" w:hAnsi="宋体"/>
                <w:b/>
                <w:color w:val="auto"/>
                <w:kern w:val="0"/>
                <w:szCs w:val="21"/>
                <w:u w:val="none"/>
              </w:rPr>
              <w:t>年版</w:t>
            </w:r>
            <w:r>
              <w:rPr>
                <w:b/>
                <w:color w:val="auto"/>
                <w:kern w:val="0"/>
                <w:szCs w:val="21"/>
                <w:u w:val="none"/>
              </w:rPr>
              <w:t>)</w:t>
            </w:r>
            <w:r>
              <w:rPr>
                <w:rFonts w:ascii="宋体" w:hAnsi="宋体"/>
                <w:b/>
                <w:color w:val="auto"/>
                <w:kern w:val="0"/>
                <w:szCs w:val="21"/>
                <w:u w:val="none"/>
              </w:rPr>
              <w:t>》符合性分析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4469"/>
              <w:gridCol w:w="1972"/>
              <w:gridCol w:w="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序号</w:t>
                  </w:r>
                </w:p>
              </w:tc>
              <w:tc>
                <w:tcPr>
                  <w:tcW w:w="2829" w:type="pct"/>
                  <w:vAlign w:val="center"/>
                </w:tcPr>
                <w:p>
                  <w:pPr>
                    <w:jc w:val="center"/>
                    <w:rPr>
                      <w:color w:val="auto"/>
                      <w:kern w:val="0"/>
                      <w:szCs w:val="21"/>
                      <w:u w:val="none"/>
                    </w:rPr>
                  </w:pPr>
                  <w:r>
                    <w:rPr>
                      <w:rFonts w:ascii="宋体" w:hAnsi="宋体"/>
                      <w:color w:val="auto"/>
                      <w:kern w:val="0"/>
                      <w:szCs w:val="21"/>
                      <w:u w:val="none"/>
                    </w:rPr>
                    <w:t>内容</w:t>
                  </w:r>
                </w:p>
              </w:tc>
              <w:tc>
                <w:tcPr>
                  <w:tcW w:w="1248" w:type="pct"/>
                  <w:vAlign w:val="center"/>
                </w:tcPr>
                <w:p>
                  <w:pPr>
                    <w:jc w:val="center"/>
                    <w:rPr>
                      <w:color w:val="auto"/>
                      <w:kern w:val="0"/>
                      <w:szCs w:val="21"/>
                      <w:u w:val="none"/>
                    </w:rPr>
                  </w:pPr>
                  <w:r>
                    <w:rPr>
                      <w:rFonts w:ascii="宋体" w:hAnsi="宋体"/>
                      <w:color w:val="auto"/>
                      <w:kern w:val="0"/>
                      <w:szCs w:val="21"/>
                      <w:u w:val="none"/>
                    </w:rPr>
                    <w:t>本项目情况</w:t>
                  </w:r>
                </w:p>
              </w:tc>
              <w:tc>
                <w:tcPr>
                  <w:tcW w:w="444" w:type="pct"/>
                  <w:vAlign w:val="center"/>
                </w:tcPr>
                <w:p>
                  <w:pPr>
                    <w:jc w:val="center"/>
                    <w:rPr>
                      <w:color w:val="auto"/>
                      <w:kern w:val="0"/>
                      <w:szCs w:val="21"/>
                      <w:u w:val="none"/>
                    </w:rPr>
                  </w:pPr>
                  <w:r>
                    <w:rPr>
                      <w:rFonts w:ascii="宋体" w:hAnsi="宋体"/>
                      <w:color w:val="auto"/>
                      <w:kern w:val="0"/>
                      <w:szCs w:val="21"/>
                      <w:u w:val="none"/>
                    </w:rPr>
                    <w:t>相符性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第三条</w:t>
                  </w:r>
                </w:p>
              </w:tc>
              <w:tc>
                <w:tcPr>
                  <w:tcW w:w="2829" w:type="pct"/>
                  <w:vAlign w:val="center"/>
                </w:tcPr>
                <w:p>
                  <w:pPr>
                    <w:rPr>
                      <w:color w:val="auto"/>
                      <w:kern w:val="0"/>
                      <w:szCs w:val="21"/>
                      <w:u w:val="none"/>
                    </w:rPr>
                  </w:pPr>
                  <w:r>
                    <w:rPr>
                      <w:rFonts w:ascii="宋体" w:hAnsi="宋体"/>
                      <w:color w:val="auto"/>
                      <w:kern w:val="0"/>
                      <w:szCs w:val="21"/>
                      <w:u w:val="none"/>
                    </w:rPr>
                    <w:t>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千线过江通道布局规划</w:t>
                  </w:r>
                  <w:r>
                    <w:rPr>
                      <w:color w:val="auto"/>
                      <w:kern w:val="0"/>
                      <w:szCs w:val="21"/>
                      <w:u w:val="none"/>
                    </w:rPr>
                    <w:t xml:space="preserve">(2020-2035 </w:t>
                  </w:r>
                  <w:r>
                    <w:rPr>
                      <w:rFonts w:ascii="宋体" w:hAnsi="宋体"/>
                      <w:color w:val="auto"/>
                      <w:kern w:val="0"/>
                      <w:szCs w:val="21"/>
                      <w:u w:val="none"/>
                    </w:rPr>
                    <w:t>年</w:t>
                  </w:r>
                  <w:r>
                    <w:rPr>
                      <w:color w:val="auto"/>
                      <w:kern w:val="0"/>
                      <w:szCs w:val="21"/>
                      <w:u w:val="none"/>
                    </w:rPr>
                    <w:t>)</w:t>
                  </w:r>
                  <w:r>
                    <w:rPr>
                      <w:rFonts w:ascii="宋体" w:hAnsi="宋体"/>
                      <w:color w:val="auto"/>
                      <w:kern w:val="0"/>
                      <w:szCs w:val="21"/>
                      <w:u w:val="none"/>
                    </w:rPr>
                    <w:t>》的过长江通道项目。</w:t>
                  </w:r>
                </w:p>
              </w:tc>
              <w:tc>
                <w:tcPr>
                  <w:tcW w:w="1248" w:type="pct"/>
                  <w:vAlign w:val="center"/>
                </w:tcPr>
                <w:p>
                  <w:pPr>
                    <w:rPr>
                      <w:color w:val="auto"/>
                      <w:kern w:val="0"/>
                      <w:szCs w:val="21"/>
                      <w:u w:val="none"/>
                    </w:rPr>
                  </w:pPr>
                  <w:r>
                    <w:rPr>
                      <w:rFonts w:ascii="宋体" w:hAnsi="宋体"/>
                      <w:color w:val="auto"/>
                      <w:kern w:val="0"/>
                      <w:szCs w:val="21"/>
                      <w:u w:val="none"/>
                    </w:rPr>
                    <w:t>本项目不涉及港口及码头</w:t>
                  </w: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第四条</w:t>
                  </w:r>
                </w:p>
              </w:tc>
              <w:tc>
                <w:tcPr>
                  <w:tcW w:w="4469" w:type="dxa"/>
                  <w:vAlign w:val="center"/>
                </w:tcPr>
                <w:p>
                  <w:pPr>
                    <w:spacing w:line="240" w:lineRule="auto"/>
                    <w:ind w:firstLine="0" w:firstLineChars="0"/>
                    <w:rPr>
                      <w:color w:val="auto"/>
                      <w:kern w:val="0"/>
                      <w:sz w:val="21"/>
                      <w:szCs w:val="21"/>
                      <w:u w:val="none"/>
                    </w:rPr>
                  </w:pPr>
                  <w:r>
                    <w:rPr>
                      <w:color w:val="auto"/>
                      <w:kern w:val="0"/>
                      <w:sz w:val="21"/>
                      <w:szCs w:val="21"/>
                      <w:u w:val="none"/>
                    </w:rPr>
                    <w:t>禁止在自然保护区核心区、缓冲区的岸线和河段范围内投资建设以下旅游和生产经营项目：</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(一)高尔夫球场开发、房地产开发、索道建设、会所建设等项目;</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(二)光伏发电、风力发电、火力发电建设项目;</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(三)社会资金进行商业性探矿勘查，以及不属于国家紧缺矿种资源的基础地质调查和矿产远景调查等公益性工作的设施建设;</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(四)野生动物驯养繁殖、展览基地建设项目;</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(五)污染环境、破坏自然资源或自然景观的建设设施;</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(六)对自然保护区主要保护对象产生重大影响、改变自然生态系统完整性、原真性、破坏自然景观的设施;</w:t>
                  </w:r>
                </w:p>
                <w:p>
                  <w:pPr>
                    <w:spacing w:line="240" w:lineRule="auto"/>
                    <w:ind w:firstLine="0" w:firstLineChars="0"/>
                    <w:rPr>
                      <w:color w:val="auto"/>
                      <w:kern w:val="0"/>
                      <w:szCs w:val="21"/>
                      <w:u w:val="none"/>
                    </w:rPr>
                  </w:pPr>
                  <w:r>
                    <w:rPr>
                      <w:rFonts w:hint="eastAsia"/>
                      <w:color w:val="auto"/>
                      <w:kern w:val="0"/>
                      <w:sz w:val="21"/>
                      <w:szCs w:val="21"/>
                      <w:u w:val="none"/>
                    </w:rPr>
                    <w:t>(七)其他不符合自然保护区主体功能定位和国家禁止的设施。</w:t>
                  </w:r>
                </w:p>
              </w:tc>
              <w:tc>
                <w:tcPr>
                  <w:tcW w:w="1248" w:type="pct"/>
                  <w:vAlign w:val="center"/>
                </w:tcPr>
                <w:p>
                  <w:pPr>
                    <w:rPr>
                      <w:color w:val="auto"/>
                      <w:kern w:val="0"/>
                      <w:szCs w:val="21"/>
                      <w:u w:val="none"/>
                    </w:rPr>
                  </w:pPr>
                  <w:r>
                    <w:rPr>
                      <w:rFonts w:ascii="宋体" w:hAnsi="宋体"/>
                      <w:color w:val="auto"/>
                      <w:kern w:val="0"/>
                      <w:szCs w:val="21"/>
                      <w:u w:val="none"/>
                    </w:rPr>
                    <w:t>本项目不在自然保护区核心区、缓冲区的岸线和河段范围内。</w:t>
                  </w: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第五条</w:t>
                  </w:r>
                </w:p>
              </w:tc>
              <w:tc>
                <w:tcPr>
                  <w:tcW w:w="4469" w:type="dxa"/>
                  <w:vAlign w:val="center"/>
                </w:tcPr>
                <w:p>
                  <w:pPr>
                    <w:spacing w:line="240" w:lineRule="auto"/>
                    <w:ind w:firstLine="0" w:firstLineChars="0"/>
                    <w:rPr>
                      <w:color w:val="auto"/>
                      <w:kern w:val="0"/>
                      <w:szCs w:val="21"/>
                      <w:u w:val="none"/>
                    </w:rPr>
                  </w:pPr>
                  <w:r>
                    <w:rPr>
                      <w:color w:val="auto"/>
                      <w:kern w:val="0"/>
                      <w:sz w:val="21"/>
                      <w:szCs w:val="21"/>
                      <w:u w:val="none"/>
                    </w:rPr>
                    <w:t>机场、铁路、公路、水利、围堰等公益性基础设施的选址选线</w:t>
                  </w:r>
                  <w:r>
                    <w:rPr>
                      <w:rFonts w:hint="eastAsia"/>
                      <w:color w:val="auto"/>
                      <w:kern w:val="0"/>
                      <w:sz w:val="21"/>
                      <w:szCs w:val="21"/>
                      <w:u w:val="none"/>
                    </w:rPr>
                    <w:t>应多方案优化比选，尽量避让相关自然保护区域、野生动物迁徙洄游通道;无法避让的，应当采取修建野生动物通道、过鱼设施等措施，消除或者减少对野生动物的不利影响。</w:t>
                  </w:r>
                </w:p>
              </w:tc>
              <w:tc>
                <w:tcPr>
                  <w:tcW w:w="1248" w:type="pct"/>
                  <w:vAlign w:val="center"/>
                </w:tcPr>
                <w:p>
                  <w:pPr>
                    <w:rPr>
                      <w:color w:val="auto"/>
                      <w:kern w:val="0"/>
                      <w:szCs w:val="21"/>
                      <w:u w:val="none"/>
                    </w:rPr>
                  </w:pPr>
                  <w:r>
                    <w:rPr>
                      <w:rFonts w:ascii="宋体" w:hAnsi="宋体"/>
                      <w:color w:val="auto"/>
                      <w:kern w:val="0"/>
                      <w:szCs w:val="21"/>
                      <w:u w:val="none"/>
                    </w:rPr>
                    <w:t>本项目不属于机场、铁路、公路、水利、围堰。</w:t>
                  </w: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第六条</w:t>
                  </w:r>
                </w:p>
              </w:tc>
              <w:tc>
                <w:tcPr>
                  <w:tcW w:w="4469" w:type="dxa"/>
                  <w:vAlign w:val="center"/>
                </w:tcPr>
                <w:p>
                  <w:pPr>
                    <w:spacing w:line="240" w:lineRule="auto"/>
                    <w:ind w:firstLine="0" w:firstLineChars="0"/>
                    <w:rPr>
                      <w:color w:val="auto"/>
                      <w:kern w:val="0"/>
                      <w:szCs w:val="21"/>
                      <w:u w:val="none"/>
                    </w:rPr>
                  </w:pPr>
                  <w:r>
                    <w:rPr>
                      <w:color w:val="auto"/>
                      <w:kern w:val="0"/>
                      <w:sz w:val="21"/>
                      <w:szCs w:val="21"/>
                      <w:u w:val="none"/>
                    </w:rPr>
                    <w:t>禁止违反风景名胜区规划，在风景名胜区内设立各类开发区和在核心景区内</w:t>
                  </w:r>
                  <w:r>
                    <w:rPr>
                      <w:rFonts w:hint="eastAsia"/>
                      <w:color w:val="auto"/>
                      <w:kern w:val="0"/>
                      <w:sz w:val="21"/>
                      <w:szCs w:val="21"/>
                      <w:u w:val="none"/>
                    </w:rPr>
                    <w:t>区内建设宾馆、招待所、培训中心、疗养院以及与风景名胜资源保护无关的其他建筑物;已经建设的，应当按照风景名胜区规划，逐步迁出。</w:t>
                  </w:r>
                </w:p>
              </w:tc>
              <w:tc>
                <w:tcPr>
                  <w:tcW w:w="1248" w:type="pct"/>
                  <w:vAlign w:val="center"/>
                </w:tcPr>
                <w:p>
                  <w:pPr>
                    <w:rPr>
                      <w:color w:val="auto"/>
                      <w:kern w:val="0"/>
                      <w:szCs w:val="21"/>
                      <w:u w:val="none"/>
                    </w:rPr>
                  </w:pPr>
                  <w:r>
                    <w:rPr>
                      <w:rFonts w:ascii="宋体" w:hAnsi="宋体"/>
                      <w:color w:val="auto"/>
                      <w:kern w:val="0"/>
                      <w:szCs w:val="21"/>
                      <w:u w:val="none"/>
                    </w:rPr>
                    <w:t>本项目不在风景名胜区内。</w:t>
                  </w: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第七条</w:t>
                  </w:r>
                </w:p>
              </w:tc>
              <w:tc>
                <w:tcPr>
                  <w:tcW w:w="4469" w:type="dxa"/>
                  <w:vAlign w:val="center"/>
                </w:tcPr>
                <w:p>
                  <w:pPr>
                    <w:spacing w:line="240" w:lineRule="auto"/>
                    <w:ind w:firstLine="0" w:firstLineChars="0"/>
                    <w:rPr>
                      <w:color w:val="auto"/>
                      <w:kern w:val="0"/>
                      <w:szCs w:val="21"/>
                      <w:u w:val="none"/>
                    </w:rPr>
                  </w:pPr>
                  <w:r>
                    <w:rPr>
                      <w:color w:val="auto"/>
                      <w:kern w:val="0"/>
                      <w:sz w:val="21"/>
                      <w:szCs w:val="21"/>
                      <w:u w:val="none"/>
                    </w:rPr>
                    <w:t>饮用水水源一级保护区内禁止新建、改建、扩建</w:t>
                  </w:r>
                  <w:r>
                    <w:rPr>
                      <w:rFonts w:hint="eastAsia"/>
                      <w:color w:val="auto"/>
                      <w:kern w:val="0"/>
                      <w:sz w:val="21"/>
                      <w:szCs w:val="21"/>
                      <w:u w:val="none"/>
                    </w:rPr>
                    <w:t>与供水设施和保护水源无关的建设项目，以及网箱养殖、畜禽养殖、旅游等可能污染饮用水水体的投资建设项目;禁止向水域排放污水，已设置的排污口必须拆除;不得设置与供水需要无关的码头，禁止停靠船舶;禁止堆置和存放工业废渣、城市垃圾、粪便和其它废弃物;禁止设置油库;禁止使用含磷洗涤用品。</w:t>
                  </w:r>
                </w:p>
              </w:tc>
              <w:tc>
                <w:tcPr>
                  <w:tcW w:w="1248" w:type="pct"/>
                  <w:vMerge w:val="restart"/>
                  <w:vAlign w:val="center"/>
                </w:tcPr>
                <w:p>
                  <w:pPr>
                    <w:rPr>
                      <w:color w:val="auto"/>
                      <w:kern w:val="0"/>
                      <w:szCs w:val="21"/>
                      <w:u w:val="none"/>
                    </w:rPr>
                  </w:pPr>
                  <w:r>
                    <w:rPr>
                      <w:rFonts w:ascii="宋体" w:hAnsi="宋体"/>
                      <w:color w:val="auto"/>
                      <w:kern w:val="0"/>
                      <w:szCs w:val="21"/>
                      <w:u w:val="none"/>
                    </w:rPr>
                    <w:t>本项目不在饮用水源保护区内。</w:t>
                  </w: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第八条</w:t>
                  </w:r>
                </w:p>
              </w:tc>
              <w:tc>
                <w:tcPr>
                  <w:tcW w:w="4469" w:type="dxa"/>
                  <w:vAlign w:val="center"/>
                </w:tcPr>
                <w:p>
                  <w:pPr>
                    <w:spacing w:line="240" w:lineRule="auto"/>
                    <w:ind w:firstLine="0" w:firstLineChars="0"/>
                    <w:rPr>
                      <w:color w:val="auto"/>
                      <w:kern w:val="0"/>
                      <w:szCs w:val="21"/>
                      <w:u w:val="none"/>
                    </w:rPr>
                  </w:pPr>
                  <w:r>
                    <w:rPr>
                      <w:color w:val="auto"/>
                      <w:kern w:val="0"/>
                      <w:sz w:val="21"/>
                      <w:szCs w:val="21"/>
                      <w:u w:val="none"/>
                    </w:rPr>
                    <w:t>饮用水水源二级保护区内禁止新建、改建、扩建</w:t>
                  </w:r>
                  <w:r>
                    <w:rPr>
                      <w:rFonts w:hint="eastAsia"/>
                      <w:color w:val="auto"/>
                      <w:kern w:val="0"/>
                      <w:sz w:val="21"/>
                      <w:szCs w:val="21"/>
                      <w:u w:val="none"/>
                    </w:rPr>
                    <w:t>向水体排放污染物的投资建设项目。原有排污口依法拆除或关闭。禁止设立装卸垃圾、粪便、油类和有毒物品的码头。</w:t>
                  </w:r>
                </w:p>
              </w:tc>
              <w:tc>
                <w:tcPr>
                  <w:tcW w:w="1248" w:type="pct"/>
                  <w:vMerge w:val="continue"/>
                  <w:vAlign w:val="center"/>
                </w:tcPr>
                <w:p>
                  <w:pPr>
                    <w:widowControl/>
                    <w:jc w:val="left"/>
                    <w:rPr>
                      <w:color w:val="auto"/>
                      <w:kern w:val="0"/>
                      <w:szCs w:val="21"/>
                      <w:u w:val="none"/>
                    </w:rPr>
                  </w:pP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第九条</w:t>
                  </w:r>
                </w:p>
              </w:tc>
              <w:tc>
                <w:tcPr>
                  <w:tcW w:w="4469" w:type="dxa"/>
                  <w:vAlign w:val="center"/>
                </w:tcPr>
                <w:p>
                  <w:pPr>
                    <w:spacing w:line="240" w:lineRule="auto"/>
                    <w:ind w:firstLine="0" w:firstLineChars="0"/>
                    <w:rPr>
                      <w:color w:val="auto"/>
                      <w:kern w:val="0"/>
                      <w:szCs w:val="21"/>
                      <w:u w:val="none"/>
                    </w:rPr>
                  </w:pPr>
                  <w:r>
                    <w:rPr>
                      <w:color w:val="auto"/>
                      <w:kern w:val="0"/>
                      <w:sz w:val="21"/>
                      <w:szCs w:val="21"/>
                      <w:u w:val="none"/>
                    </w:rPr>
                    <w:t>禁止在水产种质资源保护区的岸线和河段范围内新建</w:t>
                  </w:r>
                  <w:r>
                    <w:rPr>
                      <w:rFonts w:hint="eastAsia"/>
                      <w:color w:val="auto"/>
                      <w:kern w:val="0"/>
                      <w:sz w:val="21"/>
                      <w:szCs w:val="21"/>
                      <w:u w:val="none"/>
                    </w:rPr>
                    <w:t>排污口、实施非法围垦河道和围湖造田造地等投资建设</w:t>
                  </w:r>
                  <w:r>
                    <w:rPr>
                      <w:rFonts w:hint="eastAsia"/>
                      <w:color w:val="auto"/>
                      <w:kern w:val="0"/>
                      <w:sz w:val="21"/>
                      <w:szCs w:val="21"/>
                      <w:u w:val="none"/>
                      <w:lang w:val="en-US" w:eastAsia="zh-CN"/>
                    </w:rPr>
                    <w:t>项目。</w:t>
                  </w:r>
                </w:p>
              </w:tc>
              <w:tc>
                <w:tcPr>
                  <w:tcW w:w="1248" w:type="pct"/>
                  <w:vAlign w:val="center"/>
                </w:tcPr>
                <w:p>
                  <w:pPr>
                    <w:rPr>
                      <w:color w:val="auto"/>
                      <w:kern w:val="0"/>
                      <w:szCs w:val="21"/>
                      <w:u w:val="none"/>
                    </w:rPr>
                  </w:pPr>
                  <w:r>
                    <w:rPr>
                      <w:rFonts w:ascii="宋体" w:hAnsi="宋体"/>
                      <w:color w:val="auto"/>
                      <w:kern w:val="0"/>
                      <w:szCs w:val="21"/>
                      <w:u w:val="none"/>
                    </w:rPr>
                    <w:t>本项目不在水产种质资源保护区内。</w:t>
                  </w: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第十条</w:t>
                  </w:r>
                </w:p>
              </w:tc>
              <w:tc>
                <w:tcPr>
                  <w:tcW w:w="4469" w:type="dxa"/>
                  <w:vAlign w:val="center"/>
                </w:tcPr>
                <w:p>
                  <w:pPr>
                    <w:spacing w:line="240" w:lineRule="auto"/>
                    <w:ind w:firstLine="0" w:firstLineChars="0"/>
                    <w:rPr>
                      <w:color w:val="auto"/>
                      <w:kern w:val="0"/>
                      <w:sz w:val="21"/>
                      <w:szCs w:val="21"/>
                      <w:u w:val="none"/>
                    </w:rPr>
                  </w:pPr>
                  <w:r>
                    <w:rPr>
                      <w:color w:val="auto"/>
                      <w:kern w:val="0"/>
                      <w:sz w:val="21"/>
                      <w:szCs w:val="21"/>
                      <w:u w:val="none"/>
                    </w:rPr>
                    <w:t>除《中华人民共和国防洪法》规定的紧急防汛期采取的紧急措施外，禁止在国家湿地公园的岸线和河段范围内挖沙、采可矿，以及以下不符合主体功能定位的行为和活动：</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(一)开(围)垦、填埋或者排干湿地。</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(二)截断湿地水源。</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(三)倾倒有毒有害物质、废弃物、垃圾。</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(四)从事房地产、度假村、高尔夫球场、风力发电、光伏发电等任何不符合主体功能定位的建设项目和开发活动。</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(五)破坏野生动物栖息地和迁徙通道、鱼类洄游通道，滥采滥捕野生动植物。</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(六)引入外来物种。</w:t>
                  </w:r>
                </w:p>
                <w:p>
                  <w:pPr>
                    <w:spacing w:line="240" w:lineRule="auto"/>
                    <w:ind w:firstLine="0" w:firstLineChars="0"/>
                    <w:rPr>
                      <w:rFonts w:hint="eastAsia"/>
                      <w:color w:val="auto"/>
                      <w:kern w:val="0"/>
                      <w:sz w:val="21"/>
                      <w:szCs w:val="21"/>
                      <w:u w:val="none"/>
                    </w:rPr>
                  </w:pPr>
                  <w:r>
                    <w:rPr>
                      <w:rFonts w:hint="eastAsia"/>
                      <w:color w:val="auto"/>
                      <w:kern w:val="0"/>
                      <w:sz w:val="21"/>
                      <w:szCs w:val="21"/>
                      <w:u w:val="none"/>
                    </w:rPr>
                    <w:t>(七)擅自放牧、捕捞、取土、取水、排污、放生。</w:t>
                  </w:r>
                </w:p>
                <w:p>
                  <w:pPr>
                    <w:spacing w:line="240" w:lineRule="auto"/>
                    <w:ind w:firstLine="0" w:firstLineChars="0"/>
                    <w:rPr>
                      <w:color w:val="auto"/>
                      <w:kern w:val="0"/>
                      <w:szCs w:val="21"/>
                      <w:u w:val="none"/>
                    </w:rPr>
                  </w:pPr>
                  <w:r>
                    <w:rPr>
                      <w:rFonts w:hint="eastAsia"/>
                      <w:color w:val="auto"/>
                      <w:kern w:val="0"/>
                      <w:sz w:val="21"/>
                      <w:szCs w:val="21"/>
                      <w:u w:val="none"/>
                    </w:rPr>
                    <w:t>(八)其他破坏湿地及其生态功能的活动。</w:t>
                  </w:r>
                </w:p>
              </w:tc>
              <w:tc>
                <w:tcPr>
                  <w:tcW w:w="1248" w:type="pct"/>
                  <w:vAlign w:val="center"/>
                </w:tcPr>
                <w:p>
                  <w:pPr>
                    <w:rPr>
                      <w:color w:val="auto"/>
                      <w:kern w:val="0"/>
                      <w:szCs w:val="21"/>
                      <w:u w:val="none"/>
                    </w:rPr>
                  </w:pPr>
                  <w:r>
                    <w:rPr>
                      <w:rFonts w:ascii="宋体" w:hAnsi="宋体"/>
                      <w:color w:val="auto"/>
                      <w:kern w:val="0"/>
                      <w:szCs w:val="21"/>
                      <w:u w:val="none"/>
                    </w:rPr>
                    <w:t>本项目不在湿地公园岸线和河段范围内。</w:t>
                  </w: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第十一条</w:t>
                  </w:r>
                </w:p>
              </w:tc>
              <w:tc>
                <w:tcPr>
                  <w:tcW w:w="2829" w:type="pct"/>
                  <w:vAlign w:val="center"/>
                </w:tcPr>
                <w:p>
                  <w:pPr>
                    <w:rPr>
                      <w:color w:val="auto"/>
                      <w:kern w:val="0"/>
                      <w:szCs w:val="21"/>
                      <w:u w:val="none"/>
                    </w:rPr>
                  </w:pPr>
                  <w:r>
                    <w:rPr>
                      <w:color w:val="auto"/>
                      <w:kern w:val="0"/>
                      <w:sz w:val="21"/>
                      <w:szCs w:val="21"/>
                      <w:u w:val="none"/>
                    </w:rPr>
                    <w:t>禁止违法利用、占用长江流域河湖岸线。</w:t>
                  </w:r>
                  <w:r>
                    <w:rPr>
                      <w:rFonts w:hint="eastAsia"/>
                      <w:color w:val="auto"/>
                      <w:kern w:val="0"/>
                      <w:sz w:val="21"/>
                      <w:szCs w:val="21"/>
                      <w:u w:val="none"/>
                    </w:rPr>
                    <w:t>禁止在《长江岸线保护和开发利用总体规划》划定的岸线保护区和保留区内投资建设除事关公共安全及公众利益的防洪护岸、河道治理、供水、生态环境保护、航道整治、国家重要基础设施以外的项目。</w:t>
                  </w:r>
                </w:p>
              </w:tc>
              <w:tc>
                <w:tcPr>
                  <w:tcW w:w="1248" w:type="pct"/>
                  <w:vAlign w:val="center"/>
                </w:tcPr>
                <w:p>
                  <w:pPr>
                    <w:rPr>
                      <w:color w:val="auto"/>
                      <w:kern w:val="0"/>
                      <w:szCs w:val="21"/>
                      <w:u w:val="none"/>
                    </w:rPr>
                  </w:pPr>
                  <w:r>
                    <w:rPr>
                      <w:rFonts w:ascii="宋体" w:hAnsi="宋体"/>
                      <w:color w:val="auto"/>
                      <w:kern w:val="0"/>
                      <w:szCs w:val="21"/>
                      <w:u w:val="none"/>
                    </w:rPr>
                    <w:t>本项目未利用、占用河湖岸线。</w:t>
                  </w: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第十二条</w:t>
                  </w:r>
                </w:p>
              </w:tc>
              <w:tc>
                <w:tcPr>
                  <w:tcW w:w="2829" w:type="pct"/>
                  <w:vAlign w:val="center"/>
                </w:tcPr>
                <w:p>
                  <w:pPr>
                    <w:rPr>
                      <w:color w:val="auto"/>
                      <w:kern w:val="0"/>
                      <w:szCs w:val="21"/>
                      <w:u w:val="none"/>
                    </w:rPr>
                  </w:pPr>
                  <w:r>
                    <w:rPr>
                      <w:rFonts w:ascii="宋体" w:hAnsi="宋体"/>
                      <w:color w:val="auto"/>
                      <w:kern w:val="0"/>
                      <w:szCs w:val="21"/>
                      <w:u w:val="none"/>
                    </w:rPr>
                    <w:t>禁止在《全国重要江河湖泊水功能区划》划定的河段及湖泊保护区、保留区内投资建设不利于水资源及自然生态保护的项目。</w:t>
                  </w:r>
                </w:p>
              </w:tc>
              <w:tc>
                <w:tcPr>
                  <w:tcW w:w="1248" w:type="pct"/>
                  <w:vAlign w:val="center"/>
                </w:tcPr>
                <w:p>
                  <w:pPr>
                    <w:rPr>
                      <w:color w:val="auto"/>
                      <w:kern w:val="0"/>
                      <w:szCs w:val="21"/>
                      <w:u w:val="none"/>
                    </w:rPr>
                  </w:pPr>
                  <w:r>
                    <w:rPr>
                      <w:rFonts w:ascii="宋体" w:hAnsi="宋体"/>
                      <w:color w:val="auto"/>
                      <w:kern w:val="0"/>
                      <w:szCs w:val="21"/>
                      <w:u w:val="none"/>
                    </w:rPr>
                    <w:t>项目不在河段及湖泊保护区、保留区。</w:t>
                  </w: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第十三条</w:t>
                  </w:r>
                </w:p>
              </w:tc>
              <w:tc>
                <w:tcPr>
                  <w:tcW w:w="2829" w:type="pct"/>
                  <w:vAlign w:val="center"/>
                </w:tcPr>
                <w:p>
                  <w:pPr>
                    <w:rPr>
                      <w:color w:val="auto"/>
                      <w:kern w:val="0"/>
                      <w:szCs w:val="21"/>
                      <w:u w:val="none"/>
                    </w:rPr>
                  </w:pPr>
                  <w:r>
                    <w:rPr>
                      <w:rFonts w:ascii="宋体" w:hAnsi="宋体"/>
                      <w:color w:val="auto"/>
                      <w:kern w:val="0"/>
                      <w:szCs w:val="21"/>
                      <w:u w:val="none"/>
                    </w:rPr>
                    <w:t>禁止未经许可在长江干支流及湖泊新设、改设或扩大排污口。</w:t>
                  </w:r>
                </w:p>
              </w:tc>
              <w:tc>
                <w:tcPr>
                  <w:tcW w:w="1248" w:type="pct"/>
                  <w:vAlign w:val="center"/>
                </w:tcPr>
                <w:p>
                  <w:pPr>
                    <w:widowControl/>
                    <w:rPr>
                      <w:color w:val="auto"/>
                      <w:kern w:val="0"/>
                      <w:szCs w:val="21"/>
                      <w:u w:val="none"/>
                    </w:rPr>
                  </w:pPr>
                  <w:r>
                    <w:rPr>
                      <w:rFonts w:ascii="宋体" w:hAnsi="宋体"/>
                      <w:color w:val="auto"/>
                      <w:kern w:val="0"/>
                      <w:szCs w:val="21"/>
                      <w:u w:val="none"/>
                    </w:rPr>
                    <w:t>本项目不在长江干支流及湖泊设置或扩大排污口。</w:t>
                  </w:r>
                </w:p>
              </w:tc>
              <w:tc>
                <w:tcPr>
                  <w:tcW w:w="444" w:type="pct"/>
                  <w:vAlign w:val="center"/>
                </w:tcPr>
                <w:p>
                  <w:pPr>
                    <w:widowControl/>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第十四条</w:t>
                  </w:r>
                </w:p>
              </w:tc>
              <w:tc>
                <w:tcPr>
                  <w:tcW w:w="2829" w:type="pct"/>
                  <w:vAlign w:val="center"/>
                </w:tcPr>
                <w:p>
                  <w:pPr>
                    <w:rPr>
                      <w:color w:val="auto"/>
                      <w:kern w:val="0"/>
                      <w:szCs w:val="21"/>
                      <w:u w:val="none"/>
                    </w:rPr>
                  </w:pPr>
                  <w:r>
                    <w:rPr>
                      <w:rFonts w:ascii="宋体" w:hAnsi="宋体"/>
                      <w:color w:val="auto"/>
                      <w:kern w:val="0"/>
                      <w:szCs w:val="21"/>
                      <w:u w:val="none"/>
                    </w:rPr>
                    <w:t>禁止在洞庭湖、湘江、资江、沅江、澧水干流和</w:t>
                  </w:r>
                  <w:r>
                    <w:rPr>
                      <w:color w:val="auto"/>
                      <w:kern w:val="0"/>
                      <w:szCs w:val="21"/>
                      <w:u w:val="none"/>
                    </w:rPr>
                    <w:t>45</w:t>
                  </w:r>
                  <w:r>
                    <w:rPr>
                      <w:rFonts w:ascii="宋体" w:hAnsi="宋体"/>
                      <w:color w:val="auto"/>
                      <w:kern w:val="0"/>
                      <w:szCs w:val="21"/>
                      <w:u w:val="none"/>
                    </w:rPr>
                    <w:t>个水生生物保护区开展生产性捕捞。在相关自然保护区域和禁猎（渔）区、禁猎（渔）期内，禁止捕猎以及其他妨碍野生动物生息繁衍的活动，但法律法规另有规定的除外。</w:t>
                  </w:r>
                </w:p>
              </w:tc>
              <w:tc>
                <w:tcPr>
                  <w:tcW w:w="1248" w:type="pct"/>
                  <w:vAlign w:val="center"/>
                </w:tcPr>
                <w:p>
                  <w:pPr>
                    <w:rPr>
                      <w:color w:val="auto"/>
                      <w:kern w:val="0"/>
                      <w:szCs w:val="21"/>
                      <w:u w:val="none"/>
                    </w:rPr>
                  </w:pPr>
                  <w:r>
                    <w:rPr>
                      <w:rFonts w:ascii="宋体" w:hAnsi="宋体"/>
                      <w:color w:val="auto"/>
                      <w:kern w:val="0"/>
                      <w:szCs w:val="21"/>
                      <w:u w:val="none"/>
                    </w:rPr>
                    <w:t>本项目不涉及捕猎、捕捞活动。</w:t>
                  </w: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第十五条</w:t>
                  </w:r>
                </w:p>
              </w:tc>
              <w:tc>
                <w:tcPr>
                  <w:tcW w:w="2829" w:type="pct"/>
                  <w:vAlign w:val="center"/>
                </w:tcPr>
                <w:p>
                  <w:pPr>
                    <w:rPr>
                      <w:color w:val="auto"/>
                      <w:kern w:val="0"/>
                      <w:szCs w:val="21"/>
                      <w:u w:val="none"/>
                    </w:rPr>
                  </w:pPr>
                  <w:r>
                    <w:rPr>
                      <w:rFonts w:ascii="宋体" w:hAnsi="宋体"/>
                      <w:color w:val="auto"/>
                      <w:kern w:val="0"/>
                      <w:szCs w:val="21"/>
                      <w:u w:val="none"/>
                    </w:rPr>
                    <w:t>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已提升安全、生态环境保护水平为目的的改建除外。</w:t>
                  </w:r>
                </w:p>
              </w:tc>
              <w:tc>
                <w:tcPr>
                  <w:tcW w:w="1248" w:type="pct"/>
                  <w:vAlign w:val="center"/>
                </w:tcPr>
                <w:p>
                  <w:pPr>
                    <w:rPr>
                      <w:color w:val="auto"/>
                      <w:kern w:val="0"/>
                      <w:szCs w:val="21"/>
                      <w:u w:val="none"/>
                    </w:rPr>
                  </w:pPr>
                  <w:r>
                    <w:rPr>
                      <w:rFonts w:ascii="宋体" w:hAnsi="宋体"/>
                      <w:color w:val="auto"/>
                      <w:kern w:val="0"/>
                      <w:szCs w:val="21"/>
                      <w:u w:val="none"/>
                    </w:rPr>
                    <w:t>本项目距湘江干流</w:t>
                  </w:r>
                  <w:r>
                    <w:rPr>
                      <w:rFonts w:hint="eastAsia"/>
                      <w:color w:val="auto"/>
                      <w:kern w:val="0"/>
                      <w:szCs w:val="21"/>
                      <w:u w:val="none"/>
                    </w:rPr>
                    <w:t>4</w:t>
                  </w:r>
                  <w:r>
                    <w:rPr>
                      <w:color w:val="auto"/>
                      <w:kern w:val="0"/>
                      <w:szCs w:val="21"/>
                      <w:u w:val="none"/>
                    </w:rPr>
                    <w:t>km</w:t>
                  </w:r>
                  <w:r>
                    <w:rPr>
                      <w:rFonts w:ascii="宋体" w:hAnsi="宋体"/>
                      <w:color w:val="auto"/>
                      <w:kern w:val="0"/>
                      <w:szCs w:val="21"/>
                      <w:u w:val="none"/>
                    </w:rPr>
                    <w:t>，且不属于化工、尾矿库、冶炼渣库和磷石膏库项目。</w:t>
                  </w:r>
                </w:p>
              </w:tc>
              <w:tc>
                <w:tcPr>
                  <w:tcW w:w="444" w:type="pct"/>
                  <w:vAlign w:val="center"/>
                </w:tcPr>
                <w:p>
                  <w:pPr>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第十六条</w:t>
                  </w:r>
                </w:p>
              </w:tc>
              <w:tc>
                <w:tcPr>
                  <w:tcW w:w="2829" w:type="pct"/>
                  <w:vAlign w:val="center"/>
                </w:tcPr>
                <w:p>
                  <w:pPr>
                    <w:rPr>
                      <w:color w:val="auto"/>
                      <w:kern w:val="0"/>
                      <w:szCs w:val="21"/>
                      <w:u w:val="none"/>
                    </w:rPr>
                  </w:pPr>
                  <w:r>
                    <w:rPr>
                      <w:rFonts w:ascii="宋体" w:hAnsi="宋体"/>
                      <w:color w:val="auto"/>
                      <w:kern w:val="0"/>
                      <w:szCs w:val="21"/>
                      <w:u w:val="none"/>
                    </w:rPr>
                    <w:t>禁止在合规园区外新建、扩建钢铁、石化、化工、焦化、建材、有色、制浆造纸等高污染项目。高污染项目严格按照省厅环境部《环境保护综合名录（</w:t>
                  </w:r>
                  <w:r>
                    <w:rPr>
                      <w:color w:val="auto"/>
                      <w:kern w:val="0"/>
                      <w:szCs w:val="21"/>
                      <w:u w:val="none"/>
                    </w:rPr>
                    <w:t>2021</w:t>
                  </w:r>
                  <w:r>
                    <w:rPr>
                      <w:rFonts w:ascii="宋体" w:hAnsi="宋体"/>
                      <w:color w:val="auto"/>
                      <w:kern w:val="0"/>
                      <w:szCs w:val="21"/>
                      <w:u w:val="none"/>
                    </w:rPr>
                    <w:t>年版）》有关要求执行。</w:t>
                  </w:r>
                </w:p>
              </w:tc>
              <w:tc>
                <w:tcPr>
                  <w:tcW w:w="1248" w:type="pct"/>
                  <w:vAlign w:val="center"/>
                </w:tcPr>
                <w:p>
                  <w:pPr>
                    <w:widowControl/>
                    <w:rPr>
                      <w:color w:val="auto"/>
                      <w:kern w:val="0"/>
                      <w:szCs w:val="21"/>
                      <w:u w:val="none"/>
                    </w:rPr>
                  </w:pPr>
                  <w:r>
                    <w:rPr>
                      <w:rFonts w:ascii="宋体" w:hAnsi="宋体"/>
                      <w:color w:val="auto"/>
                      <w:kern w:val="0"/>
                      <w:szCs w:val="21"/>
                      <w:u w:val="none"/>
                    </w:rPr>
                    <w:t>本项目不属于上述高污染项目。</w:t>
                  </w:r>
                </w:p>
              </w:tc>
              <w:tc>
                <w:tcPr>
                  <w:tcW w:w="444" w:type="pct"/>
                  <w:vAlign w:val="center"/>
                </w:tcPr>
                <w:p>
                  <w:pPr>
                    <w:widowControl/>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第十七条</w:t>
                  </w:r>
                </w:p>
              </w:tc>
              <w:tc>
                <w:tcPr>
                  <w:tcW w:w="2829" w:type="pct"/>
                  <w:vAlign w:val="center"/>
                </w:tcPr>
                <w:p>
                  <w:pPr>
                    <w:rPr>
                      <w:color w:val="auto"/>
                      <w:kern w:val="0"/>
                      <w:szCs w:val="21"/>
                      <w:u w:val="none"/>
                    </w:rPr>
                  </w:pPr>
                  <w:r>
                    <w:rPr>
                      <w:rFonts w:ascii="宋体" w:hAnsi="宋体"/>
                      <w:color w:val="auto"/>
                      <w:kern w:val="0"/>
                      <w:szCs w:val="21"/>
                      <w:u w:val="none"/>
                    </w:rPr>
                    <w:t>禁止新建、扩建不符合国家石化、现代煤化工等产业布局规划的项目。未通过认定的化工园区，不得新建、改扩建化工项目（安全、环保、节能和智能化改造项目除外）。</w:t>
                  </w:r>
                </w:p>
              </w:tc>
              <w:tc>
                <w:tcPr>
                  <w:tcW w:w="1248" w:type="pct"/>
                  <w:vAlign w:val="center"/>
                </w:tcPr>
                <w:p>
                  <w:pPr>
                    <w:widowControl/>
                    <w:rPr>
                      <w:color w:val="auto"/>
                      <w:kern w:val="0"/>
                      <w:szCs w:val="21"/>
                      <w:u w:val="none"/>
                    </w:rPr>
                  </w:pPr>
                  <w:r>
                    <w:rPr>
                      <w:rFonts w:ascii="宋体" w:hAnsi="宋体"/>
                      <w:color w:val="auto"/>
                      <w:kern w:val="0"/>
                      <w:szCs w:val="21"/>
                      <w:u w:val="none"/>
                    </w:rPr>
                    <w:t>本项目不属于石化、煤化工、化工项目</w:t>
                  </w:r>
                </w:p>
              </w:tc>
              <w:tc>
                <w:tcPr>
                  <w:tcW w:w="444" w:type="pct"/>
                  <w:vAlign w:val="center"/>
                </w:tcPr>
                <w:p>
                  <w:pPr>
                    <w:widowControl/>
                    <w:jc w:val="center"/>
                    <w:rPr>
                      <w:color w:val="auto"/>
                      <w:kern w:val="0"/>
                      <w:szCs w:val="21"/>
                      <w:u w:val="none"/>
                    </w:rPr>
                  </w:pPr>
                  <w:r>
                    <w:rPr>
                      <w:rFonts w:ascii="宋体" w:hAnsi="宋体"/>
                      <w:color w:val="auto"/>
                      <w:kern w:val="0"/>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9" w:type="pct"/>
                  <w:vAlign w:val="center"/>
                </w:tcPr>
                <w:p>
                  <w:pPr>
                    <w:jc w:val="center"/>
                    <w:rPr>
                      <w:color w:val="auto"/>
                      <w:kern w:val="0"/>
                      <w:szCs w:val="21"/>
                      <w:u w:val="none"/>
                    </w:rPr>
                  </w:pPr>
                  <w:r>
                    <w:rPr>
                      <w:rFonts w:ascii="宋体" w:hAnsi="宋体"/>
                      <w:color w:val="auto"/>
                      <w:kern w:val="0"/>
                      <w:szCs w:val="21"/>
                      <w:u w:val="none"/>
                    </w:rPr>
                    <w:t>第十八条</w:t>
                  </w:r>
                </w:p>
              </w:tc>
              <w:tc>
                <w:tcPr>
                  <w:tcW w:w="2829" w:type="pct"/>
                  <w:vAlign w:val="center"/>
                </w:tcPr>
                <w:p>
                  <w:pPr>
                    <w:rPr>
                      <w:color w:val="auto"/>
                      <w:kern w:val="0"/>
                      <w:szCs w:val="21"/>
                      <w:u w:val="none"/>
                    </w:rPr>
                  </w:pPr>
                  <w:r>
                    <w:rPr>
                      <w:rFonts w:ascii="宋体" w:hAnsi="宋体"/>
                      <w:color w:val="auto"/>
                      <w:kern w:val="0"/>
                      <w:szCs w:val="21"/>
                      <w:u w:val="none"/>
                    </w:rPr>
                    <w:t>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248" w:type="pct"/>
                  <w:vAlign w:val="center"/>
                </w:tcPr>
                <w:p>
                  <w:pPr>
                    <w:widowControl/>
                    <w:rPr>
                      <w:color w:val="auto"/>
                      <w:kern w:val="0"/>
                      <w:szCs w:val="21"/>
                      <w:u w:val="none"/>
                    </w:rPr>
                  </w:pPr>
                  <w:r>
                    <w:rPr>
                      <w:rFonts w:ascii="宋体" w:hAnsi="宋体"/>
                      <w:color w:val="auto"/>
                      <w:kern w:val="0"/>
                      <w:szCs w:val="21"/>
                      <w:u w:val="none"/>
                    </w:rPr>
                    <w:t>本项目不属于落后产能项目、不属于产能过剩行业，对照湖南省</w:t>
                  </w:r>
                  <w:r>
                    <w:rPr>
                      <w:color w:val="auto"/>
                      <w:kern w:val="0"/>
                      <w:szCs w:val="21"/>
                      <w:u w:val="none"/>
                    </w:rPr>
                    <w:t>“</w:t>
                  </w:r>
                  <w:r>
                    <w:rPr>
                      <w:rFonts w:ascii="宋体" w:hAnsi="宋体"/>
                      <w:color w:val="auto"/>
                      <w:kern w:val="0"/>
                      <w:szCs w:val="21"/>
                      <w:u w:val="none"/>
                    </w:rPr>
                    <w:t>两高</w:t>
                  </w:r>
                  <w:r>
                    <w:rPr>
                      <w:color w:val="auto"/>
                      <w:kern w:val="0"/>
                      <w:szCs w:val="21"/>
                      <w:u w:val="none"/>
                    </w:rPr>
                    <w:t>”</w:t>
                  </w:r>
                  <w:r>
                    <w:rPr>
                      <w:rFonts w:ascii="宋体" w:hAnsi="宋体"/>
                      <w:color w:val="auto"/>
                      <w:kern w:val="0"/>
                      <w:szCs w:val="21"/>
                      <w:u w:val="none"/>
                    </w:rPr>
                    <w:t>行业，本项目不属于高耗能高排放行业</w:t>
                  </w:r>
                </w:p>
              </w:tc>
              <w:tc>
                <w:tcPr>
                  <w:tcW w:w="444" w:type="pct"/>
                  <w:vAlign w:val="center"/>
                </w:tcPr>
                <w:p>
                  <w:pPr>
                    <w:widowControl/>
                    <w:jc w:val="center"/>
                    <w:rPr>
                      <w:color w:val="auto"/>
                      <w:kern w:val="0"/>
                      <w:szCs w:val="21"/>
                      <w:u w:val="none"/>
                    </w:rPr>
                  </w:pPr>
                  <w:r>
                    <w:rPr>
                      <w:rFonts w:ascii="宋体" w:hAnsi="宋体"/>
                      <w:color w:val="auto"/>
                      <w:kern w:val="0"/>
                      <w:szCs w:val="21"/>
                      <w:u w:val="none"/>
                    </w:rPr>
                    <w:t>符合</w:t>
                  </w:r>
                </w:p>
              </w:tc>
            </w:tr>
          </w:tbl>
          <w:p>
            <w:pPr>
              <w:spacing w:line="360" w:lineRule="auto"/>
              <w:ind w:firstLine="600" w:firstLineChars="250"/>
              <w:jc w:val="left"/>
              <w:rPr>
                <w:rFonts w:hint="eastAsia" w:ascii="宋体" w:hAnsi="宋体"/>
                <w:color w:val="auto"/>
                <w:kern w:val="0"/>
                <w:sz w:val="24"/>
                <w:u w:val="none"/>
              </w:rPr>
            </w:pPr>
            <w:r>
              <w:rPr>
                <w:rFonts w:hint="eastAsia" w:ascii="宋体" w:hAnsi="宋体"/>
                <w:color w:val="auto"/>
                <w:kern w:val="0"/>
                <w:sz w:val="24"/>
                <w:u w:val="none"/>
              </w:rPr>
              <w:t>综上分析，</w:t>
            </w:r>
            <w:r>
              <w:rPr>
                <w:rFonts w:ascii="宋体" w:hAnsi="宋体"/>
                <w:color w:val="auto"/>
                <w:kern w:val="0"/>
                <w:sz w:val="24"/>
                <w:u w:val="none"/>
              </w:rPr>
              <w:t>本项目</w:t>
            </w:r>
            <w:r>
              <w:rPr>
                <w:rFonts w:hint="eastAsia" w:ascii="宋体" w:hAnsi="宋体"/>
                <w:color w:val="auto"/>
                <w:kern w:val="0"/>
                <w:sz w:val="24"/>
                <w:u w:val="none"/>
              </w:rPr>
              <w:t>符合</w:t>
            </w:r>
            <w:r>
              <w:rPr>
                <w:rFonts w:ascii="宋体" w:hAnsi="宋体"/>
                <w:color w:val="auto"/>
                <w:kern w:val="0"/>
                <w:sz w:val="24"/>
                <w:u w:val="none"/>
              </w:rPr>
              <w:t>《湖南省长江经济带发展负面清单实施细则</w:t>
            </w:r>
            <w:r>
              <w:rPr>
                <w:color w:val="auto"/>
                <w:kern w:val="0"/>
                <w:sz w:val="24"/>
                <w:u w:val="none"/>
              </w:rPr>
              <w:t>(</w:t>
            </w:r>
            <w:r>
              <w:rPr>
                <w:rFonts w:ascii="宋体" w:hAnsi="宋体"/>
                <w:color w:val="auto"/>
                <w:kern w:val="0"/>
                <w:sz w:val="24"/>
                <w:u w:val="none"/>
              </w:rPr>
              <w:t>试行，</w:t>
            </w:r>
            <w:r>
              <w:rPr>
                <w:color w:val="auto"/>
                <w:kern w:val="0"/>
                <w:sz w:val="24"/>
                <w:u w:val="none"/>
              </w:rPr>
              <w:t>2022</w:t>
            </w:r>
            <w:r>
              <w:rPr>
                <w:rFonts w:ascii="宋体" w:hAnsi="宋体"/>
                <w:color w:val="auto"/>
                <w:kern w:val="0"/>
                <w:sz w:val="24"/>
                <w:u w:val="none"/>
              </w:rPr>
              <w:t>年版</w:t>
            </w:r>
            <w:r>
              <w:rPr>
                <w:color w:val="auto"/>
                <w:kern w:val="0"/>
                <w:sz w:val="24"/>
                <w:u w:val="none"/>
              </w:rPr>
              <w:t>)</w:t>
            </w:r>
            <w:r>
              <w:rPr>
                <w:rFonts w:ascii="宋体" w:hAnsi="宋体"/>
                <w:color w:val="auto"/>
                <w:kern w:val="0"/>
                <w:sz w:val="24"/>
                <w:u w:val="none"/>
              </w:rPr>
              <w:t>》</w:t>
            </w:r>
            <w:r>
              <w:rPr>
                <w:rFonts w:hint="eastAsia" w:ascii="宋体" w:hAnsi="宋体"/>
                <w:color w:val="auto"/>
                <w:kern w:val="0"/>
                <w:sz w:val="24"/>
                <w:u w:val="none"/>
              </w:rPr>
              <w:t>相关要求。</w:t>
            </w:r>
          </w:p>
          <w:p>
            <w:pPr>
              <w:spacing w:line="360" w:lineRule="auto"/>
              <w:ind w:firstLine="602" w:firstLineChars="250"/>
              <w:jc w:val="left"/>
              <w:rPr>
                <w:b/>
                <w:color w:val="auto"/>
                <w:sz w:val="24"/>
                <w:u w:val="none"/>
              </w:rPr>
            </w:pPr>
            <w:r>
              <w:rPr>
                <w:rFonts w:hint="eastAsia"/>
                <w:b/>
                <w:color w:val="auto"/>
                <w:sz w:val="24"/>
                <w:u w:val="none"/>
              </w:rPr>
              <w:t xml:space="preserve">1.5.3 </w:t>
            </w:r>
            <w:r>
              <w:rPr>
                <w:b/>
                <w:color w:val="auto"/>
                <w:sz w:val="24"/>
                <w:u w:val="none"/>
              </w:rPr>
              <w:t>与《湖南省洞庭湖保护条例》符合性分析</w:t>
            </w:r>
          </w:p>
          <w:p>
            <w:pPr>
              <w:spacing w:line="360" w:lineRule="auto"/>
              <w:ind w:firstLine="600" w:firstLineChars="250"/>
              <w:jc w:val="left"/>
              <w:rPr>
                <w:color w:val="auto"/>
                <w:sz w:val="24"/>
                <w:u w:val="none"/>
              </w:rPr>
            </w:pPr>
            <w:r>
              <w:rPr>
                <w:color w:val="auto"/>
                <w:sz w:val="24"/>
                <w:u w:val="none"/>
              </w:rPr>
              <w:t>2021年5月27日湖南省第十三届人民代表大会常务委员会第二十四次会议通过《湖南省洞庭湖保护条例》，于2021年9月1日实施，</w:t>
            </w:r>
            <w:r>
              <w:rPr>
                <w:rFonts w:hint="eastAsia"/>
                <w:color w:val="auto"/>
                <w:sz w:val="24"/>
                <w:u w:val="none"/>
              </w:rPr>
              <w:t>相关</w:t>
            </w:r>
            <w:r>
              <w:rPr>
                <w:color w:val="auto"/>
                <w:sz w:val="24"/>
                <w:u w:val="none"/>
              </w:rPr>
              <w:t>内容如下：</w:t>
            </w:r>
          </w:p>
          <w:p>
            <w:pPr>
              <w:spacing w:line="360" w:lineRule="auto"/>
              <w:ind w:firstLine="602" w:firstLineChars="250"/>
              <w:jc w:val="left"/>
              <w:rPr>
                <w:b/>
                <w:bCs/>
                <w:color w:val="auto"/>
                <w:sz w:val="24"/>
                <w:u w:val="none"/>
              </w:rPr>
            </w:pPr>
            <w:r>
              <w:rPr>
                <w:b/>
                <w:bCs/>
                <w:color w:val="auto"/>
                <w:sz w:val="24"/>
                <w:u w:val="none"/>
              </w:rPr>
              <w:t>表</w:t>
            </w:r>
            <w:r>
              <w:rPr>
                <w:rFonts w:hint="eastAsia"/>
                <w:b/>
                <w:bCs/>
                <w:color w:val="auto"/>
                <w:sz w:val="24"/>
                <w:u w:val="none"/>
              </w:rPr>
              <w:t xml:space="preserve">1.5-2 </w:t>
            </w:r>
            <w:r>
              <w:rPr>
                <w:b/>
                <w:bCs/>
                <w:color w:val="auto"/>
                <w:sz w:val="24"/>
                <w:u w:val="none"/>
              </w:rPr>
              <w:t>与《湖南省洞庭湖保护条例》符合性分析一览表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4690"/>
              <w:gridCol w:w="1587"/>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color w:val="auto"/>
                      <w:szCs w:val="21"/>
                      <w:u w:val="none"/>
                    </w:rPr>
                    <w:t>序号</w:t>
                  </w:r>
                </w:p>
              </w:tc>
              <w:tc>
                <w:tcPr>
                  <w:tcW w:w="4690"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color w:val="auto"/>
                      <w:szCs w:val="21"/>
                      <w:u w:val="none"/>
                    </w:rPr>
                    <w:t>要求</w:t>
                  </w:r>
                </w:p>
              </w:tc>
              <w:tc>
                <w:tcPr>
                  <w:tcW w:w="1587"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color w:val="auto"/>
                      <w:szCs w:val="21"/>
                      <w:u w:val="none"/>
                    </w:rPr>
                    <w:t>本项目情况</w:t>
                  </w:r>
                </w:p>
              </w:tc>
              <w:tc>
                <w:tcPr>
                  <w:tcW w:w="897"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color w:val="auto"/>
                      <w:szCs w:val="21"/>
                      <w:u w:val="none"/>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第十八条</w:t>
                  </w:r>
                </w:p>
              </w:tc>
              <w:tc>
                <w:tcPr>
                  <w:tcW w:w="4690"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禁止在湖区布局对生态系统有严重影响的产业。禁止重污染企业和项目向湖区转移。</w:t>
                  </w:r>
                </w:p>
              </w:tc>
              <w:tc>
                <w:tcPr>
                  <w:tcW w:w="158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本项目</w:t>
                  </w:r>
                  <w:r>
                    <w:rPr>
                      <w:rFonts w:hint="eastAsia"/>
                      <w:color w:val="auto"/>
                      <w:szCs w:val="21"/>
                      <w:u w:val="none"/>
                    </w:rPr>
                    <w:t>不在湖区范围内</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第十九条</w:t>
                  </w:r>
                </w:p>
              </w:tc>
              <w:tc>
                <w:tcPr>
                  <w:tcW w:w="4690"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禁止填湖造地、围湖造田、建设矮围网、填埋湿地等非法侵占河湖水域或者违法利用、占用河湖岸线的行为。</w:t>
                  </w:r>
                </w:p>
              </w:tc>
              <w:tc>
                <w:tcPr>
                  <w:tcW w:w="158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本项目不涉及填湖造地、围湖造田、建设矮围网、填埋湿地等非法行为</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第二十二条</w:t>
                  </w:r>
                </w:p>
              </w:tc>
              <w:tc>
                <w:tcPr>
                  <w:tcW w:w="4690"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根据洞庭湖水环境质量状况和水污染防治工作的需要，省人民政府生态环境主管部门按程序拟定洞庭湖总磷、氨氮等重点水污染物的排放总量削减和控制方案，报省人民政府批准后下达到湖区市、县（市、区）人民政府，湖区市、县（市、区）人民政府应当将控制指标分解落实到排污单位。</w:t>
                  </w:r>
                </w:p>
                <w:p>
                  <w:pPr>
                    <w:jc w:val="left"/>
                    <w:rPr>
                      <w:color w:val="auto"/>
                      <w:szCs w:val="21"/>
                      <w:u w:val="none"/>
                    </w:rPr>
                  </w:pPr>
                  <w:r>
                    <w:rPr>
                      <w:color w:val="auto"/>
                      <w:szCs w:val="21"/>
                      <w:u w:val="none"/>
                    </w:rPr>
                    <w:t>湖区禁止生产、销售、使用含磷洗涤用品。</w:t>
                  </w:r>
                </w:p>
                <w:p>
                  <w:pPr>
                    <w:jc w:val="left"/>
                    <w:rPr>
                      <w:b/>
                      <w:bCs/>
                      <w:color w:val="auto"/>
                      <w:szCs w:val="21"/>
                      <w:u w:val="none"/>
                    </w:rPr>
                  </w:pPr>
                  <w:r>
                    <w:rPr>
                      <w:color w:val="auto"/>
                      <w:szCs w:val="21"/>
                      <w:u w:val="none"/>
                    </w:rPr>
                    <w:t>前款所称含磷洗涤用品，是指总磷酸盐含量（以五氧化二磷计）超过国家标准的洗涤用品</w:t>
                  </w:r>
                  <w:r>
                    <w:rPr>
                      <w:rFonts w:hint="eastAsia"/>
                      <w:color w:val="auto"/>
                      <w:szCs w:val="21"/>
                      <w:u w:val="none"/>
                    </w:rPr>
                    <w:t>。</w:t>
                  </w:r>
                </w:p>
              </w:tc>
              <w:tc>
                <w:tcPr>
                  <w:tcW w:w="158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本项目不涉及含磷洗涤用品，对总磷、氨氮实行总量控制</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第二十八条</w:t>
                  </w:r>
                </w:p>
              </w:tc>
              <w:tc>
                <w:tcPr>
                  <w:tcW w:w="4690"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湖区市、县（市、区）人民政府应当按照国家、省有关标准统筹安排城乡排水与污水收集处理管网建设、改造和运行，确保生产生活污水全面收集，达标排放。</w:t>
                  </w:r>
                </w:p>
                <w:p>
                  <w:pPr>
                    <w:jc w:val="left"/>
                    <w:rPr>
                      <w:color w:val="auto"/>
                      <w:szCs w:val="21"/>
                      <w:u w:val="none"/>
                    </w:rPr>
                  </w:pPr>
                  <w:r>
                    <w:rPr>
                      <w:rFonts w:hint="eastAsia"/>
                      <w:color w:val="auto"/>
                      <w:szCs w:val="21"/>
                      <w:u w:val="none"/>
                    </w:rPr>
                    <w:t>湖区市、县（市、区）人民政府应当推广农村卫生厕所，推进粪污无害化处理与资源化利用，配套建设农村污水治理设施，防止粪污污染水体。</w:t>
                  </w:r>
                </w:p>
                <w:p>
                  <w:pPr>
                    <w:jc w:val="left"/>
                    <w:rPr>
                      <w:color w:val="auto"/>
                      <w:szCs w:val="21"/>
                      <w:u w:val="none"/>
                    </w:rPr>
                  </w:pPr>
                  <w:r>
                    <w:rPr>
                      <w:rFonts w:hint="eastAsia"/>
                      <w:color w:val="auto"/>
                      <w:szCs w:val="21"/>
                      <w:u w:val="none"/>
                    </w:rPr>
                    <w:t>鼓励将污水处理设施尾水接入人工湿地处理系统。</w:t>
                  </w:r>
                </w:p>
                <w:p>
                  <w:pPr>
                    <w:jc w:val="left"/>
                    <w:rPr>
                      <w:color w:val="auto"/>
                      <w:szCs w:val="21"/>
                      <w:u w:val="none"/>
                    </w:rPr>
                  </w:pPr>
                  <w:r>
                    <w:rPr>
                      <w:rFonts w:hint="eastAsia"/>
                      <w:color w:val="auto"/>
                      <w:szCs w:val="21"/>
                      <w:u w:val="none"/>
                    </w:rPr>
                    <w:t>鼓励城乡生活污水循环化利用。</w:t>
                  </w:r>
                </w:p>
              </w:tc>
              <w:tc>
                <w:tcPr>
                  <w:tcW w:w="158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本项目位于湘阴高新区洋沙湖片区，项目所在区域已通市政污水管网，生活污水经化粪池预处理后进入湘阴县第二污水处理厂处理。</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第二十九条</w:t>
                  </w:r>
                </w:p>
              </w:tc>
              <w:tc>
                <w:tcPr>
                  <w:tcW w:w="4690"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湖区市、县（市、区）人民政府应当实施生活废弃物分类处理制度，建设生活废弃物分类投放、收集、中转和运输设施，完善城乡垃圾收集转运体系，推进城乡垃圾一体化处理，实行综合利用和无害化处理。</w:t>
                  </w:r>
                </w:p>
                <w:p>
                  <w:pPr>
                    <w:jc w:val="left"/>
                    <w:rPr>
                      <w:color w:val="auto"/>
                      <w:szCs w:val="21"/>
                      <w:u w:val="none"/>
                    </w:rPr>
                  </w:pPr>
                  <w:r>
                    <w:rPr>
                      <w:rFonts w:hint="eastAsia"/>
                      <w:color w:val="auto"/>
                      <w:szCs w:val="21"/>
                      <w:u w:val="none"/>
                    </w:rPr>
                    <w:t>鼓励建设生活废弃物焚烧发电项目。</w:t>
                  </w:r>
                </w:p>
              </w:tc>
              <w:tc>
                <w:tcPr>
                  <w:tcW w:w="158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本项目生活垃圾交由环卫部门统一处置</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符合</w:t>
                  </w:r>
                </w:p>
              </w:tc>
            </w:tr>
          </w:tbl>
          <w:p>
            <w:pPr>
              <w:spacing w:line="360" w:lineRule="auto"/>
              <w:ind w:firstLine="600" w:firstLineChars="250"/>
              <w:jc w:val="left"/>
              <w:rPr>
                <w:color w:val="auto"/>
                <w:sz w:val="24"/>
                <w:u w:val="none"/>
              </w:rPr>
            </w:pPr>
            <w:r>
              <w:rPr>
                <w:rFonts w:hint="eastAsia"/>
                <w:color w:val="auto"/>
                <w:sz w:val="24"/>
                <w:u w:val="none"/>
              </w:rPr>
              <w:t>综上分析，本项目</w:t>
            </w:r>
            <w:r>
              <w:rPr>
                <w:color w:val="auto"/>
                <w:sz w:val="24"/>
                <w:u w:val="none"/>
              </w:rPr>
              <w:t>符合《湖南省洞庭湖保护条例》相关要求。</w:t>
            </w:r>
          </w:p>
          <w:p>
            <w:pPr>
              <w:spacing w:line="360" w:lineRule="auto"/>
              <w:jc w:val="left"/>
              <w:rPr>
                <w:b/>
                <w:bCs/>
                <w:color w:val="auto"/>
                <w:sz w:val="24"/>
                <w:u w:val="none"/>
              </w:rPr>
            </w:pPr>
            <w:r>
              <w:rPr>
                <w:rFonts w:hint="eastAsia"/>
                <w:b/>
                <w:bCs/>
                <w:color w:val="auto"/>
                <w:sz w:val="24"/>
                <w:u w:val="none"/>
              </w:rPr>
              <w:t>1.6 与《食品生产通用卫生规范》（GB14881-2013）符合性</w:t>
            </w:r>
          </w:p>
          <w:p>
            <w:pPr>
              <w:spacing w:line="360" w:lineRule="auto"/>
              <w:ind w:firstLine="600" w:firstLineChars="250"/>
              <w:jc w:val="left"/>
              <w:rPr>
                <w:color w:val="auto"/>
                <w:sz w:val="24"/>
                <w:u w:val="none"/>
              </w:rPr>
            </w:pPr>
            <w:r>
              <w:rPr>
                <w:rFonts w:hint="eastAsia"/>
                <w:color w:val="auto"/>
                <w:sz w:val="24"/>
                <w:u w:val="none"/>
              </w:rPr>
              <w:t>本项目与《食品生产通用卫生规范》（GB14881-2013）相符性分析见下表。</w:t>
            </w:r>
          </w:p>
          <w:p>
            <w:pPr>
              <w:spacing w:line="360" w:lineRule="auto"/>
              <w:ind w:firstLine="602" w:firstLineChars="250"/>
              <w:jc w:val="left"/>
              <w:rPr>
                <w:b/>
                <w:bCs/>
                <w:color w:val="auto"/>
                <w:sz w:val="24"/>
                <w:u w:val="none"/>
              </w:rPr>
            </w:pPr>
            <w:r>
              <w:rPr>
                <w:b/>
                <w:bCs/>
                <w:color w:val="auto"/>
                <w:sz w:val="24"/>
                <w:u w:val="none"/>
              </w:rPr>
              <w:t>表</w:t>
            </w:r>
            <w:r>
              <w:rPr>
                <w:rFonts w:hint="eastAsia"/>
                <w:b/>
                <w:bCs/>
                <w:color w:val="auto"/>
                <w:sz w:val="24"/>
                <w:u w:val="none"/>
              </w:rPr>
              <w:t xml:space="preserve">1.6-1 </w:t>
            </w:r>
            <w:r>
              <w:rPr>
                <w:b/>
                <w:bCs/>
                <w:color w:val="auto"/>
                <w:sz w:val="24"/>
                <w:u w:val="none"/>
              </w:rPr>
              <w:t>与《食品生产通用卫生规范》符合性分析一览表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3556"/>
              <w:gridCol w:w="2721"/>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Cs w:val="21"/>
                      <w:u w:val="none"/>
                    </w:rPr>
                    <w:t>项目</w:t>
                  </w:r>
                </w:p>
              </w:tc>
              <w:tc>
                <w:tcPr>
                  <w:tcW w:w="3556"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color w:val="auto"/>
                      <w:szCs w:val="21"/>
                      <w:u w:val="none"/>
                    </w:rPr>
                    <w:t>要求</w:t>
                  </w:r>
                </w:p>
              </w:tc>
              <w:tc>
                <w:tcPr>
                  <w:tcW w:w="2721"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color w:val="auto"/>
                      <w:szCs w:val="21"/>
                      <w:u w:val="none"/>
                    </w:rPr>
                    <w:t>本项目情况</w:t>
                  </w:r>
                </w:p>
              </w:tc>
              <w:tc>
                <w:tcPr>
                  <w:tcW w:w="897"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color w:val="auto"/>
                      <w:szCs w:val="21"/>
                      <w:u w:val="none"/>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Merge w:val="restart"/>
                  <w:tcBorders>
                    <w:top w:val="single" w:color="auto" w:sz="4" w:space="0"/>
                    <w:left w:val="single" w:color="auto" w:sz="4" w:space="0"/>
                    <w:right w:val="single" w:color="auto" w:sz="4" w:space="0"/>
                  </w:tcBorders>
                  <w:vAlign w:val="center"/>
                </w:tcPr>
                <w:p>
                  <w:pPr>
                    <w:jc w:val="left"/>
                    <w:rPr>
                      <w:color w:val="auto"/>
                      <w:szCs w:val="21"/>
                      <w:u w:val="none"/>
                    </w:rPr>
                  </w:pPr>
                  <w:r>
                    <w:rPr>
                      <w:rFonts w:hint="eastAsia"/>
                      <w:color w:val="auto"/>
                      <w:szCs w:val="21"/>
                      <w:u w:val="none"/>
                    </w:rPr>
                    <w:t>选址</w:t>
                  </w:r>
                </w:p>
              </w:tc>
              <w:tc>
                <w:tcPr>
                  <w:tcW w:w="3556"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1、</w:t>
                  </w:r>
                  <w:r>
                    <w:rPr>
                      <w:color w:val="auto"/>
                      <w:szCs w:val="21"/>
                      <w:u w:val="none"/>
                    </w:rPr>
                    <w:t>厂区不应选择对食品有显著污染的区域。如某地对食品安全和食品宜食用性存在明显的不利影响，且无法通过采取措施加以改善，应避免在该地址建厂。</w:t>
                  </w:r>
                </w:p>
              </w:tc>
              <w:tc>
                <w:tcPr>
                  <w:tcW w:w="2721"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项目所在地原为湖南驿通电子科技有限公司、</w:t>
                  </w:r>
                  <w:r>
                    <w:rPr>
                      <w:color w:val="auto"/>
                      <w:szCs w:val="21"/>
                      <w:u w:val="none"/>
                    </w:rPr>
                    <w:t>湘阴康昕家具有限公司</w:t>
                  </w:r>
                  <w:r>
                    <w:rPr>
                      <w:rFonts w:hint="eastAsia"/>
                      <w:color w:val="auto"/>
                      <w:szCs w:val="21"/>
                      <w:u w:val="none"/>
                    </w:rPr>
                    <w:t>生产厂区，原生产设备设施均已拆除，厂区内无遗留废水、废液，危险废物由驿通电子公司委托有资质单位处置，本项目投产前全部清除。根据《湘阴康昕家具有限公司（原湖南驿通电子科技有限公司）地块土壤污染状况初步调查报告》（2025年9月）结论，本地块土壤环境质量满足建设用地第二类用地开发建设要求，土壤环境质量状况处于可接受水平，不属于污染地块。</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Merge w:val="continue"/>
                  <w:tcBorders>
                    <w:left w:val="single" w:color="auto" w:sz="4" w:space="0"/>
                    <w:right w:val="single" w:color="auto" w:sz="4" w:space="0"/>
                  </w:tcBorders>
                  <w:vAlign w:val="center"/>
                </w:tcPr>
                <w:p>
                  <w:pPr>
                    <w:jc w:val="left"/>
                    <w:rPr>
                      <w:color w:val="auto"/>
                      <w:szCs w:val="21"/>
                      <w:u w:val="none"/>
                    </w:rPr>
                  </w:pPr>
                </w:p>
              </w:tc>
              <w:tc>
                <w:tcPr>
                  <w:tcW w:w="3556"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2、</w:t>
                  </w:r>
                  <w:r>
                    <w:rPr>
                      <w:color w:val="auto"/>
                      <w:szCs w:val="21"/>
                      <w:u w:val="none"/>
                    </w:rPr>
                    <w:t>厂区不应选择有害废弃物以及粉尘、有害气体、放射性物质和其他扩散性污染源不能有效清除的地址。</w:t>
                  </w:r>
                </w:p>
              </w:tc>
              <w:tc>
                <w:tcPr>
                  <w:tcW w:w="2721"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本项目北面与湖南湖湘木业有限公司相邻，该公司木板打孔、开孔砂光废气采用移动式布袋除尘器处理后用15m排气筒排放；油漆废气经抽排风设备收集，水帘漆雾净化+活性炭吸附+15m排气筒排放，排气筒未设置在与本项目相邻一侧，该项目已取得环评批复并通过环保验收。且由于本项目生产车间密闭</w:t>
                  </w:r>
                  <w:r>
                    <w:rPr>
                      <w:rFonts w:hint="eastAsia"/>
                      <w:color w:val="auto"/>
                      <w:szCs w:val="21"/>
                      <w:u w:val="none"/>
                      <w:lang w:val="en-US" w:eastAsia="zh-CN"/>
                    </w:rPr>
                    <w:t>并设置洁净车间</w:t>
                  </w:r>
                  <w:r>
                    <w:rPr>
                      <w:rFonts w:hint="eastAsia"/>
                      <w:color w:val="auto"/>
                      <w:szCs w:val="21"/>
                      <w:u w:val="none"/>
                    </w:rPr>
                    <w:t>，因此，湖南湖湘木业有限公司粉尘及有机废气经收集处理达标排放的前提下，对本项目影响较小。</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Merge w:val="continue"/>
                  <w:tcBorders>
                    <w:left w:val="single" w:color="auto" w:sz="4" w:space="0"/>
                    <w:right w:val="single" w:color="auto" w:sz="4" w:space="0"/>
                  </w:tcBorders>
                  <w:vAlign w:val="center"/>
                </w:tcPr>
                <w:p>
                  <w:pPr>
                    <w:jc w:val="left"/>
                    <w:rPr>
                      <w:color w:val="auto"/>
                      <w:szCs w:val="21"/>
                      <w:u w:val="none"/>
                    </w:rPr>
                  </w:pPr>
                </w:p>
              </w:tc>
              <w:tc>
                <w:tcPr>
                  <w:tcW w:w="3556"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3、</w:t>
                  </w:r>
                  <w:r>
                    <w:rPr>
                      <w:color w:val="auto"/>
                      <w:szCs w:val="21"/>
                      <w:u w:val="none"/>
                    </w:rPr>
                    <w:t>厂区不宜择易发生洪涝灾害的地区，难以避开时应设计必要的防范措施。</w:t>
                  </w:r>
                </w:p>
              </w:tc>
              <w:tc>
                <w:tcPr>
                  <w:tcW w:w="2721"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项目所在地不属于</w:t>
                  </w:r>
                  <w:r>
                    <w:rPr>
                      <w:color w:val="auto"/>
                      <w:szCs w:val="21"/>
                      <w:u w:val="none"/>
                    </w:rPr>
                    <w:t>易发生洪涝灾害的地区</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Merge w:val="continue"/>
                  <w:tcBorders>
                    <w:left w:val="single" w:color="auto" w:sz="4" w:space="0"/>
                    <w:bottom w:val="single" w:color="auto" w:sz="4" w:space="0"/>
                    <w:right w:val="single" w:color="auto" w:sz="4" w:space="0"/>
                  </w:tcBorders>
                  <w:vAlign w:val="center"/>
                </w:tcPr>
                <w:p>
                  <w:pPr>
                    <w:jc w:val="left"/>
                    <w:rPr>
                      <w:color w:val="auto"/>
                      <w:szCs w:val="21"/>
                      <w:u w:val="none"/>
                    </w:rPr>
                  </w:pPr>
                </w:p>
              </w:tc>
              <w:tc>
                <w:tcPr>
                  <w:tcW w:w="3556"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4、</w:t>
                  </w:r>
                  <w:r>
                    <w:rPr>
                      <w:color w:val="auto"/>
                      <w:szCs w:val="21"/>
                      <w:u w:val="none"/>
                    </w:rPr>
                    <w:t>厂区周围不宜有虫害大量孳生的潜在场所，难以避开时应设计必要的防范措施。</w:t>
                  </w:r>
                </w:p>
              </w:tc>
              <w:tc>
                <w:tcPr>
                  <w:tcW w:w="2721"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厂区周边无垃圾转运站、填埋场、污水处理厂等</w:t>
                  </w:r>
                  <w:r>
                    <w:rPr>
                      <w:color w:val="auto"/>
                      <w:szCs w:val="21"/>
                      <w:u w:val="none"/>
                    </w:rPr>
                    <w:t>有虫害大量孳生的潜在场所</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Merge w:val="restart"/>
                  <w:tcBorders>
                    <w:top w:val="single" w:color="auto" w:sz="4" w:space="0"/>
                    <w:left w:val="single" w:color="auto" w:sz="4" w:space="0"/>
                    <w:right w:val="single" w:color="auto" w:sz="4" w:space="0"/>
                  </w:tcBorders>
                  <w:vAlign w:val="center"/>
                </w:tcPr>
                <w:p>
                  <w:pPr>
                    <w:jc w:val="left"/>
                    <w:rPr>
                      <w:color w:val="auto"/>
                      <w:szCs w:val="21"/>
                      <w:u w:val="none"/>
                    </w:rPr>
                  </w:pPr>
                  <w:r>
                    <w:rPr>
                      <w:rFonts w:hint="eastAsia"/>
                      <w:color w:val="auto"/>
                      <w:szCs w:val="21"/>
                      <w:u w:val="none"/>
                    </w:rPr>
                    <w:t>厂区环境</w:t>
                  </w:r>
                </w:p>
              </w:tc>
              <w:tc>
                <w:tcPr>
                  <w:tcW w:w="3556"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1、</w:t>
                  </w:r>
                  <w:r>
                    <w:rPr>
                      <w:color w:val="auto"/>
                      <w:szCs w:val="21"/>
                      <w:u w:val="none"/>
                    </w:rPr>
                    <w:t>应考虑环境给食品生产带来的潜在污染风险，并采取适当的措施将其降至最低水平。</w:t>
                  </w:r>
                </w:p>
              </w:tc>
              <w:tc>
                <w:tcPr>
                  <w:tcW w:w="2721"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生产车间密闭，并设置洁净车间。</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Merge w:val="continue"/>
                  <w:tcBorders>
                    <w:left w:val="single" w:color="auto" w:sz="4" w:space="0"/>
                    <w:right w:val="single" w:color="auto" w:sz="4" w:space="0"/>
                  </w:tcBorders>
                  <w:vAlign w:val="center"/>
                </w:tcPr>
                <w:p>
                  <w:pPr>
                    <w:jc w:val="left"/>
                    <w:rPr>
                      <w:color w:val="auto"/>
                      <w:szCs w:val="21"/>
                      <w:u w:val="none"/>
                    </w:rPr>
                  </w:pPr>
                </w:p>
              </w:tc>
              <w:tc>
                <w:tcPr>
                  <w:tcW w:w="3556"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2、</w:t>
                  </w:r>
                  <w:r>
                    <w:rPr>
                      <w:color w:val="auto"/>
                      <w:szCs w:val="21"/>
                      <w:u w:val="none"/>
                    </w:rPr>
                    <w:t>厂区应合理布局，各功能区域划分明显，并有适当的分离或分隔措施，防止交叉污染。</w:t>
                  </w:r>
                </w:p>
              </w:tc>
              <w:tc>
                <w:tcPr>
                  <w:tcW w:w="2721"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厂区</w:t>
                  </w:r>
                  <w:r>
                    <w:rPr>
                      <w:color w:val="auto"/>
                      <w:szCs w:val="21"/>
                      <w:u w:val="none"/>
                    </w:rPr>
                    <w:t>各功能区域划分明显，并有适当的分离或分隔措施</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Merge w:val="continue"/>
                  <w:tcBorders>
                    <w:left w:val="single" w:color="auto" w:sz="4" w:space="0"/>
                    <w:right w:val="single" w:color="auto" w:sz="4" w:space="0"/>
                  </w:tcBorders>
                  <w:vAlign w:val="center"/>
                </w:tcPr>
                <w:p>
                  <w:pPr>
                    <w:jc w:val="left"/>
                    <w:rPr>
                      <w:color w:val="auto"/>
                      <w:szCs w:val="21"/>
                      <w:u w:val="none"/>
                    </w:rPr>
                  </w:pPr>
                </w:p>
              </w:tc>
              <w:tc>
                <w:tcPr>
                  <w:tcW w:w="3556"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3、</w:t>
                  </w:r>
                  <w:r>
                    <w:rPr>
                      <w:color w:val="auto"/>
                      <w:szCs w:val="21"/>
                      <w:u w:val="none"/>
                    </w:rPr>
                    <w:t>厂区内的道路应铺设混凝土、沥青、或者其他硬质材料；空地应采取必要措施，如铺设水泥、地砖或铺设草坪等方式，保持环境清洁，防止正常天气下扬尘和积水等现象的发生。</w:t>
                  </w:r>
                </w:p>
              </w:tc>
              <w:tc>
                <w:tcPr>
                  <w:tcW w:w="2721"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厂区内地面硬化</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Merge w:val="continue"/>
                  <w:tcBorders>
                    <w:left w:val="single" w:color="auto" w:sz="4" w:space="0"/>
                    <w:right w:val="single" w:color="auto" w:sz="4" w:space="0"/>
                  </w:tcBorders>
                  <w:vAlign w:val="center"/>
                </w:tcPr>
                <w:p>
                  <w:pPr>
                    <w:jc w:val="left"/>
                    <w:rPr>
                      <w:color w:val="auto"/>
                      <w:szCs w:val="21"/>
                      <w:u w:val="none"/>
                    </w:rPr>
                  </w:pPr>
                </w:p>
              </w:tc>
              <w:tc>
                <w:tcPr>
                  <w:tcW w:w="3556"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4、</w:t>
                  </w:r>
                  <w:r>
                    <w:rPr>
                      <w:color w:val="auto"/>
                      <w:szCs w:val="21"/>
                      <w:u w:val="none"/>
                    </w:rPr>
                    <w:t>厂区绿化应与生产车间保持适当距离，植被应定期维护，以防止虫害的孳生。</w:t>
                  </w:r>
                </w:p>
              </w:tc>
              <w:tc>
                <w:tcPr>
                  <w:tcW w:w="2721"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厂区绿化与生车间保持适</w:t>
                  </w:r>
                </w:p>
                <w:p>
                  <w:pPr>
                    <w:jc w:val="left"/>
                    <w:rPr>
                      <w:color w:val="auto"/>
                      <w:szCs w:val="21"/>
                      <w:u w:val="none"/>
                    </w:rPr>
                  </w:pPr>
                  <w:r>
                    <w:rPr>
                      <w:rFonts w:hint="eastAsia"/>
                      <w:color w:val="auto"/>
                      <w:szCs w:val="21"/>
                      <w:u w:val="none"/>
                    </w:rPr>
                    <w:t>当距离，植被应定期维护</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Merge w:val="continue"/>
                  <w:tcBorders>
                    <w:left w:val="single" w:color="auto" w:sz="4" w:space="0"/>
                    <w:right w:val="single" w:color="auto" w:sz="4" w:space="0"/>
                  </w:tcBorders>
                  <w:vAlign w:val="center"/>
                </w:tcPr>
                <w:p>
                  <w:pPr>
                    <w:jc w:val="left"/>
                    <w:rPr>
                      <w:color w:val="auto"/>
                      <w:szCs w:val="21"/>
                      <w:u w:val="none"/>
                    </w:rPr>
                  </w:pPr>
                </w:p>
              </w:tc>
              <w:tc>
                <w:tcPr>
                  <w:tcW w:w="3556"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5、</w:t>
                  </w:r>
                  <w:r>
                    <w:rPr>
                      <w:color w:val="auto"/>
                      <w:szCs w:val="21"/>
                      <w:u w:val="none"/>
                    </w:rPr>
                    <w:t>厂区应有适当的排水系统。</w:t>
                  </w:r>
                </w:p>
              </w:tc>
              <w:tc>
                <w:tcPr>
                  <w:tcW w:w="2721"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厂区内雨污分流系统完备</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Merge w:val="continue"/>
                  <w:tcBorders>
                    <w:left w:val="single" w:color="auto" w:sz="4" w:space="0"/>
                    <w:bottom w:val="single" w:color="auto" w:sz="4" w:space="0"/>
                    <w:right w:val="single" w:color="auto" w:sz="4" w:space="0"/>
                  </w:tcBorders>
                  <w:vAlign w:val="center"/>
                </w:tcPr>
                <w:p>
                  <w:pPr>
                    <w:jc w:val="left"/>
                    <w:rPr>
                      <w:color w:val="auto"/>
                      <w:szCs w:val="21"/>
                      <w:u w:val="none"/>
                    </w:rPr>
                  </w:pPr>
                </w:p>
              </w:tc>
              <w:tc>
                <w:tcPr>
                  <w:tcW w:w="3556" w:type="dxa"/>
                  <w:tcBorders>
                    <w:top w:val="single" w:color="auto" w:sz="4" w:space="0"/>
                    <w:left w:val="single" w:color="auto" w:sz="4" w:space="0"/>
                    <w:bottom w:val="single" w:color="auto" w:sz="4" w:space="0"/>
                    <w:right w:val="single" w:color="auto" w:sz="4" w:space="0"/>
                  </w:tcBorders>
                  <w:vAlign w:val="center"/>
                </w:tcPr>
                <w:p>
                  <w:pPr>
                    <w:jc w:val="left"/>
                    <w:rPr>
                      <w:b/>
                      <w:bCs/>
                      <w:color w:val="auto"/>
                      <w:szCs w:val="21"/>
                      <w:u w:val="none"/>
                    </w:rPr>
                  </w:pPr>
                  <w:r>
                    <w:rPr>
                      <w:rFonts w:hint="eastAsia"/>
                      <w:color w:val="auto"/>
                      <w:szCs w:val="21"/>
                      <w:u w:val="none"/>
                    </w:rPr>
                    <w:t>6、</w:t>
                  </w:r>
                  <w:r>
                    <w:rPr>
                      <w:color w:val="auto"/>
                      <w:szCs w:val="21"/>
                      <w:u w:val="none"/>
                    </w:rPr>
                    <w:t>宿舍、食堂、职工娱乐设施等生活区应与生产区保持适当距离或分隔。</w:t>
                  </w:r>
                </w:p>
              </w:tc>
              <w:tc>
                <w:tcPr>
                  <w:tcW w:w="2721"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办公生活区与生产区距离约30m</w:t>
                  </w:r>
                </w:p>
              </w:tc>
              <w:tc>
                <w:tcPr>
                  <w:tcW w:w="897" w:type="dxa"/>
                  <w:tcBorders>
                    <w:top w:val="single" w:color="auto" w:sz="4" w:space="0"/>
                    <w:left w:val="single" w:color="auto" w:sz="4" w:space="0"/>
                    <w:bottom w:val="single" w:color="auto" w:sz="4" w:space="0"/>
                    <w:right w:val="single" w:color="auto" w:sz="4" w:space="0"/>
                  </w:tcBorders>
                  <w:vAlign w:val="center"/>
                </w:tcPr>
                <w:p>
                  <w:pPr>
                    <w:jc w:val="left"/>
                    <w:rPr>
                      <w:color w:val="auto"/>
                      <w:szCs w:val="21"/>
                      <w:u w:val="none"/>
                    </w:rPr>
                  </w:pPr>
                  <w:r>
                    <w:rPr>
                      <w:rFonts w:hint="eastAsia"/>
                      <w:color w:val="auto"/>
                      <w:szCs w:val="21"/>
                      <w:u w:val="none"/>
                    </w:rPr>
                    <w:t>符合</w:t>
                  </w:r>
                </w:p>
              </w:tc>
            </w:tr>
          </w:tbl>
          <w:p>
            <w:pPr>
              <w:spacing w:line="360" w:lineRule="auto"/>
              <w:ind w:firstLine="600" w:firstLineChars="250"/>
              <w:jc w:val="left"/>
              <w:rPr>
                <w:color w:val="auto"/>
                <w:sz w:val="24"/>
                <w:u w:val="none"/>
              </w:rPr>
            </w:pPr>
            <w:r>
              <w:rPr>
                <w:rFonts w:hint="eastAsia"/>
                <w:color w:val="auto"/>
                <w:sz w:val="24"/>
                <w:u w:val="none"/>
              </w:rPr>
              <w:t>由上表可知，本项目选址及厂区环境满足《食品生产通用卫生规范》（GB14881-2013）要求。</w:t>
            </w:r>
          </w:p>
          <w:p>
            <w:pPr>
              <w:spacing w:line="360" w:lineRule="auto"/>
              <w:rPr>
                <w:b/>
                <w:color w:val="auto"/>
                <w:sz w:val="24"/>
                <w:u w:val="none"/>
              </w:rPr>
            </w:pPr>
            <w:r>
              <w:rPr>
                <w:rFonts w:hint="eastAsia"/>
                <w:b/>
                <w:color w:val="auto"/>
                <w:sz w:val="24"/>
                <w:u w:val="none"/>
              </w:rPr>
              <w:t xml:space="preserve">1.7 </w:t>
            </w:r>
            <w:r>
              <w:rPr>
                <w:b/>
                <w:color w:val="auto"/>
                <w:sz w:val="24"/>
                <w:u w:val="none"/>
              </w:rPr>
              <w:t>选址合理性分析</w:t>
            </w:r>
          </w:p>
          <w:p>
            <w:pPr>
              <w:spacing w:line="360" w:lineRule="auto"/>
              <w:ind w:firstLine="482" w:firstLineChars="200"/>
              <w:jc w:val="left"/>
              <w:rPr>
                <w:b/>
                <w:bCs/>
                <w:color w:val="auto"/>
                <w:sz w:val="24"/>
                <w:u w:val="none"/>
              </w:rPr>
            </w:pPr>
            <w:r>
              <w:rPr>
                <w:rFonts w:hint="eastAsia"/>
                <w:b/>
                <w:bCs/>
                <w:color w:val="auto"/>
                <w:sz w:val="24"/>
                <w:u w:val="none"/>
              </w:rPr>
              <w:t>1.7.1 用地性质、产业布局符合性</w:t>
            </w:r>
          </w:p>
          <w:p>
            <w:pPr>
              <w:spacing w:line="360" w:lineRule="auto"/>
              <w:ind w:firstLine="480" w:firstLineChars="200"/>
              <w:jc w:val="left"/>
              <w:rPr>
                <w:color w:val="auto"/>
                <w:sz w:val="24"/>
                <w:u w:val="none"/>
              </w:rPr>
            </w:pPr>
            <w:r>
              <w:rPr>
                <w:rFonts w:hint="eastAsia"/>
                <w:color w:val="auto"/>
                <w:sz w:val="24"/>
                <w:u w:val="none"/>
              </w:rPr>
              <w:t>本项目位于湘阴高新技术产业开发区，面积57557.79m</w:t>
            </w:r>
            <w:r>
              <w:rPr>
                <w:rFonts w:hint="eastAsia"/>
                <w:color w:val="auto"/>
                <w:sz w:val="24"/>
                <w:u w:val="none"/>
                <w:vertAlign w:val="superscript"/>
              </w:rPr>
              <w:t>2</w:t>
            </w:r>
            <w:r>
              <w:rPr>
                <w:rFonts w:hint="eastAsia"/>
                <w:color w:val="auto"/>
                <w:sz w:val="24"/>
                <w:u w:val="none"/>
              </w:rPr>
              <w:t>，根据《湘阴县国土空间总体规划（2021-2035年）中心城区土地使用规划图</w:t>
            </w:r>
            <w:r>
              <w:rPr>
                <w:rFonts w:hint="eastAsia"/>
                <w:color w:val="auto"/>
                <w:sz w:val="24"/>
                <w:highlight w:val="none"/>
                <w:u w:val="none"/>
              </w:rPr>
              <w:t>》</w:t>
            </w:r>
            <w:r>
              <w:rPr>
                <w:rFonts w:hint="eastAsia"/>
                <w:color w:val="auto"/>
                <w:sz w:val="24"/>
                <w:highlight w:val="none"/>
                <w:u w:val="none"/>
                <w:lang w:eastAsia="zh-CN"/>
              </w:rPr>
              <w:t>（</w:t>
            </w:r>
            <w:r>
              <w:rPr>
                <w:rFonts w:hint="eastAsia"/>
                <w:color w:val="auto"/>
                <w:sz w:val="24"/>
                <w:highlight w:val="none"/>
                <w:u w:val="none"/>
                <w:lang w:val="en-US" w:eastAsia="zh-CN"/>
              </w:rPr>
              <w:t>附图6</w:t>
            </w:r>
            <w:r>
              <w:rPr>
                <w:rFonts w:hint="eastAsia"/>
                <w:color w:val="auto"/>
                <w:sz w:val="24"/>
                <w:highlight w:val="none"/>
                <w:u w:val="none"/>
                <w:lang w:eastAsia="zh-CN"/>
              </w:rPr>
              <w:t>）</w:t>
            </w:r>
            <w:r>
              <w:rPr>
                <w:rFonts w:hint="eastAsia"/>
                <w:color w:val="auto"/>
                <w:sz w:val="24"/>
                <w:highlight w:val="none"/>
                <w:u w:val="none"/>
              </w:rPr>
              <w:t>，本地块规划用地性质为工业用地</w:t>
            </w:r>
            <w:r>
              <w:rPr>
                <w:rFonts w:hint="eastAsia"/>
                <w:color w:val="auto"/>
                <w:sz w:val="24"/>
                <w:highlight w:val="none"/>
                <w:u w:val="none"/>
                <w:lang w:eastAsia="zh-CN"/>
              </w:rPr>
              <w:t>，</w:t>
            </w:r>
            <w:r>
              <w:rPr>
                <w:rFonts w:hint="eastAsia"/>
                <w:color w:val="auto"/>
                <w:sz w:val="24"/>
                <w:highlight w:val="none"/>
                <w:u w:val="none"/>
                <w:lang w:val="en-US" w:eastAsia="zh-CN"/>
              </w:rPr>
              <w:t>本项目用地符合土地使用规划</w:t>
            </w:r>
            <w:r>
              <w:rPr>
                <w:rFonts w:hint="eastAsia"/>
                <w:color w:val="auto"/>
                <w:sz w:val="24"/>
                <w:highlight w:val="none"/>
                <w:u w:val="none"/>
                <w:lang w:eastAsia="zh-CN"/>
              </w:rPr>
              <w:t>；</w:t>
            </w:r>
            <w:r>
              <w:rPr>
                <w:rFonts w:hint="eastAsia"/>
                <w:color w:val="auto"/>
                <w:sz w:val="24"/>
                <w:highlight w:val="none"/>
                <w:u w:val="none"/>
                <w:lang w:val="en-US" w:eastAsia="zh-CN"/>
              </w:rPr>
              <w:t>同时根据</w:t>
            </w:r>
            <w:r>
              <w:rPr>
                <w:rFonts w:hint="eastAsia"/>
                <w:color w:val="auto"/>
                <w:sz w:val="24"/>
                <w:u w:val="none"/>
              </w:rPr>
              <w:t>《湖南湘阴高新区近期规划（2020-2025）-洋沙湖片区</w:t>
            </w:r>
            <w:r>
              <w:rPr>
                <w:rFonts w:hint="eastAsia"/>
                <w:color w:val="auto"/>
                <w:sz w:val="24"/>
                <w:u w:val="none"/>
                <w:lang w:val="en-US" w:eastAsia="zh-CN"/>
              </w:rPr>
              <w:t>土地利用现状</w:t>
            </w:r>
            <w:r>
              <w:rPr>
                <w:rFonts w:hint="eastAsia"/>
                <w:color w:val="auto"/>
                <w:sz w:val="24"/>
                <w:u w:val="none"/>
              </w:rPr>
              <w:t>图》</w:t>
            </w:r>
            <w:r>
              <w:rPr>
                <w:rFonts w:hint="eastAsia"/>
                <w:color w:val="auto"/>
                <w:sz w:val="24"/>
                <w:u w:val="none"/>
                <w:lang w:eastAsia="zh-CN"/>
              </w:rPr>
              <w:t>（</w:t>
            </w:r>
            <w:r>
              <w:rPr>
                <w:rFonts w:hint="eastAsia"/>
                <w:color w:val="auto"/>
                <w:sz w:val="24"/>
                <w:u w:val="none"/>
                <w:lang w:val="en-US" w:eastAsia="zh-CN"/>
              </w:rPr>
              <w:t>附图7</w:t>
            </w:r>
            <w:r>
              <w:rPr>
                <w:rFonts w:hint="eastAsia"/>
                <w:color w:val="auto"/>
                <w:sz w:val="24"/>
                <w:u w:val="none"/>
                <w:lang w:eastAsia="zh-CN"/>
              </w:rPr>
              <w:t>），</w:t>
            </w:r>
            <w:r>
              <w:rPr>
                <w:rFonts w:hint="eastAsia"/>
                <w:color w:val="auto"/>
                <w:sz w:val="24"/>
                <w:u w:val="none"/>
                <w:lang w:val="en-US" w:eastAsia="zh-CN"/>
              </w:rPr>
              <w:t>本项目所在地及南、西、北面相邻地块土地利用现状为二类工业用地，本项目未改变土地利用性质</w:t>
            </w:r>
            <w:r>
              <w:rPr>
                <w:rFonts w:hint="eastAsia"/>
                <w:color w:val="auto"/>
                <w:sz w:val="24"/>
                <w:highlight w:val="none"/>
                <w:u w:val="none"/>
              </w:rPr>
              <w:t>。</w:t>
            </w:r>
          </w:p>
          <w:p>
            <w:pPr>
              <w:spacing w:line="360" w:lineRule="auto"/>
              <w:ind w:firstLine="480" w:firstLineChars="200"/>
              <w:jc w:val="left"/>
              <w:rPr>
                <w:color w:val="auto"/>
                <w:sz w:val="24"/>
                <w:u w:val="none"/>
              </w:rPr>
            </w:pPr>
            <w:r>
              <w:rPr>
                <w:rFonts w:hint="eastAsia"/>
                <w:color w:val="auto"/>
                <w:sz w:val="24"/>
                <w:u w:val="none"/>
              </w:rPr>
              <w:t>根据《湖南湘阴高新区近期规划（2020-2025）-洋沙湖片区产业布局规划图》</w:t>
            </w:r>
            <w:r>
              <w:rPr>
                <w:rFonts w:hint="eastAsia"/>
                <w:color w:val="auto"/>
                <w:sz w:val="24"/>
                <w:u w:val="none"/>
                <w:lang w:eastAsia="zh-CN"/>
              </w:rPr>
              <w:t>（</w:t>
            </w:r>
            <w:r>
              <w:rPr>
                <w:rFonts w:hint="eastAsia"/>
                <w:color w:val="auto"/>
                <w:sz w:val="24"/>
                <w:u w:val="none"/>
                <w:lang w:val="en-US" w:eastAsia="zh-CN"/>
              </w:rPr>
              <w:t>附图8</w:t>
            </w:r>
            <w:r>
              <w:rPr>
                <w:rFonts w:hint="eastAsia"/>
                <w:color w:val="auto"/>
                <w:sz w:val="24"/>
                <w:u w:val="none"/>
                <w:lang w:eastAsia="zh-CN"/>
              </w:rPr>
              <w:t>）</w:t>
            </w:r>
            <w:r>
              <w:rPr>
                <w:rFonts w:hint="eastAsia"/>
                <w:color w:val="auto"/>
                <w:sz w:val="24"/>
                <w:u w:val="none"/>
              </w:rPr>
              <w:t>，项目所在地为</w:t>
            </w:r>
            <w:r>
              <w:rPr>
                <w:color w:val="auto"/>
                <w:sz w:val="24"/>
                <w:u w:val="none"/>
              </w:rPr>
              <w:t>食品加工、电子信息产业集聚区</w:t>
            </w:r>
            <w:r>
              <w:rPr>
                <w:rFonts w:hint="eastAsia"/>
                <w:color w:val="auto"/>
                <w:sz w:val="24"/>
                <w:u w:val="none"/>
              </w:rPr>
              <w:t>，本项目为食品加工项目，选址符合产业布局要求。</w:t>
            </w:r>
          </w:p>
          <w:p>
            <w:pPr>
              <w:spacing w:line="360" w:lineRule="auto"/>
              <w:ind w:firstLine="482" w:firstLineChars="200"/>
              <w:jc w:val="left"/>
              <w:rPr>
                <w:b/>
                <w:bCs/>
                <w:color w:val="auto"/>
                <w:sz w:val="24"/>
                <w:u w:val="none"/>
              </w:rPr>
            </w:pPr>
            <w:r>
              <w:rPr>
                <w:rFonts w:hint="eastAsia"/>
                <w:b/>
                <w:bCs/>
                <w:color w:val="auto"/>
                <w:sz w:val="24"/>
                <w:u w:val="none"/>
              </w:rPr>
              <w:t>1.7.</w:t>
            </w:r>
            <w:r>
              <w:rPr>
                <w:rFonts w:hint="eastAsia"/>
                <w:b/>
                <w:bCs/>
                <w:color w:val="auto"/>
                <w:sz w:val="24"/>
                <w:u w:val="none"/>
                <w:lang w:val="en-US" w:eastAsia="zh-CN"/>
              </w:rPr>
              <w:t>2</w:t>
            </w:r>
            <w:r>
              <w:rPr>
                <w:rFonts w:hint="eastAsia"/>
                <w:b/>
                <w:bCs/>
                <w:color w:val="auto"/>
                <w:sz w:val="24"/>
                <w:u w:val="none"/>
              </w:rPr>
              <w:t xml:space="preserve"> 地块遗留污染问题</w:t>
            </w:r>
          </w:p>
          <w:p>
            <w:pPr>
              <w:spacing w:line="360" w:lineRule="auto"/>
              <w:ind w:firstLine="480" w:firstLineChars="200"/>
              <w:jc w:val="left"/>
              <w:rPr>
                <w:b/>
                <w:bCs/>
                <w:color w:val="auto"/>
                <w:sz w:val="24"/>
                <w:u w:val="none"/>
              </w:rPr>
            </w:pPr>
            <w:r>
              <w:rPr>
                <w:color w:val="auto"/>
                <w:sz w:val="24"/>
                <w:u w:val="none"/>
              </w:rPr>
              <w:t>项目所在地原为湖南驿通电子科技有限公司、湘阴康昕家具有限公司生产厂区，原生产设备设施均已拆除，厂区内无遗留废水、废液，危险废物由驿通电子公司委托有资质单位处置，本项目投产前全部清除</w:t>
            </w:r>
            <w:r>
              <w:rPr>
                <w:rFonts w:hint="eastAsia"/>
                <w:color w:val="auto"/>
                <w:sz w:val="24"/>
                <w:u w:val="none"/>
              </w:rPr>
              <w:t>。</w:t>
            </w:r>
            <w:r>
              <w:rPr>
                <w:color w:val="auto"/>
                <w:sz w:val="24"/>
                <w:u w:val="none"/>
              </w:rPr>
              <w:t>根据《湘阴康昕家具有限公司（原湖南驿通电子科技有限公司）地块土壤污染状况初步调查报告》（2025年9月）结论，本地块土壤环境质量满足建设用地第二类用地开发建设要求，土壤环境质量状况处于可接受水平，不属于污染地块。</w:t>
            </w:r>
            <w:r>
              <w:rPr>
                <w:rFonts w:hint="eastAsia"/>
                <w:color w:val="auto"/>
                <w:sz w:val="24"/>
                <w:u w:val="none"/>
              </w:rPr>
              <w:t>因此本项目建设前，地块遗留污染可得到妥善处理，不会对项目用地造成明显不利影响。</w:t>
            </w:r>
          </w:p>
          <w:p>
            <w:pPr>
              <w:spacing w:line="360" w:lineRule="auto"/>
              <w:ind w:firstLine="482" w:firstLineChars="200"/>
              <w:jc w:val="left"/>
              <w:rPr>
                <w:b/>
                <w:bCs/>
                <w:color w:val="auto"/>
                <w:sz w:val="24"/>
                <w:u w:val="none"/>
              </w:rPr>
            </w:pPr>
            <w:r>
              <w:rPr>
                <w:rFonts w:hint="eastAsia"/>
                <w:b/>
                <w:bCs/>
                <w:color w:val="auto"/>
                <w:sz w:val="24"/>
                <w:u w:val="none"/>
              </w:rPr>
              <w:t>1.7.</w:t>
            </w:r>
            <w:r>
              <w:rPr>
                <w:rFonts w:hint="eastAsia"/>
                <w:b/>
                <w:bCs/>
                <w:color w:val="auto"/>
                <w:sz w:val="24"/>
                <w:u w:val="none"/>
                <w:lang w:val="en-US" w:eastAsia="zh-CN"/>
              </w:rPr>
              <w:t>3</w:t>
            </w:r>
            <w:r>
              <w:rPr>
                <w:rFonts w:hint="eastAsia"/>
                <w:b/>
                <w:bCs/>
                <w:color w:val="auto"/>
                <w:sz w:val="24"/>
                <w:u w:val="none"/>
              </w:rPr>
              <w:t xml:space="preserve"> 与周边企业相容性</w:t>
            </w:r>
          </w:p>
          <w:p>
            <w:pPr>
              <w:spacing w:line="360" w:lineRule="auto"/>
              <w:ind w:firstLine="480" w:firstLineChars="200"/>
              <w:jc w:val="left"/>
              <w:rPr>
                <w:color w:val="auto"/>
                <w:sz w:val="24"/>
                <w:u w:val="none"/>
              </w:rPr>
            </w:pPr>
            <w:r>
              <w:rPr>
                <w:rFonts w:hint="eastAsia"/>
                <w:color w:val="auto"/>
                <w:sz w:val="24"/>
                <w:u w:val="none"/>
              </w:rPr>
              <w:t>根据现场调查，与本项目地块相邻的企业为北面</w:t>
            </w:r>
            <w:r>
              <w:rPr>
                <w:color w:val="auto"/>
                <w:sz w:val="24"/>
                <w:u w:val="none"/>
              </w:rPr>
              <w:t>湖南湖湘木业有限公司，</w:t>
            </w:r>
            <w:r>
              <w:rPr>
                <w:rFonts w:hint="eastAsia"/>
                <w:color w:val="auto"/>
                <w:sz w:val="24"/>
                <w:u w:val="none"/>
              </w:rPr>
              <w:t>南面为湖南义丰祥实业有限公司、湖南善源生物科技有限公司。湖南义丰祥实业有限公司生产酱油、食醋，湖南善源生物科技有限公司生产保健食品，均为食品生产企业，与本项目无相互影响。北面</w:t>
            </w:r>
            <w:r>
              <w:rPr>
                <w:color w:val="auto"/>
                <w:sz w:val="24"/>
                <w:u w:val="none"/>
              </w:rPr>
              <w:t>湖南湖湘木业有限公司</w:t>
            </w:r>
            <w:r>
              <w:rPr>
                <w:rFonts w:hint="eastAsia"/>
                <w:color w:val="auto"/>
                <w:sz w:val="24"/>
                <w:u w:val="none"/>
              </w:rPr>
              <w:t>为封闭式生产厂房，</w:t>
            </w:r>
            <w:r>
              <w:rPr>
                <w:color w:val="auto"/>
                <w:sz w:val="24"/>
                <w:u w:val="none"/>
              </w:rPr>
              <w:t>木板打孔、开孔砂光废气采用移动式布袋除尘器处理后用15m排气筒排放；油漆废气经抽排风设备收集，水帘漆雾净化+活性炭吸附+15m排气筒排放，排气筒未设置在与本项目相邻一侧，该项目已取得环评批复并通过环保验收。且由于本项目生产车间密闭</w:t>
            </w:r>
            <w:r>
              <w:rPr>
                <w:rFonts w:hint="eastAsia"/>
                <w:color w:val="auto"/>
                <w:sz w:val="24"/>
                <w:u w:val="none"/>
              </w:rPr>
              <w:t>并设置洁净车间，受外环境影响较小。</w:t>
            </w:r>
            <w:r>
              <w:rPr>
                <w:color w:val="auto"/>
                <w:sz w:val="24"/>
                <w:u w:val="none"/>
              </w:rPr>
              <w:t>因此，湖南湖湘木业有限公司粉尘及有机废气经收集处理达标排放的前提下，对本项目影响较小。</w:t>
            </w:r>
          </w:p>
          <w:p>
            <w:pPr>
              <w:spacing w:line="360" w:lineRule="auto"/>
              <w:ind w:firstLine="482" w:firstLineChars="200"/>
              <w:jc w:val="left"/>
              <w:rPr>
                <w:b/>
                <w:bCs/>
                <w:color w:val="auto"/>
                <w:sz w:val="24"/>
                <w:u w:val="none"/>
              </w:rPr>
            </w:pPr>
            <w:r>
              <w:rPr>
                <w:rFonts w:hint="eastAsia"/>
                <w:b/>
                <w:bCs/>
                <w:color w:val="auto"/>
                <w:sz w:val="24"/>
                <w:u w:val="none"/>
              </w:rPr>
              <w:t>1.7.</w:t>
            </w:r>
            <w:r>
              <w:rPr>
                <w:rFonts w:hint="eastAsia"/>
                <w:b/>
                <w:bCs/>
                <w:color w:val="auto"/>
                <w:sz w:val="24"/>
                <w:u w:val="none"/>
                <w:lang w:val="en-US" w:eastAsia="zh-CN"/>
              </w:rPr>
              <w:t>4</w:t>
            </w:r>
            <w:r>
              <w:rPr>
                <w:rFonts w:hint="eastAsia"/>
                <w:b/>
                <w:bCs/>
                <w:color w:val="auto"/>
                <w:sz w:val="24"/>
                <w:u w:val="none"/>
              </w:rPr>
              <w:t xml:space="preserve"> 对环境敏感目标的环境影响</w:t>
            </w:r>
          </w:p>
          <w:p>
            <w:pPr>
              <w:spacing w:line="360" w:lineRule="auto"/>
              <w:ind w:firstLine="480" w:firstLineChars="200"/>
              <w:jc w:val="left"/>
              <w:rPr>
                <w:color w:val="auto"/>
                <w:sz w:val="24"/>
                <w:u w:val="none"/>
              </w:rPr>
            </w:pPr>
            <w:r>
              <w:rPr>
                <w:rFonts w:hint="eastAsia"/>
                <w:color w:val="auto"/>
                <w:sz w:val="24"/>
                <w:u w:val="none"/>
              </w:rPr>
              <w:t>项目建成后对产生的各类污染物，均采取相应有效的环保措施，确保达标排放。在落实好工程各项污染防治措施的前提下，项目对周围环境影响较小，从环保角度看，区域环境空气质量较好，项目运行后，不会改变区域环境空气质量，项目不会对周围环境敏感点造成明显影响。</w:t>
            </w:r>
          </w:p>
          <w:p>
            <w:pPr>
              <w:spacing w:line="360" w:lineRule="auto"/>
              <w:ind w:firstLine="480" w:firstLineChars="200"/>
              <w:jc w:val="left"/>
              <w:rPr>
                <w:color w:val="auto"/>
                <w:sz w:val="24"/>
                <w:u w:val="none"/>
              </w:rPr>
            </w:pPr>
            <w:r>
              <w:rPr>
                <w:rFonts w:hint="eastAsia"/>
                <w:color w:val="auto"/>
                <w:sz w:val="24"/>
                <w:u w:val="none"/>
              </w:rPr>
              <w:t>综上所述，项目选址可行。</w:t>
            </w:r>
          </w:p>
          <w:p>
            <w:pPr>
              <w:spacing w:line="360" w:lineRule="auto"/>
              <w:rPr>
                <w:b/>
                <w:bCs/>
                <w:color w:val="auto"/>
                <w:sz w:val="24"/>
                <w:u w:val="none"/>
              </w:rPr>
            </w:pPr>
            <w:r>
              <w:rPr>
                <w:rFonts w:hint="eastAsia"/>
                <w:b/>
                <w:bCs/>
                <w:color w:val="auto"/>
                <w:sz w:val="24"/>
                <w:u w:val="none"/>
              </w:rPr>
              <w:t>1.8平面布局</w:t>
            </w:r>
            <w:r>
              <w:rPr>
                <w:b/>
                <w:bCs/>
                <w:color w:val="auto"/>
                <w:sz w:val="24"/>
                <w:u w:val="none"/>
              </w:rPr>
              <w:t>合理性分析</w:t>
            </w:r>
          </w:p>
          <w:p>
            <w:pPr>
              <w:spacing w:line="360" w:lineRule="auto"/>
              <w:ind w:firstLine="480" w:firstLineChars="200"/>
              <w:jc w:val="left"/>
              <w:rPr>
                <w:rFonts w:hint="default" w:eastAsia="宋体"/>
                <w:color w:val="auto"/>
                <w:sz w:val="24"/>
                <w:u w:val="none"/>
                <w:lang w:val="en-US" w:eastAsia="zh-CN"/>
              </w:rPr>
            </w:pPr>
            <w:r>
              <w:rPr>
                <w:rFonts w:hint="eastAsia"/>
                <w:color w:val="auto"/>
                <w:sz w:val="24"/>
                <w:u w:val="none"/>
              </w:rPr>
              <w:t>本项目大体上呈矩形分布，厂区大门位于厂区东侧，办公生活区与生产区分开布置。办公生活区位于厂区东侧，由北至南依次为食堂、员工宿舍楼、办公楼、科研楼。</w:t>
            </w:r>
            <w:r>
              <w:rPr>
                <w:rFonts w:hint="eastAsia"/>
                <w:color w:val="auto"/>
                <w:sz w:val="24"/>
                <w:u w:val="none"/>
                <w:lang w:val="en-US" w:eastAsia="zh-CN"/>
              </w:rPr>
              <w:t>厂区平面布置详见附图2，生产车间平面布置详见附图3.</w:t>
            </w:r>
          </w:p>
          <w:p>
            <w:pPr>
              <w:spacing w:line="360" w:lineRule="auto"/>
              <w:ind w:firstLine="480" w:firstLineChars="200"/>
              <w:jc w:val="left"/>
              <w:rPr>
                <w:color w:val="auto"/>
                <w:sz w:val="24"/>
                <w:u w:val="none"/>
              </w:rPr>
            </w:pPr>
            <w:r>
              <w:rPr>
                <w:rFonts w:hint="eastAsia"/>
                <w:color w:val="auto"/>
                <w:sz w:val="24"/>
                <w:u w:val="none"/>
              </w:rPr>
              <w:t>生产区位于厂区西侧及中部，西至东依次为1#车间、2#车间、3#车间、4#车间、食用油</w:t>
            </w:r>
            <w:r>
              <w:rPr>
                <w:rFonts w:hint="eastAsia"/>
                <w:color w:val="auto"/>
                <w:sz w:val="24"/>
                <w:u w:val="none"/>
                <w:lang w:val="en-US" w:eastAsia="zh-CN"/>
              </w:rPr>
              <w:t>罐区</w:t>
            </w:r>
            <w:r>
              <w:rPr>
                <w:rFonts w:hint="eastAsia"/>
                <w:color w:val="auto"/>
                <w:sz w:val="24"/>
                <w:u w:val="none"/>
              </w:rPr>
              <w:t>，其中1#~3#车间均1层钢结构厂房，作为仓库使用。4#车间为本项目主要生产车间，位于厂区中部，远离东面及西面环境敏感目标。4#车间为3层钢结构厂房，1楼北侧为原料库，南侧为成品库；2楼部分区域为洁净工作区，设置10万级洁净净化系统，北侧为剁辣椒、油辣椒、下饭菜生产线，主要布置预处理间、炒制调味间、内包装间、外包装间；2楼西北侧为植物油分装生产线</w:t>
            </w:r>
            <w:r>
              <w:rPr>
                <w:rFonts w:hint="eastAsia"/>
                <w:color w:val="auto"/>
                <w:sz w:val="24"/>
                <w:u w:val="none"/>
                <w:lang w:eastAsia="zh-CN"/>
              </w:rPr>
              <w:t>，</w:t>
            </w:r>
            <w:r>
              <w:rPr>
                <w:rFonts w:hint="eastAsia"/>
                <w:color w:val="auto"/>
                <w:sz w:val="24"/>
                <w:u w:val="none"/>
                <w:lang w:val="en-US" w:eastAsia="zh-CN"/>
              </w:rPr>
              <w:t>主要布置食用油罐、灌装间、内包装间</w:t>
            </w:r>
            <w:r>
              <w:rPr>
                <w:rFonts w:hint="eastAsia"/>
                <w:color w:val="auto"/>
                <w:sz w:val="24"/>
                <w:u w:val="none"/>
              </w:rPr>
              <w:t>；2楼中部为豆豉生产线，主要布置蒸料</w:t>
            </w:r>
            <w:r>
              <w:rPr>
                <w:rFonts w:hint="eastAsia"/>
                <w:color w:val="auto"/>
                <w:sz w:val="24"/>
                <w:u w:val="none"/>
                <w:lang w:val="en-US" w:eastAsia="zh-CN"/>
              </w:rPr>
              <w:t>间</w:t>
            </w:r>
            <w:r>
              <w:rPr>
                <w:rFonts w:hint="eastAsia"/>
                <w:color w:val="auto"/>
                <w:sz w:val="24"/>
                <w:u w:val="none"/>
              </w:rPr>
              <w:t>、前期发酵</w:t>
            </w:r>
            <w:r>
              <w:rPr>
                <w:rFonts w:hint="eastAsia"/>
                <w:color w:val="auto"/>
                <w:sz w:val="24"/>
                <w:u w:val="none"/>
                <w:lang w:val="en-US" w:eastAsia="zh-CN"/>
              </w:rPr>
              <w:t>间</w:t>
            </w:r>
            <w:r>
              <w:rPr>
                <w:rFonts w:hint="eastAsia"/>
                <w:color w:val="auto"/>
                <w:sz w:val="24"/>
                <w:u w:val="none"/>
              </w:rPr>
              <w:t>、发酵</w:t>
            </w:r>
            <w:r>
              <w:rPr>
                <w:rFonts w:hint="eastAsia"/>
                <w:color w:val="auto"/>
                <w:sz w:val="24"/>
                <w:u w:val="none"/>
                <w:lang w:val="en-US" w:eastAsia="zh-CN"/>
              </w:rPr>
              <w:t>间、腌制发酵间</w:t>
            </w:r>
            <w:r>
              <w:rPr>
                <w:rFonts w:hint="eastAsia"/>
                <w:color w:val="auto"/>
                <w:sz w:val="24"/>
                <w:u w:val="none"/>
              </w:rPr>
              <w:t>、冷库、临时库房、整理调制区、内包装库、内包装间、外包装间；2楼南侧为腐乳生产线，主要布置制坯间、前期发酵间、清洗</w:t>
            </w:r>
            <w:r>
              <w:rPr>
                <w:rFonts w:hint="eastAsia"/>
                <w:color w:val="auto"/>
                <w:sz w:val="24"/>
                <w:u w:val="none"/>
                <w:lang w:val="en-US" w:eastAsia="zh-CN"/>
              </w:rPr>
              <w:t>间</w:t>
            </w:r>
            <w:r>
              <w:rPr>
                <w:rFonts w:hint="eastAsia"/>
                <w:color w:val="auto"/>
                <w:sz w:val="24"/>
                <w:u w:val="none"/>
              </w:rPr>
              <w:t>、腌制</w:t>
            </w:r>
            <w:r>
              <w:rPr>
                <w:rFonts w:hint="eastAsia"/>
                <w:color w:val="auto"/>
                <w:sz w:val="24"/>
                <w:u w:val="none"/>
                <w:lang w:val="en-US" w:eastAsia="zh-CN"/>
              </w:rPr>
              <w:t>间</w:t>
            </w:r>
            <w:r>
              <w:rPr>
                <w:rFonts w:hint="eastAsia"/>
                <w:color w:val="auto"/>
                <w:sz w:val="24"/>
                <w:u w:val="none"/>
              </w:rPr>
              <w:t>、装瓶间、发酵仓库、整理间、外包装间；3楼为包装材料仓库。</w:t>
            </w:r>
          </w:p>
          <w:p>
            <w:pPr>
              <w:spacing w:line="360" w:lineRule="auto"/>
              <w:ind w:firstLine="480" w:firstLineChars="200"/>
              <w:jc w:val="left"/>
              <w:rPr>
                <w:color w:val="auto"/>
                <w:sz w:val="24"/>
                <w:u w:val="none"/>
              </w:rPr>
            </w:pPr>
            <w:r>
              <w:rPr>
                <w:rFonts w:hint="eastAsia"/>
                <w:color w:val="auto"/>
                <w:sz w:val="24"/>
                <w:u w:val="none"/>
              </w:rPr>
              <w:t>污水处理站在原驿通电子污水站原址建设，位于4#车间北面，尽量远离东面及西面环境敏感目标，污水站臭气收集至除臭系统处理后经排气筒排放，减轻对周边敏感目标的影响。一般固废间及危废间利用原驿通电子固废间及危废间改造建设，位于厂区北侧。锅炉房设置于厂区北侧。</w:t>
            </w:r>
          </w:p>
          <w:p>
            <w:pPr>
              <w:spacing w:line="360" w:lineRule="auto"/>
              <w:ind w:firstLine="480" w:firstLineChars="200"/>
              <w:jc w:val="left"/>
              <w:rPr>
                <w:color w:val="auto"/>
                <w:sz w:val="24"/>
                <w:u w:val="none"/>
              </w:rPr>
            </w:pPr>
            <w:r>
              <w:rPr>
                <w:rFonts w:hint="eastAsia"/>
                <w:color w:val="auto"/>
                <w:sz w:val="24"/>
                <w:u w:val="none"/>
              </w:rPr>
              <w:t>本项目平面布置充分利用厂区空间与资源，工艺流程顺畅。本项目生产区按照生产工艺流程合理布置，项目总图布置在满足项目的工艺、运输、防火、卫生及安全要求的前提下，合理利用土地、功能分区明确、组织协作良好，方便联系和管理，避免人流、物流相互干扰，确保生产运输和安全，厂区平面布置各分区的布置规划整齐，既方便内外联系，方便厂区内物料转移。主要生产车间（4#车间）位于厂区中部，污水处理站设置于4#车间北面，生产车间及污水处理站尽可能远离环境保护目标，平面布置合理。综上所述，从环境保护角度分析，本项目平面布局合理。</w:t>
            </w:r>
          </w:p>
          <w:p>
            <w:pPr>
              <w:spacing w:line="360" w:lineRule="auto"/>
              <w:ind w:firstLine="480" w:firstLineChars="200"/>
              <w:jc w:val="left"/>
              <w:rPr>
                <w:color w:val="auto"/>
                <w:sz w:val="24"/>
                <w:u w:val="none"/>
              </w:rPr>
            </w:pPr>
          </w:p>
        </w:tc>
      </w:tr>
    </w:tbl>
    <w:p>
      <w:pPr>
        <w:spacing w:line="360" w:lineRule="auto"/>
        <w:rPr>
          <w:color w:val="auto"/>
          <w:sz w:val="30"/>
          <w:u w:val="none"/>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23"/>
        <w:jc w:val="center"/>
        <w:outlineLvl w:val="0"/>
        <w:rPr>
          <w:rFonts w:ascii="Times New Roman" w:hAnsi="Times New Roman"/>
          <w:snapToGrid w:val="0"/>
          <w:color w:val="auto"/>
          <w:sz w:val="30"/>
          <w:szCs w:val="30"/>
          <w:u w:val="none"/>
        </w:rPr>
      </w:pPr>
      <w:bookmarkStart w:id="6" w:name="_Toc6341"/>
      <w:r>
        <w:rPr>
          <w:rFonts w:ascii="Times New Roman" w:hAnsi="Times New Roman"/>
          <w:snapToGrid w:val="0"/>
          <w:color w:val="auto"/>
          <w:sz w:val="30"/>
          <w:szCs w:val="30"/>
          <w:u w:val="none"/>
        </w:rPr>
        <w:t>二、建设项目工程分析</w:t>
      </w:r>
      <w:bookmarkEnd w:id="6"/>
    </w:p>
    <w:tbl>
      <w:tblPr>
        <w:tblStyle w:val="27"/>
        <w:tblW w:w="500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86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60" w:hRule="atLeast"/>
          <w:jc w:val="center"/>
        </w:trPr>
        <w:tc>
          <w:tcPr>
            <w:tcW w:w="261" w:type="pct"/>
            <w:vAlign w:val="center"/>
          </w:tcPr>
          <w:p>
            <w:pPr>
              <w:pStyle w:val="23"/>
              <w:adjustRightInd w:val="0"/>
              <w:snapToGrid w:val="0"/>
              <w:spacing w:before="0" w:beforeAutospacing="0" w:after="0" w:afterAutospacing="0"/>
              <w:jc w:val="center"/>
              <w:rPr>
                <w:rFonts w:ascii="Times New Roman" w:hAnsi="Times New Roman"/>
                <w:color w:val="auto"/>
                <w:szCs w:val="24"/>
                <w:u w:val="none"/>
                <w:lang w:val="en-US" w:eastAsia="zh-CN"/>
              </w:rPr>
            </w:pPr>
            <w:r>
              <w:rPr>
                <w:rFonts w:ascii="Times New Roman" w:hAnsi="Times New Roman"/>
                <w:color w:val="auto"/>
                <w:szCs w:val="24"/>
                <w:u w:val="none"/>
                <w:lang w:val="en-US" w:eastAsia="zh-CN"/>
              </w:rPr>
              <w:t>建设内容</w:t>
            </w:r>
          </w:p>
        </w:tc>
        <w:tc>
          <w:tcPr>
            <w:tcW w:w="4738" w:type="pct"/>
          </w:tcPr>
          <w:p>
            <w:pPr>
              <w:spacing w:line="360" w:lineRule="auto"/>
              <w:rPr>
                <w:b/>
                <w:color w:val="auto"/>
                <w:sz w:val="24"/>
                <w:u w:val="none"/>
              </w:rPr>
            </w:pPr>
            <w:r>
              <w:rPr>
                <w:rFonts w:hint="eastAsia"/>
                <w:b/>
                <w:color w:val="auto"/>
                <w:sz w:val="24"/>
                <w:u w:val="none"/>
              </w:rPr>
              <w:t xml:space="preserve">2.1 </w:t>
            </w:r>
            <w:r>
              <w:rPr>
                <w:b/>
                <w:color w:val="auto"/>
                <w:sz w:val="24"/>
                <w:u w:val="none"/>
              </w:rPr>
              <w:t>项目由来</w:t>
            </w:r>
          </w:p>
          <w:p>
            <w:pPr>
              <w:spacing w:line="360" w:lineRule="auto"/>
              <w:ind w:firstLine="480" w:firstLineChars="200"/>
              <w:rPr>
                <w:color w:val="auto"/>
                <w:sz w:val="24"/>
                <w:u w:val="none"/>
              </w:rPr>
            </w:pPr>
            <w:r>
              <w:rPr>
                <w:color w:val="auto"/>
                <w:sz w:val="24"/>
                <w:u w:val="none"/>
              </w:rPr>
              <w:t>湖南金甸甸食品有限公司成立于2008年4月9日，</w:t>
            </w:r>
            <w:r>
              <w:rPr>
                <w:rFonts w:hint="eastAsia"/>
                <w:color w:val="auto"/>
                <w:sz w:val="24"/>
                <w:u w:val="none"/>
              </w:rPr>
              <w:t>原生产场址位于岳阳市湘阴县洋沙湖镇金龙村，占地面积1860m</w:t>
            </w:r>
            <w:r>
              <w:rPr>
                <w:rFonts w:hint="eastAsia"/>
                <w:color w:val="auto"/>
                <w:sz w:val="24"/>
                <w:u w:val="none"/>
                <w:vertAlign w:val="superscript"/>
              </w:rPr>
              <w:t>2</w:t>
            </w:r>
            <w:r>
              <w:rPr>
                <w:rFonts w:hint="eastAsia"/>
                <w:color w:val="auto"/>
                <w:sz w:val="24"/>
                <w:u w:val="none"/>
              </w:rPr>
              <w:t>，2008年委托编制环境影响报告表，并于2008年6月2日取得原湘阴县环境保护局审查意见</w:t>
            </w:r>
            <w:r>
              <w:rPr>
                <w:rFonts w:hint="eastAsia"/>
                <w:color w:val="auto"/>
                <w:sz w:val="24"/>
                <w:u w:val="none"/>
                <w:lang w:eastAsia="zh-CN"/>
              </w:rPr>
              <w:t>（</w:t>
            </w:r>
            <w:r>
              <w:rPr>
                <w:rFonts w:hint="eastAsia"/>
                <w:color w:val="auto"/>
                <w:sz w:val="24"/>
                <w:u w:val="none"/>
                <w:lang w:val="en-US" w:eastAsia="zh-CN"/>
              </w:rPr>
              <w:t>附件10</w:t>
            </w:r>
            <w:r>
              <w:rPr>
                <w:rFonts w:hint="eastAsia"/>
                <w:color w:val="auto"/>
                <w:sz w:val="24"/>
                <w:u w:val="none"/>
                <w:lang w:eastAsia="zh-CN"/>
              </w:rPr>
              <w:t>）</w:t>
            </w:r>
            <w:r>
              <w:rPr>
                <w:rFonts w:hint="eastAsia"/>
                <w:color w:val="auto"/>
                <w:sz w:val="24"/>
                <w:u w:val="none"/>
              </w:rPr>
              <w:t>，于2009年6月30日通过环保验收（附件</w:t>
            </w:r>
            <w:r>
              <w:rPr>
                <w:rFonts w:hint="eastAsia"/>
                <w:color w:val="auto"/>
                <w:sz w:val="24"/>
                <w:u w:val="none"/>
                <w:lang w:val="en-US" w:eastAsia="zh-CN"/>
              </w:rPr>
              <w:t>11</w:t>
            </w:r>
            <w:r>
              <w:rPr>
                <w:rFonts w:hint="eastAsia"/>
                <w:color w:val="auto"/>
                <w:sz w:val="24"/>
                <w:u w:val="none"/>
              </w:rPr>
              <w:t>）</w:t>
            </w:r>
            <w:r>
              <w:rPr>
                <w:rFonts w:hint="eastAsia"/>
                <w:color w:val="auto"/>
                <w:sz w:val="24"/>
                <w:u w:val="none"/>
                <w:lang w:eastAsia="zh-CN"/>
              </w:rPr>
              <w:t>，</w:t>
            </w:r>
            <w:r>
              <w:rPr>
                <w:rFonts w:hint="eastAsia"/>
                <w:color w:val="auto"/>
                <w:sz w:val="24"/>
                <w:u w:val="none"/>
                <w:lang w:val="en-US" w:eastAsia="zh-CN"/>
              </w:rPr>
              <w:t>于2023年8月18日变更排污许可登记（附件12）</w:t>
            </w:r>
            <w:r>
              <w:rPr>
                <w:rFonts w:hint="eastAsia"/>
                <w:color w:val="auto"/>
                <w:sz w:val="24"/>
                <w:u w:val="none"/>
              </w:rPr>
              <w:t>。</w:t>
            </w:r>
            <w:r>
              <w:rPr>
                <w:rFonts w:hint="eastAsia"/>
                <w:color w:val="auto"/>
                <w:sz w:val="24"/>
                <w:u w:val="none"/>
              </w:rPr>
              <w:t>老厂主要外购豆豉、辣椒、植物油等生产麻辣豆豉、油辣椒约2000吨/年。</w:t>
            </w:r>
          </w:p>
          <w:p>
            <w:pPr>
              <w:spacing w:line="360" w:lineRule="auto"/>
              <w:ind w:firstLine="480" w:firstLineChars="200"/>
              <w:rPr>
                <w:color w:val="auto"/>
                <w:sz w:val="24"/>
                <w:u w:val="none"/>
              </w:rPr>
            </w:pPr>
            <w:r>
              <w:rPr>
                <w:color w:val="auto"/>
                <w:sz w:val="24"/>
                <w:u w:val="none"/>
              </w:rPr>
              <w:t>因原生产场所周边配套环保设施不完善，配套交通不便利，</w:t>
            </w:r>
            <w:r>
              <w:rPr>
                <w:rFonts w:hint="eastAsia"/>
                <w:color w:val="auto"/>
                <w:sz w:val="24"/>
                <w:u w:val="none"/>
                <w:lang w:val="en-US" w:eastAsia="zh-CN"/>
              </w:rPr>
              <w:t>原有生产线设备老旧</w:t>
            </w:r>
            <w:r>
              <w:rPr>
                <w:color w:val="auto"/>
                <w:sz w:val="24"/>
                <w:u w:val="none"/>
              </w:rPr>
              <w:t>，生产规模不能满足现状市场需要</w:t>
            </w:r>
            <w:r>
              <w:rPr>
                <w:rFonts w:hint="eastAsia"/>
                <w:color w:val="auto"/>
                <w:sz w:val="24"/>
                <w:u w:val="none"/>
                <w:lang w:eastAsia="zh-CN"/>
              </w:rPr>
              <w:t>，</w:t>
            </w:r>
            <w:r>
              <w:rPr>
                <w:rFonts w:hint="eastAsia"/>
                <w:color w:val="auto"/>
                <w:sz w:val="24"/>
                <w:u w:val="none"/>
                <w:lang w:val="en-US" w:eastAsia="zh-CN"/>
              </w:rPr>
              <w:t>原</w:t>
            </w:r>
            <w:r>
              <w:rPr>
                <w:rFonts w:hint="eastAsia"/>
                <w:color w:val="auto"/>
                <w:sz w:val="24"/>
                <w:u w:val="none"/>
              </w:rPr>
              <w:t>厂区占地面积小</w:t>
            </w:r>
            <w:r>
              <w:rPr>
                <w:rFonts w:hint="eastAsia"/>
                <w:color w:val="auto"/>
                <w:sz w:val="24"/>
                <w:u w:val="none"/>
                <w:lang w:val="en-US" w:eastAsia="zh-CN"/>
              </w:rPr>
              <w:t>难以原址改造扩建</w:t>
            </w:r>
            <w:r>
              <w:rPr>
                <w:rFonts w:hint="eastAsia"/>
                <w:color w:val="auto"/>
                <w:sz w:val="24"/>
                <w:u w:val="none"/>
              </w:rPr>
              <w:t>，</w:t>
            </w:r>
            <w:r>
              <w:rPr>
                <w:rFonts w:hint="eastAsia"/>
                <w:color w:val="auto"/>
                <w:sz w:val="24"/>
                <w:u w:val="none"/>
                <w:lang w:val="en-US" w:eastAsia="zh-CN"/>
              </w:rPr>
              <w:t>企业发展受限，因此</w:t>
            </w:r>
            <w:r>
              <w:rPr>
                <w:color w:val="auto"/>
                <w:sz w:val="24"/>
                <w:u w:val="none"/>
              </w:rPr>
              <w:t>湖南金甸甸食品有限公司</w:t>
            </w:r>
            <w:r>
              <w:rPr>
                <w:rFonts w:hint="eastAsia"/>
                <w:color w:val="auto"/>
                <w:sz w:val="24"/>
                <w:u w:val="none"/>
              </w:rPr>
              <w:t>于2025年购买</w:t>
            </w:r>
            <w:r>
              <w:rPr>
                <w:rFonts w:hint="eastAsia"/>
                <w:bCs/>
                <w:color w:val="auto"/>
                <w:sz w:val="24"/>
                <w:u w:val="none"/>
              </w:rPr>
              <w:t>湘阴高新技术产业开发区洋沙湖片区芙蓉北路西侧原</w:t>
            </w:r>
            <w:r>
              <w:rPr>
                <w:bCs/>
                <w:color w:val="auto"/>
                <w:sz w:val="24"/>
                <w:u w:val="none"/>
              </w:rPr>
              <w:t>湖南驿通电子科技有限公司</w:t>
            </w:r>
            <w:r>
              <w:rPr>
                <w:rFonts w:hint="eastAsia"/>
                <w:bCs/>
                <w:color w:val="auto"/>
                <w:sz w:val="24"/>
                <w:u w:val="none"/>
              </w:rPr>
              <w:t>生产厂区、厂房，建设“</w:t>
            </w:r>
            <w:r>
              <w:rPr>
                <w:rFonts w:hint="eastAsia"/>
                <w:color w:val="auto"/>
                <w:sz w:val="24"/>
                <w:u w:val="none"/>
              </w:rPr>
              <w:t>湖南金甸甸食品有限公司</w:t>
            </w:r>
            <w:r>
              <w:rPr>
                <w:rFonts w:hint="eastAsia"/>
                <w:color w:val="auto"/>
                <w:sz w:val="24"/>
                <w:u w:val="none"/>
                <w:lang w:eastAsia="zh-CN"/>
              </w:rPr>
              <w:t>年产260万件（2.1万吨）调味食品及分装食用油迁扩建项目</w:t>
            </w:r>
            <w:r>
              <w:rPr>
                <w:rFonts w:hint="eastAsia"/>
                <w:bCs/>
                <w:color w:val="auto"/>
                <w:sz w:val="24"/>
                <w:u w:val="none"/>
              </w:rPr>
              <w:t>”，</w:t>
            </w:r>
            <w:r>
              <w:rPr>
                <w:color w:val="auto"/>
                <w:sz w:val="24"/>
                <w:u w:val="none"/>
              </w:rPr>
              <w:t>将</w:t>
            </w:r>
            <w:r>
              <w:rPr>
                <w:rFonts w:hint="eastAsia"/>
                <w:color w:val="auto"/>
                <w:sz w:val="24"/>
                <w:u w:val="none"/>
              </w:rPr>
              <w:t>老厂区</w:t>
            </w:r>
            <w:r>
              <w:rPr>
                <w:color w:val="auto"/>
                <w:sz w:val="24"/>
                <w:u w:val="none"/>
              </w:rPr>
              <w:t>的</w:t>
            </w:r>
            <w:r>
              <w:rPr>
                <w:rFonts w:hint="eastAsia"/>
                <w:color w:val="auto"/>
                <w:sz w:val="24"/>
                <w:u w:val="none"/>
              </w:rPr>
              <w:t>部分生产</w:t>
            </w:r>
            <w:r>
              <w:rPr>
                <w:color w:val="auto"/>
                <w:sz w:val="24"/>
                <w:u w:val="none"/>
              </w:rPr>
              <w:t>设备搬迁至</w:t>
            </w:r>
            <w:r>
              <w:rPr>
                <w:rFonts w:hint="eastAsia"/>
                <w:color w:val="auto"/>
                <w:sz w:val="24"/>
                <w:u w:val="none"/>
              </w:rPr>
              <w:t>新厂区，淘汰老旧设备，</w:t>
            </w:r>
            <w:r>
              <w:rPr>
                <w:color w:val="auto"/>
                <w:sz w:val="24"/>
                <w:u w:val="none"/>
              </w:rPr>
              <w:t>同时根据需要购置</w:t>
            </w:r>
            <w:r>
              <w:rPr>
                <w:rFonts w:hint="eastAsia"/>
                <w:color w:val="auto"/>
                <w:sz w:val="24"/>
                <w:u w:val="none"/>
              </w:rPr>
              <w:t>新</w:t>
            </w:r>
            <w:r>
              <w:rPr>
                <w:color w:val="auto"/>
                <w:sz w:val="24"/>
                <w:u w:val="none"/>
              </w:rPr>
              <w:t>设备</w:t>
            </w:r>
            <w:r>
              <w:rPr>
                <w:rFonts w:hint="eastAsia"/>
                <w:color w:val="auto"/>
                <w:sz w:val="24"/>
                <w:u w:val="none"/>
              </w:rPr>
              <w:t>增加产品种类并</w:t>
            </w:r>
            <w:r>
              <w:rPr>
                <w:color w:val="auto"/>
                <w:sz w:val="24"/>
                <w:u w:val="none"/>
              </w:rPr>
              <w:t>扩大生产规模，搬迁后项目</w:t>
            </w:r>
            <w:r>
              <w:rPr>
                <w:rFonts w:hint="eastAsia"/>
                <w:color w:val="auto"/>
                <w:sz w:val="24"/>
                <w:u w:val="none"/>
              </w:rPr>
              <w:t>年产麻辣豆豉60万件（6000吨）、腐乳40万件（1200吨）、剁辣椒80万件（4400吨）、油辣椒20万件（1100吨）、下饭菜20万件（700吨）、分装食用油40万件（7680吨），共计260万件（2.1万吨）。项目已于2025年取得湘阴</w:t>
            </w:r>
            <w:r>
              <w:rPr>
                <w:color w:val="auto"/>
                <w:sz w:val="24"/>
                <w:u w:val="none"/>
              </w:rPr>
              <w:t>高新技术产业开发区管理委员会</w:t>
            </w:r>
            <w:r>
              <w:rPr>
                <w:rFonts w:hint="eastAsia"/>
                <w:color w:val="auto"/>
                <w:sz w:val="24"/>
                <w:u w:val="none"/>
              </w:rPr>
              <w:t>对本项目的备案证明（</w:t>
            </w:r>
            <w:r>
              <w:rPr>
                <w:color w:val="auto"/>
                <w:sz w:val="24"/>
                <w:u w:val="none"/>
              </w:rPr>
              <w:t>湘阴高新审[2026]19号</w:t>
            </w:r>
            <w:r>
              <w:rPr>
                <w:rFonts w:hint="eastAsia"/>
                <w:color w:val="auto"/>
                <w:sz w:val="24"/>
                <w:u w:val="none"/>
                <w:lang w:eastAsia="zh-CN"/>
              </w:rPr>
              <w:t>，</w:t>
            </w:r>
            <w:r>
              <w:rPr>
                <w:rFonts w:hint="eastAsia"/>
                <w:color w:val="auto"/>
                <w:sz w:val="24"/>
                <w:u w:val="none"/>
                <w:lang w:val="en-US" w:eastAsia="zh-CN"/>
              </w:rPr>
              <w:t>详见附件3</w:t>
            </w:r>
            <w:r>
              <w:rPr>
                <w:rFonts w:hint="eastAsia"/>
                <w:color w:val="auto"/>
                <w:sz w:val="24"/>
                <w:u w:val="none"/>
              </w:rPr>
              <w:t>）</w:t>
            </w:r>
            <w:r>
              <w:rPr>
                <w:rFonts w:hint="eastAsia"/>
                <w:color w:val="auto"/>
                <w:sz w:val="24"/>
                <w:u w:val="none"/>
                <w:lang w:eastAsia="zh-CN"/>
              </w:rPr>
              <w:t>；</w:t>
            </w:r>
            <w:r>
              <w:rPr>
                <w:rFonts w:hint="eastAsia"/>
                <w:color w:val="auto"/>
                <w:sz w:val="24"/>
                <w:u w:val="none"/>
                <w:lang w:val="en-US" w:eastAsia="zh-CN"/>
              </w:rPr>
              <w:t>建设单位已与管委会签订招商引资合同（详见附件9）</w:t>
            </w:r>
            <w:r>
              <w:rPr>
                <w:rFonts w:hint="eastAsia"/>
                <w:color w:val="auto"/>
                <w:sz w:val="24"/>
                <w:u w:val="none"/>
              </w:rPr>
              <w:t>。</w:t>
            </w:r>
            <w:r>
              <w:rPr>
                <w:color w:val="auto"/>
                <w:sz w:val="24"/>
                <w:u w:val="none"/>
              </w:rPr>
              <w:t>待项目搬迁扩建后，老厂停止生产</w:t>
            </w:r>
            <w:r>
              <w:rPr>
                <w:rFonts w:hint="eastAsia"/>
                <w:color w:val="auto"/>
                <w:sz w:val="24"/>
                <w:u w:val="none"/>
              </w:rPr>
              <w:t>，生产线及生产设备全部拆除</w:t>
            </w:r>
            <w:r>
              <w:rPr>
                <w:color w:val="auto"/>
                <w:sz w:val="24"/>
                <w:u w:val="none"/>
              </w:rPr>
              <w:t>。</w:t>
            </w:r>
          </w:p>
          <w:p>
            <w:pPr>
              <w:spacing w:line="360" w:lineRule="auto"/>
              <w:ind w:firstLine="480" w:firstLineChars="200"/>
              <w:rPr>
                <w:color w:val="auto"/>
                <w:sz w:val="24"/>
                <w:u w:val="none"/>
              </w:rPr>
            </w:pPr>
            <w:r>
              <w:rPr>
                <w:color w:val="auto"/>
                <w:sz w:val="24"/>
                <w:u w:val="none"/>
              </w:rPr>
              <w:t>按照《中华人民共和国环境影响评价法》和《建设项目环境保护管理条例》等法律、法规的要求，本项目应进行环境影响评价。根据生态环境部发布的《建设项目环境影响评价分类管理名录（2021年版）》（部令第16号）有关规定，本项目</w:t>
            </w:r>
            <w:r>
              <w:rPr>
                <w:rFonts w:hint="eastAsia"/>
                <w:color w:val="auto"/>
                <w:sz w:val="24"/>
                <w:u w:val="none"/>
              </w:rPr>
              <w:t>麻辣豆豉、腐乳生产属于“十、</w:t>
            </w:r>
            <w:r>
              <w:rPr>
                <w:color w:val="auto"/>
                <w:sz w:val="24"/>
                <w:u w:val="none"/>
              </w:rPr>
              <w:t>农副食品加工业13</w:t>
            </w:r>
            <w:r>
              <w:rPr>
                <w:rFonts w:hint="eastAsia"/>
                <w:color w:val="auto"/>
                <w:sz w:val="24"/>
                <w:u w:val="none"/>
              </w:rPr>
              <w:t>—20其他农副食品加工</w:t>
            </w:r>
            <w:r>
              <w:rPr>
                <w:color w:val="auto"/>
                <w:sz w:val="24"/>
                <w:u w:val="none"/>
              </w:rPr>
              <w:t>139</w:t>
            </w:r>
            <w:r>
              <w:rPr>
                <w:rFonts w:hint="eastAsia"/>
                <w:color w:val="auto"/>
                <w:sz w:val="24"/>
                <w:u w:val="none"/>
              </w:rPr>
              <w:t>—豆制品制造”，油辣椒及剁辣椒生产属于“</w:t>
            </w:r>
            <w:r>
              <w:rPr>
                <w:color w:val="auto"/>
                <w:sz w:val="24"/>
                <w:u w:val="none"/>
              </w:rPr>
              <w:t>十一、食品制造业14</w:t>
            </w:r>
            <w:r>
              <w:rPr>
                <w:rFonts w:hint="eastAsia"/>
                <w:color w:val="auto"/>
                <w:sz w:val="24"/>
                <w:u w:val="none"/>
              </w:rPr>
              <w:t>—调味品、发酵制品制造146—</w:t>
            </w:r>
            <w:r>
              <w:rPr>
                <w:color w:val="auto"/>
                <w:sz w:val="24"/>
                <w:u w:val="none"/>
              </w:rPr>
              <w:t>其他（单纯混合、分装的除外）</w:t>
            </w:r>
            <w:r>
              <w:rPr>
                <w:rFonts w:hint="eastAsia"/>
                <w:color w:val="auto"/>
                <w:sz w:val="24"/>
                <w:u w:val="none"/>
              </w:rPr>
              <w:t>”，下饭菜生产属于“</w:t>
            </w:r>
            <w:r>
              <w:rPr>
                <w:color w:val="auto"/>
                <w:sz w:val="24"/>
                <w:u w:val="none"/>
              </w:rPr>
              <w:t>十一、食品制造业14</w:t>
            </w:r>
            <w:r>
              <w:rPr>
                <w:rFonts w:hint="eastAsia"/>
                <w:color w:val="auto"/>
                <w:sz w:val="24"/>
                <w:u w:val="none"/>
              </w:rPr>
              <w:t>—罐头食品制造145—</w:t>
            </w:r>
            <w:r>
              <w:rPr>
                <w:color w:val="auto"/>
                <w:sz w:val="24"/>
                <w:u w:val="none"/>
              </w:rPr>
              <w:t>除单纯分装外的</w:t>
            </w:r>
            <w:r>
              <w:rPr>
                <w:rFonts w:hint="eastAsia"/>
                <w:color w:val="auto"/>
                <w:sz w:val="24"/>
                <w:u w:val="none"/>
              </w:rPr>
              <w:t>”，需编制环境影响报告表</w:t>
            </w:r>
            <w:r>
              <w:rPr>
                <w:color w:val="auto"/>
                <w:sz w:val="24"/>
                <w:u w:val="none"/>
              </w:rPr>
              <w:t>。</w:t>
            </w:r>
          </w:p>
          <w:p>
            <w:pPr>
              <w:spacing w:line="360" w:lineRule="auto"/>
              <w:ind w:firstLine="480" w:firstLineChars="200"/>
              <w:rPr>
                <w:color w:val="auto"/>
                <w:sz w:val="24"/>
                <w:u w:val="none"/>
              </w:rPr>
            </w:pPr>
            <w:r>
              <w:rPr>
                <w:color w:val="auto"/>
                <w:sz w:val="24"/>
                <w:u w:val="none"/>
              </w:rPr>
              <w:t>为此，</w:t>
            </w:r>
            <w:r>
              <w:rPr>
                <w:rFonts w:hint="eastAsia"/>
                <w:color w:val="auto"/>
                <w:sz w:val="24"/>
                <w:u w:val="none"/>
              </w:rPr>
              <w:t>湖南金甸甸食品有限公司</w:t>
            </w:r>
            <w:r>
              <w:rPr>
                <w:color w:val="auto"/>
                <w:sz w:val="24"/>
                <w:u w:val="none"/>
              </w:rPr>
              <w:t>委托</w:t>
            </w:r>
            <w:r>
              <w:rPr>
                <w:rFonts w:hint="eastAsia"/>
                <w:color w:val="auto"/>
                <w:sz w:val="24"/>
                <w:u w:val="none"/>
              </w:rPr>
              <w:t>湖南皓珏环保科技有限公司</w:t>
            </w:r>
            <w:r>
              <w:rPr>
                <w:color w:val="auto"/>
                <w:sz w:val="24"/>
                <w:u w:val="none"/>
              </w:rPr>
              <w:t>承担了本项目环境影响评价工作。我公司接受委托后，立即组织有关技术人员对项目所在地及周围环境现状进行了实地踏勘和相关资料的收集、核实和分析工作，并在此基础上，根据国家法律法规和建设项目环境影响评价相关技术导则、规范和标准等，编制完成了本环境影响报告表。</w:t>
            </w:r>
          </w:p>
          <w:p>
            <w:pPr>
              <w:spacing w:line="360" w:lineRule="auto"/>
              <w:rPr>
                <w:b/>
                <w:color w:val="auto"/>
                <w:sz w:val="24"/>
                <w:u w:val="none"/>
              </w:rPr>
            </w:pPr>
            <w:r>
              <w:rPr>
                <w:rFonts w:hint="eastAsia"/>
                <w:b/>
                <w:color w:val="auto"/>
                <w:sz w:val="24"/>
                <w:u w:val="none"/>
              </w:rPr>
              <w:t xml:space="preserve">2.2 </w:t>
            </w:r>
            <w:r>
              <w:rPr>
                <w:b/>
                <w:color w:val="auto"/>
                <w:sz w:val="24"/>
                <w:u w:val="none"/>
              </w:rPr>
              <w:t>项目建设内容</w:t>
            </w:r>
          </w:p>
          <w:p>
            <w:pPr>
              <w:spacing w:line="360" w:lineRule="auto"/>
              <w:ind w:firstLine="480" w:firstLineChars="200"/>
              <w:jc w:val="left"/>
              <w:rPr>
                <w:rFonts w:hint="eastAsia" w:eastAsia="宋体"/>
                <w:color w:val="auto"/>
                <w:sz w:val="24"/>
                <w:u w:val="none"/>
                <w:lang w:eastAsia="zh-CN"/>
              </w:rPr>
            </w:pPr>
            <w:r>
              <w:rPr>
                <w:rFonts w:hint="eastAsia"/>
                <w:color w:val="auto"/>
                <w:sz w:val="24"/>
                <w:u w:val="none"/>
              </w:rPr>
              <w:t>项目名称：湖南金甸甸食品有限公司</w:t>
            </w:r>
            <w:r>
              <w:rPr>
                <w:rFonts w:hint="eastAsia"/>
                <w:color w:val="auto"/>
                <w:sz w:val="24"/>
                <w:u w:val="none"/>
                <w:lang w:eastAsia="zh-CN"/>
              </w:rPr>
              <w:t>年产260万件（2.1万吨）调味食品及分装食用油迁扩建项目</w:t>
            </w:r>
          </w:p>
          <w:p>
            <w:pPr>
              <w:spacing w:line="360" w:lineRule="auto"/>
              <w:ind w:firstLine="480" w:firstLineChars="200"/>
              <w:jc w:val="left"/>
              <w:rPr>
                <w:color w:val="auto"/>
                <w:sz w:val="24"/>
                <w:u w:val="none"/>
              </w:rPr>
            </w:pPr>
            <w:r>
              <w:rPr>
                <w:rFonts w:hint="eastAsia"/>
                <w:color w:val="auto"/>
                <w:sz w:val="24"/>
                <w:u w:val="none"/>
              </w:rPr>
              <w:t>建设单位：湖南金甸甸食品有限公司</w:t>
            </w:r>
          </w:p>
          <w:p>
            <w:pPr>
              <w:spacing w:line="360" w:lineRule="auto"/>
              <w:ind w:firstLine="480" w:firstLineChars="200"/>
              <w:jc w:val="left"/>
              <w:rPr>
                <w:color w:val="auto"/>
                <w:sz w:val="24"/>
                <w:u w:val="none"/>
              </w:rPr>
            </w:pPr>
            <w:r>
              <w:rPr>
                <w:rFonts w:hint="eastAsia"/>
                <w:color w:val="auto"/>
                <w:sz w:val="24"/>
                <w:u w:val="none"/>
              </w:rPr>
              <w:t>建设地点：</w:t>
            </w:r>
            <w:r>
              <w:rPr>
                <w:color w:val="auto"/>
                <w:sz w:val="24"/>
                <w:u w:val="none"/>
              </w:rPr>
              <w:t>湖南省</w:t>
            </w:r>
            <w:r>
              <w:rPr>
                <w:rFonts w:hint="eastAsia"/>
                <w:bCs/>
                <w:color w:val="auto"/>
                <w:sz w:val="24"/>
                <w:u w:val="none"/>
              </w:rPr>
              <w:t>岳阳市湘阴高新技术产业开发区洋沙湖片区芙蓉北路西侧</w:t>
            </w:r>
          </w:p>
          <w:p>
            <w:pPr>
              <w:spacing w:line="360" w:lineRule="auto"/>
              <w:ind w:firstLine="480" w:firstLineChars="200"/>
              <w:jc w:val="left"/>
              <w:rPr>
                <w:color w:val="auto"/>
                <w:sz w:val="24"/>
                <w:u w:val="none"/>
              </w:rPr>
            </w:pPr>
            <w:r>
              <w:rPr>
                <w:rFonts w:hint="eastAsia"/>
                <w:color w:val="auto"/>
                <w:sz w:val="24"/>
                <w:u w:val="none"/>
              </w:rPr>
              <w:t>建设性质：新建</w:t>
            </w:r>
          </w:p>
          <w:p>
            <w:pPr>
              <w:spacing w:line="360" w:lineRule="auto"/>
              <w:ind w:firstLine="480" w:firstLineChars="200"/>
              <w:jc w:val="left"/>
              <w:rPr>
                <w:rFonts w:hint="default" w:eastAsia="宋体"/>
                <w:color w:val="auto"/>
                <w:sz w:val="24"/>
                <w:u w:val="none"/>
                <w:lang w:val="en-US" w:eastAsia="zh-CN"/>
              </w:rPr>
            </w:pPr>
            <w:r>
              <w:rPr>
                <w:rFonts w:hint="eastAsia"/>
                <w:color w:val="auto"/>
                <w:sz w:val="24"/>
                <w:u w:val="none"/>
              </w:rPr>
              <w:t>建设内容：</w:t>
            </w:r>
            <w:r>
              <w:rPr>
                <w:color w:val="auto"/>
                <w:sz w:val="24"/>
                <w:u w:val="none"/>
              </w:rPr>
              <w:t>项目占地</w:t>
            </w:r>
            <w:r>
              <w:rPr>
                <w:rFonts w:hint="eastAsia"/>
                <w:color w:val="auto"/>
                <w:sz w:val="24"/>
                <w:u w:val="none"/>
              </w:rPr>
              <w:t>57557.79</w:t>
            </w:r>
            <w:r>
              <w:rPr>
                <w:color w:val="auto"/>
                <w:sz w:val="24"/>
                <w:u w:val="none"/>
              </w:rPr>
              <w:t>m</w:t>
            </w:r>
            <w:r>
              <w:rPr>
                <w:color w:val="auto"/>
                <w:sz w:val="24"/>
                <w:u w:val="none"/>
                <w:vertAlign w:val="superscript"/>
              </w:rPr>
              <w:t>2</w:t>
            </w:r>
            <w:r>
              <w:rPr>
                <w:color w:val="auto"/>
                <w:sz w:val="24"/>
                <w:u w:val="none"/>
              </w:rPr>
              <w:t>，总建筑面积</w:t>
            </w:r>
            <w:r>
              <w:rPr>
                <w:rFonts w:hint="eastAsia"/>
                <w:color w:val="auto"/>
                <w:sz w:val="24"/>
                <w:u w:val="none"/>
              </w:rPr>
              <w:t>47005.14</w:t>
            </w:r>
            <w:r>
              <w:rPr>
                <w:color w:val="auto"/>
                <w:sz w:val="24"/>
                <w:u w:val="none"/>
              </w:rPr>
              <w:t>m</w:t>
            </w:r>
            <w:r>
              <w:rPr>
                <w:color w:val="auto"/>
                <w:sz w:val="24"/>
                <w:u w:val="none"/>
                <w:vertAlign w:val="superscript"/>
              </w:rPr>
              <w:t>2</w:t>
            </w:r>
            <w:r>
              <w:rPr>
                <w:color w:val="auto"/>
                <w:sz w:val="24"/>
                <w:u w:val="none"/>
              </w:rPr>
              <w:t>，</w:t>
            </w:r>
            <w:r>
              <w:rPr>
                <w:rFonts w:hint="eastAsia"/>
                <w:color w:val="auto"/>
                <w:sz w:val="24"/>
                <w:u w:val="none"/>
              </w:rPr>
              <w:t>利用原</w:t>
            </w:r>
            <w:r>
              <w:rPr>
                <w:bCs/>
                <w:color w:val="auto"/>
                <w:sz w:val="24"/>
                <w:u w:val="none"/>
              </w:rPr>
              <w:t>湖南驿通电子科技有限公司</w:t>
            </w:r>
            <w:r>
              <w:rPr>
                <w:rFonts w:hint="eastAsia"/>
                <w:bCs/>
                <w:color w:val="auto"/>
                <w:sz w:val="24"/>
                <w:u w:val="none"/>
              </w:rPr>
              <w:t>厂房、办公楼等建筑，改造建设</w:t>
            </w:r>
            <w:r>
              <w:rPr>
                <w:rFonts w:hint="eastAsia"/>
                <w:bCs/>
                <w:color w:val="auto"/>
                <w:sz w:val="24"/>
                <w:u w:val="none"/>
                <w:lang w:val="en-US" w:eastAsia="zh-CN"/>
              </w:rPr>
              <w:t>4#车间</w:t>
            </w:r>
            <w:r>
              <w:rPr>
                <w:rFonts w:hint="eastAsia"/>
                <w:bCs/>
                <w:color w:val="auto"/>
                <w:sz w:val="24"/>
                <w:u w:val="none"/>
              </w:rPr>
              <w:t>、办公楼、科研楼、员工宿舍楼、一般工业固废间及危废间，并新建锅炉房、污水处理站、食用油罐区</w:t>
            </w:r>
            <w:r>
              <w:rPr>
                <w:rFonts w:hint="eastAsia"/>
                <w:color w:val="auto"/>
                <w:sz w:val="24"/>
                <w:u w:val="none"/>
              </w:rPr>
              <w:t>。</w:t>
            </w:r>
            <w:r>
              <w:rPr>
                <w:rFonts w:hint="eastAsia"/>
                <w:color w:val="auto"/>
                <w:sz w:val="24"/>
                <w:u w:val="none"/>
                <w:lang w:val="en-US" w:eastAsia="zh-CN"/>
              </w:rPr>
              <w:t>1~3#车间预留，本项目未使用，若后续出租给其他企业用于生产，需与本项目环境相容，并按要求另行环评。</w:t>
            </w:r>
          </w:p>
          <w:p>
            <w:pPr>
              <w:spacing w:line="360" w:lineRule="auto"/>
              <w:ind w:left="378"/>
              <w:rPr>
                <w:color w:val="auto"/>
                <w:sz w:val="24"/>
                <w:u w:val="none"/>
              </w:rPr>
            </w:pPr>
            <w:r>
              <w:rPr>
                <w:rFonts w:hint="eastAsia"/>
                <w:color w:val="auto"/>
                <w:sz w:val="24"/>
                <w:u w:val="none"/>
              </w:rPr>
              <w:t>项目具体</w:t>
            </w:r>
            <w:r>
              <w:rPr>
                <w:color w:val="auto"/>
                <w:sz w:val="24"/>
                <w:u w:val="none"/>
              </w:rPr>
              <w:t>组成详见表</w:t>
            </w:r>
            <w:r>
              <w:rPr>
                <w:rFonts w:hint="eastAsia"/>
                <w:color w:val="auto"/>
                <w:sz w:val="24"/>
                <w:u w:val="none"/>
              </w:rPr>
              <w:t>2.1-1</w:t>
            </w:r>
            <w:r>
              <w:rPr>
                <w:color w:val="auto"/>
                <w:sz w:val="24"/>
                <w:u w:val="none"/>
              </w:rPr>
              <w:t>。</w:t>
            </w:r>
          </w:p>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表2</w:t>
            </w:r>
            <w:r>
              <w:rPr>
                <w:rFonts w:hint="eastAsia" w:ascii="Times New Roman" w:hAnsi="Times New Roman" w:eastAsia="宋体" w:cs="Times New Roman"/>
                <w:b/>
                <w:color w:val="auto"/>
                <w:u w:val="none"/>
              </w:rPr>
              <w:t>.1</w:t>
            </w:r>
            <w:r>
              <w:rPr>
                <w:rFonts w:ascii="Times New Roman" w:hAnsi="Times New Roman" w:eastAsia="宋体" w:cs="Times New Roman"/>
                <w:b/>
                <w:color w:val="auto"/>
                <w:u w:val="none"/>
              </w:rPr>
              <w:t>-1  项目组成一览表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24"/>
              <w:gridCol w:w="1134"/>
              <w:gridCol w:w="5206"/>
              <w:gridCol w:w="131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Align w:val="center"/>
                </w:tcPr>
                <w:p>
                  <w:pPr>
                    <w:jc w:val="center"/>
                    <w:rPr>
                      <w:b/>
                      <w:color w:val="auto"/>
                      <w:szCs w:val="21"/>
                      <w:u w:val="none"/>
                    </w:rPr>
                  </w:pPr>
                  <w:r>
                    <w:rPr>
                      <w:b/>
                      <w:color w:val="auto"/>
                      <w:szCs w:val="21"/>
                      <w:u w:val="none"/>
                    </w:rPr>
                    <w:t>类别</w:t>
                  </w:r>
                </w:p>
              </w:tc>
              <w:tc>
                <w:tcPr>
                  <w:tcW w:w="677" w:type="pct"/>
                  <w:vAlign w:val="center"/>
                </w:tcPr>
                <w:p>
                  <w:pPr>
                    <w:jc w:val="center"/>
                    <w:rPr>
                      <w:b/>
                      <w:color w:val="auto"/>
                      <w:szCs w:val="21"/>
                      <w:u w:val="none"/>
                    </w:rPr>
                  </w:pPr>
                  <w:r>
                    <w:rPr>
                      <w:b/>
                      <w:color w:val="auto"/>
                      <w:szCs w:val="21"/>
                      <w:u w:val="none"/>
                    </w:rPr>
                    <w:t>名称</w:t>
                  </w:r>
                </w:p>
              </w:tc>
              <w:tc>
                <w:tcPr>
                  <w:tcW w:w="3107" w:type="pct"/>
                  <w:vAlign w:val="center"/>
                </w:tcPr>
                <w:p>
                  <w:pPr>
                    <w:jc w:val="center"/>
                    <w:rPr>
                      <w:b/>
                      <w:color w:val="auto"/>
                      <w:szCs w:val="21"/>
                      <w:u w:val="none"/>
                    </w:rPr>
                  </w:pPr>
                  <w:r>
                    <w:rPr>
                      <w:b/>
                      <w:color w:val="auto"/>
                      <w:szCs w:val="21"/>
                      <w:u w:val="none"/>
                    </w:rPr>
                    <w:t>工程内容及规模</w:t>
                  </w:r>
                </w:p>
              </w:tc>
              <w:tc>
                <w:tcPr>
                  <w:tcW w:w="782" w:type="pct"/>
                  <w:vAlign w:val="center"/>
                </w:tcPr>
                <w:p>
                  <w:pPr>
                    <w:jc w:val="center"/>
                    <w:rPr>
                      <w:b/>
                      <w:color w:val="auto"/>
                      <w:szCs w:val="21"/>
                      <w:u w:val="none"/>
                    </w:rPr>
                  </w:pPr>
                  <w:r>
                    <w:rPr>
                      <w:rFonts w:hint="eastAsia"/>
                      <w:b/>
                      <w:color w:val="auto"/>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restart"/>
                  <w:vAlign w:val="center"/>
                </w:tcPr>
                <w:p>
                  <w:pPr>
                    <w:jc w:val="center"/>
                    <w:rPr>
                      <w:color w:val="auto"/>
                      <w:szCs w:val="21"/>
                      <w:u w:val="none"/>
                    </w:rPr>
                  </w:pPr>
                  <w:r>
                    <w:rPr>
                      <w:color w:val="auto"/>
                      <w:szCs w:val="21"/>
                      <w:u w:val="none"/>
                    </w:rPr>
                    <w:t>主体工程</w:t>
                  </w:r>
                </w:p>
              </w:tc>
              <w:tc>
                <w:tcPr>
                  <w:tcW w:w="677" w:type="pct"/>
                  <w:vMerge w:val="restart"/>
                  <w:vAlign w:val="center"/>
                </w:tcPr>
                <w:p>
                  <w:pPr>
                    <w:adjustRightInd w:val="0"/>
                    <w:snapToGrid w:val="0"/>
                    <w:jc w:val="center"/>
                    <w:rPr>
                      <w:color w:val="auto"/>
                      <w:szCs w:val="21"/>
                      <w:u w:val="none"/>
                    </w:rPr>
                  </w:pPr>
                  <w:r>
                    <w:rPr>
                      <w:rFonts w:hint="eastAsia"/>
                      <w:color w:val="auto"/>
                      <w:szCs w:val="21"/>
                      <w:u w:val="none"/>
                    </w:rPr>
                    <w:t>4#车间（3层，钢结构，总高15m，建筑面积21056.91 m</w:t>
                  </w:r>
                  <w:r>
                    <w:rPr>
                      <w:rFonts w:hint="eastAsia"/>
                      <w:color w:val="auto"/>
                      <w:szCs w:val="21"/>
                      <w:u w:val="none"/>
                      <w:vertAlign w:val="superscript"/>
                    </w:rPr>
                    <w:t>2</w:t>
                  </w:r>
                  <w:r>
                    <w:rPr>
                      <w:rFonts w:hint="eastAsia"/>
                      <w:color w:val="auto"/>
                      <w:szCs w:val="21"/>
                      <w:u w:val="none"/>
                    </w:rPr>
                    <w:t>）</w:t>
                  </w:r>
                </w:p>
              </w:tc>
              <w:tc>
                <w:tcPr>
                  <w:tcW w:w="3107" w:type="pct"/>
                  <w:vAlign w:val="center"/>
                </w:tcPr>
                <w:p>
                  <w:pPr>
                    <w:jc w:val="center"/>
                    <w:rPr>
                      <w:color w:val="auto"/>
                      <w:szCs w:val="21"/>
                      <w:u w:val="none"/>
                    </w:rPr>
                  </w:pPr>
                  <w:r>
                    <w:rPr>
                      <w:rFonts w:hint="eastAsia"/>
                      <w:color w:val="auto"/>
                      <w:szCs w:val="21"/>
                      <w:u w:val="none"/>
                    </w:rPr>
                    <w:t>1楼，高度5m，建筑面积7018.97m</w:t>
                  </w:r>
                  <w:r>
                    <w:rPr>
                      <w:rFonts w:hint="eastAsia"/>
                      <w:color w:val="auto"/>
                      <w:szCs w:val="21"/>
                      <w:u w:val="none"/>
                      <w:vertAlign w:val="superscript"/>
                    </w:rPr>
                    <w:t>2</w:t>
                  </w:r>
                  <w:r>
                    <w:rPr>
                      <w:rFonts w:hint="eastAsia"/>
                      <w:color w:val="auto"/>
                      <w:szCs w:val="21"/>
                      <w:u w:val="none"/>
                    </w:rPr>
                    <w:t>，为成品库及原料库</w:t>
                  </w:r>
                </w:p>
              </w:tc>
              <w:tc>
                <w:tcPr>
                  <w:tcW w:w="782" w:type="pct"/>
                  <w:vMerge w:val="restart"/>
                  <w:vAlign w:val="center"/>
                </w:tcPr>
                <w:p>
                  <w:pPr>
                    <w:jc w:val="center"/>
                    <w:rPr>
                      <w:color w:val="auto"/>
                      <w:szCs w:val="21"/>
                      <w:u w:val="none"/>
                    </w:rPr>
                  </w:pPr>
                  <w:r>
                    <w:rPr>
                      <w:rFonts w:hint="eastAsia"/>
                      <w:color w:val="auto"/>
                      <w:szCs w:val="21"/>
                      <w:u w:val="none"/>
                    </w:rPr>
                    <w:t>利用原驿通电子厂房改建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Merge w:val="continue"/>
                  <w:vAlign w:val="center"/>
                </w:tcPr>
                <w:p>
                  <w:pPr>
                    <w:adjustRightInd w:val="0"/>
                    <w:snapToGrid w:val="0"/>
                    <w:jc w:val="center"/>
                    <w:rPr>
                      <w:color w:val="auto"/>
                      <w:szCs w:val="21"/>
                      <w:u w:val="none"/>
                    </w:rPr>
                  </w:pPr>
                </w:p>
              </w:tc>
              <w:tc>
                <w:tcPr>
                  <w:tcW w:w="3107" w:type="pct"/>
                  <w:vAlign w:val="center"/>
                </w:tcPr>
                <w:p>
                  <w:pPr>
                    <w:jc w:val="left"/>
                    <w:rPr>
                      <w:color w:val="auto"/>
                      <w:szCs w:val="21"/>
                      <w:u w:val="none"/>
                    </w:rPr>
                  </w:pPr>
                  <w:r>
                    <w:rPr>
                      <w:rFonts w:hint="eastAsia"/>
                      <w:color w:val="auto"/>
                      <w:szCs w:val="21"/>
                      <w:u w:val="none"/>
                    </w:rPr>
                    <w:t>2楼，高度5m，建筑面积7018.97m</w:t>
                  </w:r>
                  <w:r>
                    <w:rPr>
                      <w:rFonts w:hint="eastAsia"/>
                      <w:color w:val="auto"/>
                      <w:szCs w:val="21"/>
                      <w:u w:val="none"/>
                      <w:vertAlign w:val="superscript"/>
                    </w:rPr>
                    <w:t>2</w:t>
                  </w:r>
                  <w:r>
                    <w:rPr>
                      <w:rFonts w:hint="eastAsia"/>
                      <w:color w:val="auto"/>
                      <w:szCs w:val="21"/>
                      <w:u w:val="none"/>
                    </w:rPr>
                    <w:t>，建设：</w:t>
                  </w:r>
                </w:p>
                <w:p>
                  <w:pPr>
                    <w:rPr>
                      <w:rFonts w:hint="default" w:eastAsia="宋体"/>
                      <w:color w:val="auto"/>
                      <w:szCs w:val="21"/>
                      <w:u w:val="none"/>
                      <w:lang w:val="en-US" w:eastAsia="zh-CN"/>
                    </w:rPr>
                  </w:pPr>
                  <w:r>
                    <w:rPr>
                      <w:rFonts w:hint="eastAsia"/>
                      <w:color w:val="auto"/>
                      <w:szCs w:val="21"/>
                      <w:u w:val="none"/>
                    </w:rPr>
                    <w:t>（1）</w:t>
                  </w:r>
                  <w:r>
                    <w:rPr>
                      <w:color w:val="auto"/>
                      <w:szCs w:val="21"/>
                      <w:u w:val="none"/>
                    </w:rPr>
                    <w:t>剁辣椒、油辣椒、下饭菜</w:t>
                  </w:r>
                  <w:r>
                    <w:rPr>
                      <w:rFonts w:hint="eastAsia"/>
                      <w:color w:val="auto"/>
                      <w:szCs w:val="21"/>
                      <w:u w:val="none"/>
                    </w:rPr>
                    <w:t>共用</w:t>
                  </w:r>
                  <w:r>
                    <w:rPr>
                      <w:color w:val="auto"/>
                      <w:szCs w:val="21"/>
                      <w:u w:val="none"/>
                    </w:rPr>
                    <w:t>生产线</w:t>
                  </w:r>
                  <w:r>
                    <w:rPr>
                      <w:rFonts w:hint="eastAsia"/>
                      <w:color w:val="auto"/>
                      <w:szCs w:val="21"/>
                      <w:u w:val="none"/>
                    </w:rPr>
                    <w:t>：</w:t>
                  </w:r>
                  <w:r>
                    <w:rPr>
                      <w:rFonts w:hint="eastAsia"/>
                      <w:color w:val="auto"/>
                      <w:szCs w:val="21"/>
                      <w:u w:val="none"/>
                      <w:lang w:val="en-US" w:eastAsia="zh-CN"/>
                    </w:rPr>
                    <w:t>面积约1200m</w:t>
                  </w:r>
                  <w:r>
                    <w:rPr>
                      <w:rFonts w:hint="eastAsia"/>
                      <w:color w:val="auto"/>
                      <w:szCs w:val="21"/>
                      <w:u w:val="none"/>
                      <w:vertAlign w:val="superscript"/>
                      <w:lang w:val="en-US" w:eastAsia="zh-CN"/>
                    </w:rPr>
                    <w:t>2</w:t>
                  </w:r>
                  <w:r>
                    <w:rPr>
                      <w:rFonts w:hint="eastAsia"/>
                      <w:color w:val="auto"/>
                      <w:szCs w:val="21"/>
                      <w:u w:val="none"/>
                      <w:lang w:val="en-US" w:eastAsia="zh-CN"/>
                    </w:rPr>
                    <w:t>，含</w:t>
                  </w:r>
                  <w:r>
                    <w:rPr>
                      <w:color w:val="auto"/>
                      <w:szCs w:val="21"/>
                      <w:u w:val="none"/>
                    </w:rPr>
                    <w:t>预处理间、炒制调味间、内包装间、外包装间</w:t>
                  </w:r>
                  <w:r>
                    <w:rPr>
                      <w:rFonts w:hint="eastAsia"/>
                      <w:color w:val="auto"/>
                      <w:szCs w:val="21"/>
                      <w:u w:val="none"/>
                    </w:rPr>
                    <w:t>；</w:t>
                  </w:r>
                  <w:r>
                    <w:rPr>
                      <w:rFonts w:hint="eastAsia"/>
                      <w:color w:val="auto"/>
                      <w:szCs w:val="21"/>
                      <w:u w:val="none"/>
                      <w:lang w:val="en-US" w:eastAsia="zh-CN"/>
                    </w:rPr>
                    <w:t>其中炒制调味间及内包装间为洁净车间。</w:t>
                  </w:r>
                </w:p>
                <w:p>
                  <w:pPr>
                    <w:rPr>
                      <w:rFonts w:hint="default" w:eastAsia="宋体"/>
                      <w:color w:val="auto"/>
                      <w:szCs w:val="21"/>
                      <w:u w:val="none"/>
                      <w:lang w:val="en-US" w:eastAsia="zh-CN"/>
                    </w:rPr>
                  </w:pPr>
                  <w:r>
                    <w:rPr>
                      <w:rFonts w:hint="eastAsia"/>
                      <w:color w:val="auto"/>
                      <w:szCs w:val="21"/>
                      <w:u w:val="none"/>
                    </w:rPr>
                    <w:t>（2）</w:t>
                  </w:r>
                  <w:r>
                    <w:rPr>
                      <w:color w:val="auto"/>
                      <w:szCs w:val="21"/>
                      <w:u w:val="none"/>
                    </w:rPr>
                    <w:t>豆豉生产线</w:t>
                  </w:r>
                  <w:r>
                    <w:rPr>
                      <w:rFonts w:hint="eastAsia"/>
                      <w:color w:val="auto"/>
                      <w:szCs w:val="21"/>
                      <w:u w:val="none"/>
                    </w:rPr>
                    <w:t>：</w:t>
                  </w:r>
                  <w:r>
                    <w:rPr>
                      <w:rFonts w:hint="eastAsia"/>
                      <w:color w:val="auto"/>
                      <w:szCs w:val="21"/>
                      <w:u w:val="none"/>
                      <w:lang w:val="en-US" w:eastAsia="zh-CN"/>
                    </w:rPr>
                    <w:t>面积约2000m</w:t>
                  </w:r>
                  <w:r>
                    <w:rPr>
                      <w:rFonts w:hint="eastAsia"/>
                      <w:color w:val="auto"/>
                      <w:szCs w:val="21"/>
                      <w:u w:val="none"/>
                      <w:vertAlign w:val="superscript"/>
                      <w:lang w:val="en-US" w:eastAsia="zh-CN"/>
                    </w:rPr>
                    <w:t>2</w:t>
                  </w:r>
                  <w:r>
                    <w:rPr>
                      <w:rFonts w:hint="eastAsia"/>
                      <w:color w:val="auto"/>
                      <w:szCs w:val="21"/>
                      <w:u w:val="none"/>
                      <w:lang w:val="en-US" w:eastAsia="zh-CN"/>
                    </w:rPr>
                    <w:t>，含</w:t>
                  </w:r>
                  <w:r>
                    <w:rPr>
                      <w:color w:val="auto"/>
                      <w:szCs w:val="21"/>
                      <w:u w:val="none"/>
                    </w:rPr>
                    <w:t>蒸料</w:t>
                  </w:r>
                  <w:r>
                    <w:rPr>
                      <w:rFonts w:hint="eastAsia"/>
                      <w:color w:val="auto"/>
                      <w:szCs w:val="21"/>
                      <w:u w:val="none"/>
                      <w:lang w:val="en-US" w:eastAsia="zh-CN"/>
                    </w:rPr>
                    <w:t>间</w:t>
                  </w:r>
                  <w:r>
                    <w:rPr>
                      <w:color w:val="auto"/>
                      <w:szCs w:val="21"/>
                      <w:u w:val="none"/>
                    </w:rPr>
                    <w:t>、前期发酵</w:t>
                  </w:r>
                  <w:r>
                    <w:rPr>
                      <w:rFonts w:hint="eastAsia"/>
                      <w:color w:val="auto"/>
                      <w:szCs w:val="21"/>
                      <w:u w:val="none"/>
                      <w:lang w:val="en-US" w:eastAsia="zh-CN"/>
                    </w:rPr>
                    <w:t>间</w:t>
                  </w:r>
                  <w:r>
                    <w:rPr>
                      <w:color w:val="auto"/>
                      <w:szCs w:val="21"/>
                      <w:u w:val="none"/>
                    </w:rPr>
                    <w:t>、</w:t>
                  </w:r>
                  <w:r>
                    <w:rPr>
                      <w:rFonts w:hint="eastAsia"/>
                      <w:color w:val="auto"/>
                      <w:szCs w:val="21"/>
                      <w:u w:val="none"/>
                      <w:lang w:val="en-US" w:eastAsia="zh-CN"/>
                    </w:rPr>
                    <w:t>腌制</w:t>
                  </w:r>
                  <w:r>
                    <w:rPr>
                      <w:color w:val="auto"/>
                      <w:szCs w:val="21"/>
                      <w:u w:val="none"/>
                    </w:rPr>
                    <w:t>发酵</w:t>
                  </w:r>
                  <w:r>
                    <w:rPr>
                      <w:rFonts w:hint="eastAsia"/>
                      <w:color w:val="auto"/>
                      <w:szCs w:val="21"/>
                      <w:u w:val="none"/>
                      <w:lang w:val="en-US" w:eastAsia="zh-CN"/>
                    </w:rPr>
                    <w:t>间、发酵间</w:t>
                  </w:r>
                  <w:r>
                    <w:rPr>
                      <w:color w:val="auto"/>
                      <w:szCs w:val="21"/>
                      <w:u w:val="none"/>
                    </w:rPr>
                    <w:t>、冷库</w:t>
                  </w:r>
                  <w:r>
                    <w:rPr>
                      <w:rFonts w:hint="eastAsia"/>
                      <w:color w:val="auto"/>
                      <w:szCs w:val="21"/>
                      <w:u w:val="none"/>
                      <w:lang w:eastAsia="zh-CN"/>
                    </w:rPr>
                    <w:t>（</w:t>
                  </w:r>
                  <w:r>
                    <w:rPr>
                      <w:rFonts w:hint="eastAsia"/>
                      <w:color w:val="auto"/>
                      <w:szCs w:val="21"/>
                      <w:u w:val="none"/>
                      <w:lang w:val="en-US" w:eastAsia="zh-CN"/>
                    </w:rPr>
                    <w:t>2个，分别为</w:t>
                  </w:r>
                  <w:r>
                    <w:rPr>
                      <w:rFonts w:hint="eastAsia" w:cs="Calibri"/>
                      <w:b w:val="0"/>
                      <w:bCs w:val="0"/>
                      <w:color w:val="auto"/>
                      <w:szCs w:val="21"/>
                      <w:u w:val="none"/>
                      <w:lang w:val="en-US" w:eastAsia="zh-CN"/>
                    </w:rPr>
                    <w:t>83m</w:t>
                  </w:r>
                  <w:r>
                    <w:rPr>
                      <w:rFonts w:hint="eastAsia" w:cs="Calibri"/>
                      <w:b w:val="0"/>
                      <w:bCs w:val="0"/>
                      <w:color w:val="auto"/>
                      <w:szCs w:val="21"/>
                      <w:u w:val="none"/>
                      <w:vertAlign w:val="superscript"/>
                      <w:lang w:val="en-US" w:eastAsia="zh-CN"/>
                    </w:rPr>
                    <w:t>3</w:t>
                  </w:r>
                  <w:r>
                    <w:rPr>
                      <w:rFonts w:hint="eastAsia" w:cs="Calibri"/>
                      <w:b w:val="0"/>
                      <w:bCs w:val="0"/>
                      <w:color w:val="auto"/>
                      <w:szCs w:val="21"/>
                      <w:u w:val="none"/>
                      <w:lang w:val="en-US" w:eastAsia="zh-CN"/>
                    </w:rPr>
                    <w:t>、48m</w:t>
                  </w:r>
                  <w:r>
                    <w:rPr>
                      <w:rFonts w:hint="eastAsia" w:cs="Calibri"/>
                      <w:b w:val="0"/>
                      <w:bCs w:val="0"/>
                      <w:color w:val="auto"/>
                      <w:szCs w:val="21"/>
                      <w:u w:val="none"/>
                      <w:vertAlign w:val="superscript"/>
                      <w:lang w:val="en-US" w:eastAsia="zh-CN"/>
                    </w:rPr>
                    <w:t>3</w:t>
                  </w:r>
                  <w:r>
                    <w:rPr>
                      <w:rFonts w:hint="eastAsia"/>
                      <w:color w:val="auto"/>
                      <w:szCs w:val="21"/>
                      <w:u w:val="none"/>
                      <w:lang w:eastAsia="zh-CN"/>
                    </w:rPr>
                    <w:t>）</w:t>
                  </w:r>
                  <w:r>
                    <w:rPr>
                      <w:color w:val="auto"/>
                      <w:szCs w:val="21"/>
                      <w:u w:val="none"/>
                    </w:rPr>
                    <w:t>、临时库房、整理调制</w:t>
                  </w:r>
                  <w:r>
                    <w:rPr>
                      <w:rFonts w:hint="eastAsia"/>
                      <w:color w:val="auto"/>
                      <w:szCs w:val="21"/>
                      <w:u w:val="none"/>
                      <w:lang w:val="en-US" w:eastAsia="zh-CN"/>
                    </w:rPr>
                    <w:t>间</w:t>
                  </w:r>
                  <w:r>
                    <w:rPr>
                      <w:color w:val="auto"/>
                      <w:szCs w:val="21"/>
                      <w:u w:val="none"/>
                    </w:rPr>
                    <w:t>、内包装库、内包装间、外包装间；</w:t>
                  </w:r>
                  <w:r>
                    <w:rPr>
                      <w:rFonts w:hint="eastAsia"/>
                      <w:color w:val="auto"/>
                      <w:szCs w:val="21"/>
                      <w:u w:val="none"/>
                      <w:lang w:val="en-US" w:eastAsia="zh-CN"/>
                    </w:rPr>
                    <w:t>其中前期发酵间、腌制发酵间、发酵间、整理调制间、内包装间为洁净车间。</w:t>
                  </w:r>
                </w:p>
                <w:p>
                  <w:pPr>
                    <w:rPr>
                      <w:rFonts w:hint="default" w:eastAsia="宋体"/>
                      <w:b/>
                      <w:bCs/>
                      <w:color w:val="auto"/>
                      <w:szCs w:val="21"/>
                      <w:u w:val="none"/>
                      <w:lang w:val="en-US" w:eastAsia="zh-CN"/>
                    </w:rPr>
                  </w:pPr>
                  <w:r>
                    <w:rPr>
                      <w:rFonts w:hint="eastAsia"/>
                      <w:color w:val="auto"/>
                      <w:szCs w:val="21"/>
                      <w:u w:val="none"/>
                    </w:rPr>
                    <w:t>（3）</w:t>
                  </w:r>
                  <w:r>
                    <w:rPr>
                      <w:color w:val="auto"/>
                      <w:szCs w:val="21"/>
                      <w:u w:val="none"/>
                    </w:rPr>
                    <w:t>腐乳生产线</w:t>
                  </w:r>
                  <w:r>
                    <w:rPr>
                      <w:rFonts w:hint="eastAsia"/>
                      <w:color w:val="auto"/>
                      <w:szCs w:val="21"/>
                      <w:u w:val="none"/>
                      <w:lang w:eastAsia="zh-CN"/>
                    </w:rPr>
                    <w:t>：</w:t>
                  </w:r>
                  <w:r>
                    <w:rPr>
                      <w:rFonts w:hint="eastAsia"/>
                      <w:color w:val="auto"/>
                      <w:szCs w:val="21"/>
                      <w:u w:val="none"/>
                      <w:lang w:val="en-US" w:eastAsia="zh-CN"/>
                    </w:rPr>
                    <w:t>面积约2000m</w:t>
                  </w:r>
                  <w:r>
                    <w:rPr>
                      <w:rFonts w:hint="eastAsia"/>
                      <w:color w:val="auto"/>
                      <w:szCs w:val="21"/>
                      <w:u w:val="none"/>
                      <w:vertAlign w:val="superscript"/>
                      <w:lang w:val="en-US" w:eastAsia="zh-CN"/>
                    </w:rPr>
                    <w:t>2</w:t>
                  </w:r>
                  <w:r>
                    <w:rPr>
                      <w:rFonts w:hint="eastAsia"/>
                      <w:color w:val="auto"/>
                      <w:szCs w:val="21"/>
                      <w:u w:val="none"/>
                      <w:lang w:val="en-US" w:eastAsia="zh-CN"/>
                    </w:rPr>
                    <w:t>，含</w:t>
                  </w:r>
                  <w:r>
                    <w:rPr>
                      <w:color w:val="auto"/>
                      <w:szCs w:val="21"/>
                      <w:u w:val="none"/>
                    </w:rPr>
                    <w:t>制坯间、前期发酵间、清洗</w:t>
                  </w:r>
                  <w:r>
                    <w:rPr>
                      <w:rFonts w:hint="eastAsia"/>
                      <w:color w:val="auto"/>
                      <w:szCs w:val="21"/>
                      <w:u w:val="none"/>
                      <w:lang w:val="en-US" w:eastAsia="zh-CN"/>
                    </w:rPr>
                    <w:t>间</w:t>
                  </w:r>
                  <w:r>
                    <w:rPr>
                      <w:color w:val="auto"/>
                      <w:szCs w:val="21"/>
                      <w:u w:val="none"/>
                    </w:rPr>
                    <w:t>、腌制</w:t>
                  </w:r>
                  <w:r>
                    <w:rPr>
                      <w:rFonts w:hint="eastAsia"/>
                      <w:color w:val="auto"/>
                      <w:szCs w:val="21"/>
                      <w:u w:val="none"/>
                      <w:lang w:val="en-US" w:eastAsia="zh-CN"/>
                    </w:rPr>
                    <w:t>间</w:t>
                  </w:r>
                  <w:r>
                    <w:rPr>
                      <w:color w:val="auto"/>
                      <w:szCs w:val="21"/>
                      <w:u w:val="none"/>
                    </w:rPr>
                    <w:t>、装瓶车间、发酵仓库、整理间、外包装间</w:t>
                  </w:r>
                  <w:r>
                    <w:rPr>
                      <w:rFonts w:hint="eastAsia"/>
                      <w:color w:val="auto"/>
                      <w:szCs w:val="21"/>
                      <w:u w:val="none"/>
                    </w:rPr>
                    <w:t>；</w:t>
                  </w:r>
                  <w:r>
                    <w:rPr>
                      <w:rFonts w:hint="eastAsia"/>
                      <w:color w:val="auto"/>
                      <w:szCs w:val="21"/>
                      <w:u w:val="none"/>
                      <w:lang w:val="en-US" w:eastAsia="zh-CN"/>
                    </w:rPr>
                    <w:t>其中前期发酵间、腌制间、装瓶间、整理间为洁净车间。</w:t>
                  </w:r>
                </w:p>
                <w:p>
                  <w:pPr>
                    <w:rPr>
                      <w:rFonts w:hint="default" w:eastAsia="宋体"/>
                      <w:color w:val="auto"/>
                      <w:szCs w:val="21"/>
                      <w:u w:val="none"/>
                      <w:lang w:val="en-US" w:eastAsia="zh-CN"/>
                    </w:rPr>
                  </w:pPr>
                  <w:r>
                    <w:rPr>
                      <w:rFonts w:hint="eastAsia"/>
                      <w:color w:val="auto"/>
                      <w:szCs w:val="21"/>
                      <w:u w:val="none"/>
                    </w:rPr>
                    <w:t>（4）食用油分装生产线</w:t>
                  </w:r>
                  <w:r>
                    <w:rPr>
                      <w:rFonts w:hint="eastAsia"/>
                      <w:color w:val="auto"/>
                      <w:szCs w:val="21"/>
                      <w:u w:val="none"/>
                      <w:lang w:eastAsia="zh-CN"/>
                    </w:rPr>
                    <w:t>：</w:t>
                  </w:r>
                  <w:r>
                    <w:rPr>
                      <w:rFonts w:hint="eastAsia"/>
                      <w:color w:val="auto"/>
                      <w:szCs w:val="21"/>
                      <w:u w:val="none"/>
                      <w:lang w:val="en-US" w:eastAsia="zh-CN"/>
                    </w:rPr>
                    <w:t>面积约800m</w:t>
                  </w:r>
                  <w:r>
                    <w:rPr>
                      <w:rFonts w:hint="eastAsia"/>
                      <w:color w:val="auto"/>
                      <w:szCs w:val="21"/>
                      <w:u w:val="none"/>
                      <w:vertAlign w:val="superscript"/>
                      <w:lang w:val="en-US" w:eastAsia="zh-CN"/>
                    </w:rPr>
                    <w:t>2</w:t>
                  </w:r>
                  <w:r>
                    <w:rPr>
                      <w:rFonts w:hint="eastAsia"/>
                      <w:color w:val="auto"/>
                      <w:szCs w:val="21"/>
                      <w:u w:val="none"/>
                      <w:lang w:val="en-US" w:eastAsia="zh-CN"/>
                    </w:rPr>
                    <w:t>，含</w:t>
                  </w:r>
                  <w:r>
                    <w:rPr>
                      <w:rFonts w:hint="eastAsia"/>
                      <w:color w:val="auto"/>
                      <w:szCs w:val="21"/>
                      <w:u w:val="none"/>
                    </w:rPr>
                    <w:t>食用油罐、</w:t>
                  </w:r>
                  <w:r>
                    <w:rPr>
                      <w:rFonts w:hint="eastAsia"/>
                      <w:color w:val="auto"/>
                      <w:szCs w:val="21"/>
                      <w:u w:val="none"/>
                      <w:lang w:eastAsia="zh-CN"/>
                    </w:rPr>
                    <w:t>灌装</w:t>
                  </w:r>
                  <w:r>
                    <w:rPr>
                      <w:rFonts w:hint="eastAsia"/>
                      <w:color w:val="auto"/>
                      <w:szCs w:val="21"/>
                      <w:u w:val="none"/>
                    </w:rPr>
                    <w:t>间、包装间。</w:t>
                  </w:r>
                </w:p>
              </w:tc>
              <w:tc>
                <w:tcPr>
                  <w:tcW w:w="782"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Merge w:val="continue"/>
                  <w:vAlign w:val="center"/>
                </w:tcPr>
                <w:p>
                  <w:pPr>
                    <w:adjustRightInd w:val="0"/>
                    <w:snapToGrid w:val="0"/>
                    <w:jc w:val="center"/>
                    <w:rPr>
                      <w:color w:val="auto"/>
                      <w:szCs w:val="21"/>
                      <w:u w:val="none"/>
                    </w:rPr>
                  </w:pPr>
                </w:p>
              </w:tc>
              <w:tc>
                <w:tcPr>
                  <w:tcW w:w="3107" w:type="pct"/>
                  <w:vAlign w:val="center"/>
                </w:tcPr>
                <w:p>
                  <w:pPr>
                    <w:jc w:val="center"/>
                    <w:rPr>
                      <w:color w:val="auto"/>
                      <w:szCs w:val="21"/>
                      <w:u w:val="none"/>
                    </w:rPr>
                  </w:pPr>
                  <w:r>
                    <w:rPr>
                      <w:rFonts w:hint="eastAsia"/>
                      <w:color w:val="auto"/>
                      <w:szCs w:val="21"/>
                      <w:u w:val="none"/>
                    </w:rPr>
                    <w:t>3楼，高度5m，建筑面积7018.97m</w:t>
                  </w:r>
                  <w:r>
                    <w:rPr>
                      <w:rFonts w:hint="eastAsia"/>
                      <w:color w:val="auto"/>
                      <w:szCs w:val="21"/>
                      <w:u w:val="none"/>
                      <w:vertAlign w:val="superscript"/>
                    </w:rPr>
                    <w:t>2</w:t>
                  </w:r>
                  <w:r>
                    <w:rPr>
                      <w:rFonts w:hint="eastAsia"/>
                      <w:color w:val="auto"/>
                      <w:szCs w:val="21"/>
                      <w:u w:val="none"/>
                    </w:rPr>
                    <w:t>，为包装材料库</w:t>
                  </w:r>
                </w:p>
              </w:tc>
              <w:tc>
                <w:tcPr>
                  <w:tcW w:w="782"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adjustRightInd w:val="0"/>
                    <w:snapToGrid w:val="0"/>
                    <w:jc w:val="center"/>
                    <w:rPr>
                      <w:color w:val="auto"/>
                      <w:szCs w:val="21"/>
                      <w:u w:val="none"/>
                    </w:rPr>
                  </w:pPr>
                  <w:r>
                    <w:rPr>
                      <w:rFonts w:hint="eastAsia"/>
                      <w:color w:val="auto"/>
                      <w:szCs w:val="21"/>
                      <w:u w:val="none"/>
                    </w:rPr>
                    <w:t>1#车间</w:t>
                  </w:r>
                </w:p>
              </w:tc>
              <w:tc>
                <w:tcPr>
                  <w:tcW w:w="3107" w:type="pct"/>
                  <w:vAlign w:val="center"/>
                </w:tcPr>
                <w:p>
                  <w:pPr>
                    <w:jc w:val="center"/>
                    <w:rPr>
                      <w:rFonts w:hint="eastAsia" w:eastAsia="宋体"/>
                      <w:color w:val="auto"/>
                      <w:szCs w:val="21"/>
                      <w:u w:val="none"/>
                      <w:lang w:eastAsia="zh-CN"/>
                    </w:rPr>
                  </w:pPr>
                  <w:r>
                    <w:rPr>
                      <w:rFonts w:hint="eastAsia"/>
                      <w:color w:val="auto"/>
                      <w:szCs w:val="21"/>
                      <w:u w:val="none"/>
                    </w:rPr>
                    <w:t>1层，钢结构，总高8.5m，建筑面积3678.24m</w:t>
                  </w:r>
                  <w:r>
                    <w:rPr>
                      <w:rFonts w:hint="eastAsia"/>
                      <w:color w:val="auto"/>
                      <w:szCs w:val="21"/>
                      <w:u w:val="none"/>
                      <w:vertAlign w:val="superscript"/>
                    </w:rPr>
                    <w:t>2</w:t>
                  </w:r>
                  <w:r>
                    <w:rPr>
                      <w:rFonts w:hint="eastAsia"/>
                      <w:color w:val="auto"/>
                      <w:szCs w:val="21"/>
                      <w:u w:val="none"/>
                    </w:rPr>
                    <w:t>，</w:t>
                  </w:r>
                  <w:r>
                    <w:rPr>
                      <w:rFonts w:hint="eastAsia"/>
                      <w:color w:val="auto"/>
                      <w:szCs w:val="21"/>
                      <w:u w:val="none"/>
                      <w:lang w:val="en-US" w:eastAsia="zh-CN"/>
                    </w:rPr>
                    <w:t>预留</w:t>
                  </w:r>
                </w:p>
              </w:tc>
              <w:tc>
                <w:tcPr>
                  <w:tcW w:w="782"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adjustRightInd w:val="0"/>
                    <w:snapToGrid w:val="0"/>
                    <w:jc w:val="center"/>
                    <w:rPr>
                      <w:color w:val="auto"/>
                      <w:szCs w:val="21"/>
                      <w:u w:val="none"/>
                    </w:rPr>
                  </w:pPr>
                  <w:r>
                    <w:rPr>
                      <w:rFonts w:hint="eastAsia"/>
                      <w:color w:val="auto"/>
                      <w:szCs w:val="21"/>
                      <w:u w:val="none"/>
                    </w:rPr>
                    <w:t>2#车间</w:t>
                  </w:r>
                </w:p>
              </w:tc>
              <w:tc>
                <w:tcPr>
                  <w:tcW w:w="3107" w:type="pct"/>
                  <w:vAlign w:val="center"/>
                </w:tcPr>
                <w:p>
                  <w:pPr>
                    <w:jc w:val="center"/>
                    <w:rPr>
                      <w:color w:val="auto"/>
                      <w:szCs w:val="21"/>
                      <w:u w:val="none"/>
                    </w:rPr>
                  </w:pPr>
                  <w:r>
                    <w:rPr>
                      <w:rFonts w:hint="eastAsia"/>
                      <w:color w:val="auto"/>
                      <w:szCs w:val="21"/>
                      <w:u w:val="none"/>
                    </w:rPr>
                    <w:t>1层，钢结构，总高8.5m，建筑面积3678.24m</w:t>
                  </w:r>
                  <w:r>
                    <w:rPr>
                      <w:rFonts w:hint="eastAsia"/>
                      <w:color w:val="auto"/>
                      <w:szCs w:val="21"/>
                      <w:u w:val="none"/>
                      <w:vertAlign w:val="superscript"/>
                    </w:rPr>
                    <w:t>2</w:t>
                  </w:r>
                  <w:r>
                    <w:rPr>
                      <w:rFonts w:hint="eastAsia"/>
                      <w:color w:val="auto"/>
                      <w:szCs w:val="21"/>
                      <w:u w:val="none"/>
                    </w:rPr>
                    <w:t>，</w:t>
                  </w:r>
                  <w:r>
                    <w:rPr>
                      <w:rFonts w:hint="eastAsia"/>
                      <w:color w:val="auto"/>
                      <w:szCs w:val="21"/>
                      <w:u w:val="none"/>
                      <w:lang w:val="en-US" w:eastAsia="zh-CN"/>
                    </w:rPr>
                    <w:t>预留</w:t>
                  </w:r>
                </w:p>
              </w:tc>
              <w:tc>
                <w:tcPr>
                  <w:tcW w:w="782"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adjustRightInd w:val="0"/>
                    <w:snapToGrid w:val="0"/>
                    <w:jc w:val="center"/>
                    <w:rPr>
                      <w:color w:val="auto"/>
                      <w:szCs w:val="21"/>
                      <w:u w:val="none"/>
                    </w:rPr>
                  </w:pPr>
                  <w:r>
                    <w:rPr>
                      <w:rFonts w:hint="eastAsia"/>
                      <w:color w:val="auto"/>
                      <w:szCs w:val="21"/>
                      <w:u w:val="none"/>
                    </w:rPr>
                    <w:t>3#车间</w:t>
                  </w:r>
                </w:p>
              </w:tc>
              <w:tc>
                <w:tcPr>
                  <w:tcW w:w="3107" w:type="pct"/>
                  <w:vAlign w:val="center"/>
                </w:tcPr>
                <w:p>
                  <w:pPr>
                    <w:jc w:val="center"/>
                    <w:rPr>
                      <w:color w:val="auto"/>
                      <w:szCs w:val="21"/>
                      <w:u w:val="none"/>
                    </w:rPr>
                  </w:pPr>
                  <w:r>
                    <w:rPr>
                      <w:rFonts w:hint="eastAsia"/>
                      <w:color w:val="auto"/>
                      <w:szCs w:val="21"/>
                      <w:u w:val="none"/>
                    </w:rPr>
                    <w:t>1层，钢结构，总高8.5m，建筑面积7291.44m</w:t>
                  </w:r>
                  <w:r>
                    <w:rPr>
                      <w:rFonts w:hint="eastAsia"/>
                      <w:color w:val="auto"/>
                      <w:szCs w:val="21"/>
                      <w:u w:val="none"/>
                      <w:vertAlign w:val="superscript"/>
                    </w:rPr>
                    <w:t>2</w:t>
                  </w:r>
                  <w:r>
                    <w:rPr>
                      <w:rFonts w:hint="eastAsia"/>
                      <w:color w:val="auto"/>
                      <w:szCs w:val="21"/>
                      <w:u w:val="none"/>
                    </w:rPr>
                    <w:t>，</w:t>
                  </w:r>
                  <w:r>
                    <w:rPr>
                      <w:rFonts w:hint="eastAsia"/>
                      <w:color w:val="auto"/>
                      <w:szCs w:val="21"/>
                      <w:u w:val="none"/>
                      <w:lang w:val="en-US" w:eastAsia="zh-CN"/>
                    </w:rPr>
                    <w:t>预留</w:t>
                  </w:r>
                </w:p>
              </w:tc>
              <w:tc>
                <w:tcPr>
                  <w:tcW w:w="782"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restart"/>
                  <w:vAlign w:val="center"/>
                </w:tcPr>
                <w:p>
                  <w:pPr>
                    <w:jc w:val="center"/>
                    <w:rPr>
                      <w:color w:val="auto"/>
                      <w:szCs w:val="21"/>
                      <w:u w:val="none"/>
                    </w:rPr>
                  </w:pPr>
                  <w:r>
                    <w:rPr>
                      <w:color w:val="auto"/>
                      <w:szCs w:val="21"/>
                      <w:u w:val="none"/>
                    </w:rPr>
                    <w:t>辅助工程</w:t>
                  </w:r>
                </w:p>
              </w:tc>
              <w:tc>
                <w:tcPr>
                  <w:tcW w:w="677" w:type="pct"/>
                  <w:vAlign w:val="center"/>
                </w:tcPr>
                <w:p>
                  <w:pPr>
                    <w:jc w:val="center"/>
                    <w:rPr>
                      <w:color w:val="auto"/>
                      <w:szCs w:val="21"/>
                      <w:u w:val="none"/>
                    </w:rPr>
                  </w:pPr>
                  <w:r>
                    <w:rPr>
                      <w:rFonts w:hint="eastAsia"/>
                      <w:color w:val="auto"/>
                      <w:szCs w:val="21"/>
                      <w:u w:val="none"/>
                    </w:rPr>
                    <w:t>办公楼</w:t>
                  </w:r>
                </w:p>
              </w:tc>
              <w:tc>
                <w:tcPr>
                  <w:tcW w:w="3107" w:type="pct"/>
                  <w:vAlign w:val="center"/>
                </w:tcPr>
                <w:p>
                  <w:pPr>
                    <w:jc w:val="center"/>
                    <w:rPr>
                      <w:color w:val="auto"/>
                      <w:szCs w:val="21"/>
                      <w:u w:val="none"/>
                    </w:rPr>
                  </w:pPr>
                  <w:r>
                    <w:rPr>
                      <w:rFonts w:hint="eastAsia"/>
                      <w:color w:val="auto"/>
                      <w:szCs w:val="21"/>
                      <w:u w:val="none"/>
                    </w:rPr>
                    <w:t>4层，钢筋混凝土结构，总高12m，建筑面积3905.82m</w:t>
                  </w:r>
                  <w:r>
                    <w:rPr>
                      <w:rFonts w:hint="eastAsia"/>
                      <w:color w:val="auto"/>
                      <w:szCs w:val="21"/>
                      <w:u w:val="none"/>
                      <w:vertAlign w:val="superscript"/>
                    </w:rPr>
                    <w:t>2</w:t>
                  </w:r>
                  <w:r>
                    <w:rPr>
                      <w:rFonts w:hint="eastAsia"/>
                      <w:color w:val="auto"/>
                      <w:szCs w:val="21"/>
                      <w:u w:val="none"/>
                    </w:rPr>
                    <w:t>，用于办公</w:t>
                  </w:r>
                </w:p>
              </w:tc>
              <w:tc>
                <w:tcPr>
                  <w:tcW w:w="782" w:type="pct"/>
                  <w:vMerge w:val="restart"/>
                  <w:vAlign w:val="center"/>
                </w:tcPr>
                <w:p>
                  <w:pPr>
                    <w:jc w:val="center"/>
                    <w:rPr>
                      <w:color w:val="auto"/>
                      <w:szCs w:val="21"/>
                      <w:u w:val="none"/>
                    </w:rPr>
                  </w:pPr>
                  <w:r>
                    <w:rPr>
                      <w:rFonts w:hint="eastAsia"/>
                      <w:color w:val="auto"/>
                      <w:szCs w:val="21"/>
                      <w:u w:val="none"/>
                    </w:rPr>
                    <w:t>利用原驿通电子建筑物改建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jc w:val="center"/>
                    <w:rPr>
                      <w:color w:val="auto"/>
                      <w:szCs w:val="21"/>
                      <w:u w:val="none"/>
                    </w:rPr>
                  </w:pPr>
                  <w:r>
                    <w:rPr>
                      <w:rFonts w:hint="eastAsia"/>
                      <w:color w:val="auto"/>
                      <w:szCs w:val="21"/>
                      <w:u w:val="none"/>
                    </w:rPr>
                    <w:t>科研楼</w:t>
                  </w:r>
                </w:p>
              </w:tc>
              <w:tc>
                <w:tcPr>
                  <w:tcW w:w="3107" w:type="pct"/>
                  <w:vAlign w:val="center"/>
                </w:tcPr>
                <w:p>
                  <w:pPr>
                    <w:jc w:val="center"/>
                    <w:rPr>
                      <w:color w:val="auto"/>
                      <w:szCs w:val="21"/>
                      <w:u w:val="none"/>
                    </w:rPr>
                  </w:pPr>
                  <w:r>
                    <w:rPr>
                      <w:rFonts w:hint="eastAsia"/>
                      <w:color w:val="auto"/>
                      <w:szCs w:val="21"/>
                      <w:u w:val="none"/>
                    </w:rPr>
                    <w:t>3层，钢筋混凝土结构，总高9m，建筑面积1163.26m</w:t>
                  </w:r>
                  <w:r>
                    <w:rPr>
                      <w:rFonts w:hint="eastAsia"/>
                      <w:color w:val="auto"/>
                      <w:szCs w:val="21"/>
                      <w:u w:val="none"/>
                      <w:vertAlign w:val="superscript"/>
                    </w:rPr>
                    <w:t>2</w:t>
                  </w:r>
                  <w:r>
                    <w:rPr>
                      <w:rFonts w:hint="eastAsia"/>
                      <w:color w:val="auto"/>
                      <w:szCs w:val="21"/>
                      <w:u w:val="none"/>
                    </w:rPr>
                    <w:t>，用于</w:t>
                  </w:r>
                  <w:r>
                    <w:rPr>
                      <w:rFonts w:hint="eastAsia"/>
                      <w:color w:val="auto"/>
                      <w:szCs w:val="21"/>
                      <w:u w:val="none"/>
                      <w:lang w:val="en-US" w:eastAsia="zh-CN"/>
                    </w:rPr>
                    <w:t>食堂、</w:t>
                  </w:r>
                  <w:r>
                    <w:rPr>
                      <w:rFonts w:hint="eastAsia"/>
                      <w:color w:val="auto"/>
                      <w:szCs w:val="21"/>
                      <w:u w:val="none"/>
                    </w:rPr>
                    <w:t>办公研发、原料及产品质量检验</w:t>
                  </w:r>
                </w:p>
              </w:tc>
              <w:tc>
                <w:tcPr>
                  <w:tcW w:w="782"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jc w:val="center"/>
                    <w:rPr>
                      <w:color w:val="auto"/>
                      <w:szCs w:val="21"/>
                      <w:u w:val="none"/>
                    </w:rPr>
                  </w:pPr>
                  <w:r>
                    <w:rPr>
                      <w:rFonts w:hint="eastAsia"/>
                      <w:color w:val="auto"/>
                      <w:szCs w:val="21"/>
                      <w:u w:val="none"/>
                    </w:rPr>
                    <w:t>宿舍楼</w:t>
                  </w:r>
                </w:p>
              </w:tc>
              <w:tc>
                <w:tcPr>
                  <w:tcW w:w="3107" w:type="pct"/>
                  <w:vAlign w:val="center"/>
                </w:tcPr>
                <w:p>
                  <w:pPr>
                    <w:jc w:val="center"/>
                    <w:rPr>
                      <w:color w:val="auto"/>
                      <w:szCs w:val="21"/>
                      <w:u w:val="none"/>
                    </w:rPr>
                  </w:pPr>
                  <w:r>
                    <w:rPr>
                      <w:rFonts w:hint="eastAsia"/>
                      <w:color w:val="auto"/>
                      <w:szCs w:val="21"/>
                      <w:u w:val="none"/>
                    </w:rPr>
                    <w:t>6层，钢筋混凝土结构，总高18m，建筑面积6071.29m</w:t>
                  </w:r>
                  <w:r>
                    <w:rPr>
                      <w:rFonts w:hint="eastAsia"/>
                      <w:color w:val="auto"/>
                      <w:szCs w:val="21"/>
                      <w:u w:val="none"/>
                      <w:vertAlign w:val="superscript"/>
                    </w:rPr>
                    <w:t>2</w:t>
                  </w:r>
                  <w:r>
                    <w:rPr>
                      <w:rFonts w:hint="eastAsia"/>
                      <w:color w:val="auto"/>
                      <w:szCs w:val="21"/>
                      <w:u w:val="none"/>
                    </w:rPr>
                    <w:t>，用于员工住宿</w:t>
                  </w:r>
                </w:p>
              </w:tc>
              <w:tc>
                <w:tcPr>
                  <w:tcW w:w="782"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jc w:val="center"/>
                    <w:rPr>
                      <w:color w:val="auto"/>
                      <w:szCs w:val="21"/>
                      <w:u w:val="none"/>
                    </w:rPr>
                  </w:pPr>
                  <w:r>
                    <w:rPr>
                      <w:rFonts w:hint="eastAsia"/>
                      <w:color w:val="auto"/>
                      <w:szCs w:val="21"/>
                      <w:u w:val="none"/>
                    </w:rPr>
                    <w:t>锅炉房</w:t>
                  </w:r>
                </w:p>
              </w:tc>
              <w:tc>
                <w:tcPr>
                  <w:tcW w:w="3107" w:type="pct"/>
                  <w:vAlign w:val="center"/>
                </w:tcPr>
                <w:p>
                  <w:pPr>
                    <w:jc w:val="center"/>
                    <w:rPr>
                      <w:color w:val="auto"/>
                      <w:szCs w:val="21"/>
                      <w:u w:val="none"/>
                    </w:rPr>
                  </w:pPr>
                  <w:r>
                    <w:rPr>
                      <w:rFonts w:hint="eastAsia"/>
                      <w:color w:val="auto"/>
                      <w:szCs w:val="21"/>
                      <w:u w:val="none"/>
                    </w:rPr>
                    <w:t>建筑面积</w:t>
                  </w:r>
                  <w:r>
                    <w:rPr>
                      <w:color w:val="auto"/>
                      <w:szCs w:val="21"/>
                      <w:u w:val="none"/>
                    </w:rPr>
                    <w:t>160</w:t>
                  </w:r>
                  <w:r>
                    <w:rPr>
                      <w:rFonts w:hint="eastAsia"/>
                      <w:color w:val="auto"/>
                      <w:szCs w:val="21"/>
                      <w:u w:val="none"/>
                    </w:rPr>
                    <w:t>m</w:t>
                  </w:r>
                  <w:r>
                    <w:rPr>
                      <w:color w:val="auto"/>
                      <w:szCs w:val="21"/>
                      <w:u w:val="none"/>
                      <w:vertAlign w:val="superscript"/>
                    </w:rPr>
                    <w:t>2</w:t>
                  </w:r>
                  <w:r>
                    <w:rPr>
                      <w:rFonts w:hint="eastAsia"/>
                      <w:color w:val="auto"/>
                      <w:szCs w:val="21"/>
                      <w:u w:val="none"/>
                    </w:rPr>
                    <w:t>，位于厂房北面，设有2台燃气锅炉</w:t>
                  </w:r>
                </w:p>
              </w:tc>
              <w:tc>
                <w:tcPr>
                  <w:tcW w:w="782" w:type="pct"/>
                  <w:vAlign w:val="center"/>
                </w:tcPr>
                <w:p>
                  <w:pPr>
                    <w:jc w:val="center"/>
                    <w:rPr>
                      <w:color w:val="auto"/>
                      <w:szCs w:val="21"/>
                      <w:u w:val="none"/>
                    </w:rPr>
                  </w:pPr>
                  <w:r>
                    <w:rPr>
                      <w:rFonts w:hint="eastAsia"/>
                      <w:color w:val="auto"/>
                      <w:szCs w:val="21"/>
                      <w:u w:val="none"/>
                    </w:rPr>
                    <w:t>新建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jc w:val="center"/>
                    <w:rPr>
                      <w:color w:val="auto"/>
                      <w:szCs w:val="21"/>
                      <w:u w:val="none"/>
                    </w:rPr>
                  </w:pPr>
                  <w:r>
                    <w:rPr>
                      <w:rFonts w:hint="eastAsia"/>
                      <w:color w:val="auto"/>
                      <w:szCs w:val="21"/>
                      <w:u w:val="none"/>
                    </w:rPr>
                    <w:t>纯水制备系统</w:t>
                  </w:r>
                </w:p>
              </w:tc>
              <w:tc>
                <w:tcPr>
                  <w:tcW w:w="3107" w:type="pct"/>
                  <w:vAlign w:val="center"/>
                </w:tcPr>
                <w:p>
                  <w:pPr>
                    <w:jc w:val="center"/>
                    <w:rPr>
                      <w:color w:val="auto"/>
                      <w:szCs w:val="21"/>
                      <w:u w:val="none"/>
                    </w:rPr>
                  </w:pPr>
                  <w:r>
                    <w:rPr>
                      <w:rFonts w:hint="eastAsia"/>
                      <w:color w:val="auto"/>
                      <w:szCs w:val="21"/>
                      <w:u w:val="none"/>
                    </w:rPr>
                    <w:t>设有1台纯水机，采用“过滤</w:t>
                  </w:r>
                  <w:r>
                    <w:rPr>
                      <w:color w:val="auto"/>
                      <w:szCs w:val="21"/>
                      <w:u w:val="none"/>
                    </w:rPr>
                    <w:t>+反渗透膜</w:t>
                  </w:r>
                  <w:r>
                    <w:rPr>
                      <w:rFonts w:hint="eastAsia"/>
                      <w:color w:val="auto"/>
                      <w:szCs w:val="21"/>
                      <w:u w:val="none"/>
                    </w:rPr>
                    <w:t>”工艺</w:t>
                  </w:r>
                </w:p>
              </w:tc>
              <w:tc>
                <w:tcPr>
                  <w:tcW w:w="782" w:type="pct"/>
                  <w:vAlign w:val="center"/>
                </w:tcPr>
                <w:p>
                  <w:pPr>
                    <w:jc w:val="center"/>
                    <w:rPr>
                      <w:color w:val="auto"/>
                      <w:szCs w:val="21"/>
                      <w:u w:val="none"/>
                    </w:rPr>
                  </w:pPr>
                  <w:r>
                    <w:rPr>
                      <w:rFonts w:hint="eastAsia"/>
                      <w:color w:val="auto"/>
                      <w:szCs w:val="21"/>
                      <w:u w:val="none"/>
                    </w:rPr>
                    <w:t>新建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空气过滤系统</w:t>
                  </w:r>
                </w:p>
              </w:tc>
              <w:tc>
                <w:tcPr>
                  <w:tcW w:w="3107" w:type="pct"/>
                  <w:vAlign w:val="center"/>
                </w:tcPr>
                <w:p>
                  <w:pPr>
                    <w:jc w:val="center"/>
                    <w:rPr>
                      <w:rFonts w:hint="eastAsia"/>
                      <w:color w:val="auto"/>
                      <w:szCs w:val="21"/>
                      <w:u w:val="none"/>
                    </w:rPr>
                  </w:pPr>
                  <w:r>
                    <w:rPr>
                      <w:rFonts w:hint="eastAsia"/>
                      <w:color w:val="auto"/>
                      <w:szCs w:val="21"/>
                      <w:u w:val="none"/>
                      <w:lang w:val="en-US" w:eastAsia="zh-CN"/>
                    </w:rPr>
                    <w:t>本项目洁净车间空气洁净度为10万级，进气经过初、中、高三级净化系统处理</w:t>
                  </w:r>
                </w:p>
              </w:tc>
              <w:tc>
                <w:tcPr>
                  <w:tcW w:w="782" w:type="pct"/>
                  <w:vAlign w:val="center"/>
                </w:tcPr>
                <w:p>
                  <w:pPr>
                    <w:jc w:val="center"/>
                    <w:rPr>
                      <w:rFonts w:hint="eastAsia" w:eastAsia="宋体"/>
                      <w:color w:val="auto"/>
                      <w:szCs w:val="21"/>
                      <w:u w:val="none"/>
                      <w:lang w:val="en-US" w:eastAsia="zh-CN"/>
                    </w:rPr>
                  </w:pPr>
                  <w:r>
                    <w:rPr>
                      <w:rFonts w:hint="eastAsia"/>
                      <w:color w:val="auto"/>
                      <w:szCs w:val="21"/>
                      <w:u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rFonts w:hint="default" w:eastAsia="宋体"/>
                      <w:color w:val="auto"/>
                      <w:szCs w:val="21"/>
                      <w:u w:val="none"/>
                      <w:lang w:val="en-US" w:eastAsia="zh-CN"/>
                    </w:rPr>
                  </w:pPr>
                </w:p>
              </w:tc>
              <w:tc>
                <w:tcPr>
                  <w:tcW w:w="677"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食用油罐区</w:t>
                  </w:r>
                </w:p>
              </w:tc>
              <w:tc>
                <w:tcPr>
                  <w:tcW w:w="3107"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露天设置，占地面积80m</w:t>
                  </w:r>
                  <w:r>
                    <w:rPr>
                      <w:rFonts w:hint="eastAsia"/>
                      <w:color w:val="auto"/>
                      <w:szCs w:val="21"/>
                      <w:u w:val="none"/>
                      <w:vertAlign w:val="superscript"/>
                    </w:rPr>
                    <w:t>2</w:t>
                  </w:r>
                  <w:r>
                    <w:rPr>
                      <w:rFonts w:hint="eastAsia"/>
                      <w:color w:val="auto"/>
                      <w:szCs w:val="21"/>
                      <w:u w:val="none"/>
                    </w:rPr>
                    <w:t>，设置2个200m</w:t>
                  </w:r>
                  <w:r>
                    <w:rPr>
                      <w:rFonts w:hint="eastAsia"/>
                      <w:color w:val="auto"/>
                      <w:szCs w:val="21"/>
                      <w:u w:val="none"/>
                      <w:vertAlign w:val="superscript"/>
                    </w:rPr>
                    <w:t>3</w:t>
                  </w:r>
                  <w:r>
                    <w:rPr>
                      <w:rFonts w:hint="eastAsia"/>
                      <w:color w:val="auto"/>
                      <w:szCs w:val="21"/>
                      <w:u w:val="none"/>
                    </w:rPr>
                    <w:t>食用油罐，储存生产所需食用油，设置围堰</w:t>
                  </w:r>
                </w:p>
              </w:tc>
              <w:tc>
                <w:tcPr>
                  <w:tcW w:w="782"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新建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restart"/>
                  <w:vAlign w:val="center"/>
                </w:tcPr>
                <w:p>
                  <w:pPr>
                    <w:jc w:val="center"/>
                    <w:rPr>
                      <w:color w:val="auto"/>
                      <w:szCs w:val="21"/>
                      <w:u w:val="none"/>
                    </w:rPr>
                  </w:pPr>
                  <w:r>
                    <w:rPr>
                      <w:color w:val="auto"/>
                      <w:szCs w:val="21"/>
                      <w:u w:val="none"/>
                    </w:rPr>
                    <w:t>公用工程</w:t>
                  </w:r>
                </w:p>
              </w:tc>
              <w:tc>
                <w:tcPr>
                  <w:tcW w:w="677" w:type="pct"/>
                  <w:vAlign w:val="center"/>
                </w:tcPr>
                <w:p>
                  <w:pPr>
                    <w:jc w:val="center"/>
                    <w:rPr>
                      <w:color w:val="auto"/>
                      <w:szCs w:val="21"/>
                      <w:u w:val="none"/>
                    </w:rPr>
                  </w:pPr>
                  <w:r>
                    <w:rPr>
                      <w:color w:val="auto"/>
                      <w:szCs w:val="21"/>
                      <w:u w:val="none"/>
                    </w:rPr>
                    <w:t>供水</w:t>
                  </w:r>
                </w:p>
              </w:tc>
              <w:tc>
                <w:tcPr>
                  <w:tcW w:w="3107" w:type="pct"/>
                  <w:vAlign w:val="center"/>
                </w:tcPr>
                <w:p>
                  <w:pPr>
                    <w:jc w:val="center"/>
                    <w:rPr>
                      <w:color w:val="auto"/>
                      <w:szCs w:val="21"/>
                      <w:u w:val="none"/>
                    </w:rPr>
                  </w:pPr>
                  <w:r>
                    <w:rPr>
                      <w:color w:val="auto"/>
                      <w:szCs w:val="21"/>
                      <w:u w:val="none"/>
                    </w:rPr>
                    <w:t>自来水</w:t>
                  </w:r>
                  <w:r>
                    <w:rPr>
                      <w:rFonts w:hint="eastAsia"/>
                      <w:color w:val="auto"/>
                      <w:szCs w:val="21"/>
                      <w:u w:val="none"/>
                    </w:rPr>
                    <w:t>管道</w:t>
                  </w:r>
                  <w:r>
                    <w:rPr>
                      <w:color w:val="auto"/>
                      <w:szCs w:val="21"/>
                      <w:u w:val="none"/>
                    </w:rPr>
                    <w:t>供水</w:t>
                  </w:r>
                  <w:r>
                    <w:rPr>
                      <w:rFonts w:hint="eastAsia"/>
                      <w:color w:val="auto"/>
                      <w:szCs w:val="21"/>
                      <w:u w:val="none"/>
                    </w:rPr>
                    <w:t>，新建纯水制备系统</w:t>
                  </w:r>
                </w:p>
              </w:tc>
              <w:tc>
                <w:tcPr>
                  <w:tcW w:w="782" w:type="pct"/>
                  <w:vAlign w:val="center"/>
                </w:tcPr>
                <w:p>
                  <w:pPr>
                    <w:jc w:val="center"/>
                    <w:rPr>
                      <w:color w:val="auto"/>
                      <w:szCs w:val="21"/>
                      <w:u w:val="none"/>
                    </w:rPr>
                  </w:pPr>
                  <w:r>
                    <w:rPr>
                      <w:rFonts w:hint="eastAsia"/>
                      <w:color w:val="auto"/>
                      <w:szCs w:val="21"/>
                      <w:u w:val="none"/>
                    </w:rPr>
                    <w:t>部分利旧改造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jc w:val="center"/>
                    <w:rPr>
                      <w:color w:val="auto"/>
                      <w:szCs w:val="21"/>
                      <w:u w:val="none"/>
                    </w:rPr>
                  </w:pPr>
                  <w:r>
                    <w:rPr>
                      <w:color w:val="auto"/>
                      <w:szCs w:val="21"/>
                      <w:u w:val="none"/>
                    </w:rPr>
                    <w:t>供电</w:t>
                  </w:r>
                </w:p>
              </w:tc>
              <w:tc>
                <w:tcPr>
                  <w:tcW w:w="3107" w:type="pct"/>
                  <w:vAlign w:val="center"/>
                </w:tcPr>
                <w:p>
                  <w:pPr>
                    <w:jc w:val="center"/>
                    <w:rPr>
                      <w:color w:val="auto"/>
                      <w:szCs w:val="21"/>
                      <w:u w:val="none"/>
                    </w:rPr>
                  </w:pPr>
                  <w:r>
                    <w:rPr>
                      <w:color w:val="auto"/>
                      <w:szCs w:val="21"/>
                      <w:u w:val="none"/>
                    </w:rPr>
                    <w:t>市政电网供电</w:t>
                  </w:r>
                </w:p>
              </w:tc>
              <w:tc>
                <w:tcPr>
                  <w:tcW w:w="782" w:type="pct"/>
                  <w:vAlign w:val="center"/>
                </w:tcPr>
                <w:p>
                  <w:pPr>
                    <w:jc w:val="center"/>
                    <w:rPr>
                      <w:color w:val="auto"/>
                      <w:szCs w:val="21"/>
                      <w:u w:val="none"/>
                    </w:rPr>
                  </w:pPr>
                  <w:r>
                    <w:rPr>
                      <w:rFonts w:hint="eastAsia"/>
                      <w:color w:val="auto"/>
                      <w:szCs w:val="21"/>
                      <w:u w:val="none"/>
                    </w:rPr>
                    <w:t>部分利旧改造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jc w:val="center"/>
                    <w:rPr>
                      <w:color w:val="auto"/>
                      <w:szCs w:val="21"/>
                      <w:u w:val="none"/>
                    </w:rPr>
                  </w:pPr>
                  <w:r>
                    <w:rPr>
                      <w:rFonts w:hint="eastAsia"/>
                      <w:color w:val="auto"/>
                      <w:szCs w:val="21"/>
                      <w:u w:val="none"/>
                    </w:rPr>
                    <w:t>供气</w:t>
                  </w:r>
                </w:p>
              </w:tc>
              <w:tc>
                <w:tcPr>
                  <w:tcW w:w="3107" w:type="pct"/>
                  <w:vAlign w:val="center"/>
                </w:tcPr>
                <w:p>
                  <w:pPr>
                    <w:jc w:val="center"/>
                    <w:rPr>
                      <w:color w:val="auto"/>
                      <w:szCs w:val="21"/>
                      <w:u w:val="none"/>
                    </w:rPr>
                  </w:pPr>
                  <w:r>
                    <w:rPr>
                      <w:rFonts w:hint="eastAsia"/>
                      <w:color w:val="auto"/>
                      <w:szCs w:val="21"/>
                      <w:u w:val="none"/>
                    </w:rPr>
                    <w:t>天燃气管道供给</w:t>
                  </w:r>
                </w:p>
              </w:tc>
              <w:tc>
                <w:tcPr>
                  <w:tcW w:w="782" w:type="pct"/>
                  <w:vAlign w:val="center"/>
                </w:tcPr>
                <w:p>
                  <w:pPr>
                    <w:jc w:val="center"/>
                    <w:rPr>
                      <w:color w:val="auto"/>
                      <w:szCs w:val="21"/>
                      <w:u w:val="none"/>
                    </w:rPr>
                  </w:pPr>
                  <w:r>
                    <w:rPr>
                      <w:rFonts w:hint="eastAsia"/>
                      <w:color w:val="auto"/>
                      <w:szCs w:val="21"/>
                      <w:u w:val="none"/>
                    </w:rPr>
                    <w:t>新建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restart"/>
                  <w:vAlign w:val="center"/>
                </w:tcPr>
                <w:p>
                  <w:pPr>
                    <w:jc w:val="center"/>
                    <w:rPr>
                      <w:color w:val="auto"/>
                      <w:szCs w:val="21"/>
                      <w:u w:val="none"/>
                    </w:rPr>
                  </w:pPr>
                  <w:r>
                    <w:rPr>
                      <w:color w:val="auto"/>
                      <w:szCs w:val="21"/>
                      <w:u w:val="none"/>
                    </w:rPr>
                    <w:t>环保工程</w:t>
                  </w:r>
                </w:p>
              </w:tc>
              <w:tc>
                <w:tcPr>
                  <w:tcW w:w="677" w:type="pct"/>
                  <w:vAlign w:val="center"/>
                </w:tcPr>
                <w:p>
                  <w:pPr>
                    <w:jc w:val="center"/>
                    <w:rPr>
                      <w:color w:val="auto"/>
                      <w:szCs w:val="21"/>
                      <w:u w:val="none"/>
                    </w:rPr>
                  </w:pPr>
                  <w:r>
                    <w:rPr>
                      <w:color w:val="auto"/>
                      <w:szCs w:val="21"/>
                      <w:u w:val="none"/>
                    </w:rPr>
                    <w:t>废</w:t>
                  </w:r>
                  <w:r>
                    <w:rPr>
                      <w:rFonts w:hint="eastAsia"/>
                      <w:color w:val="auto"/>
                      <w:szCs w:val="21"/>
                      <w:u w:val="none"/>
                    </w:rPr>
                    <w:t>水</w:t>
                  </w:r>
                </w:p>
              </w:tc>
              <w:tc>
                <w:tcPr>
                  <w:tcW w:w="3107" w:type="pct"/>
                  <w:vAlign w:val="center"/>
                </w:tcPr>
                <w:p>
                  <w:pPr>
                    <w:ind w:firstLine="420" w:firstLineChars="200"/>
                    <w:jc w:val="left"/>
                    <w:rPr>
                      <w:color w:val="auto"/>
                      <w:szCs w:val="21"/>
                      <w:u w:val="none"/>
                    </w:rPr>
                  </w:pPr>
                  <w:r>
                    <w:rPr>
                      <w:rFonts w:hint="eastAsia"/>
                      <w:color w:val="auto"/>
                      <w:szCs w:val="21"/>
                      <w:u w:val="none"/>
                    </w:rPr>
                    <w:t>（1）生产废水经污水处理站（</w:t>
                  </w:r>
                  <w:r>
                    <w:rPr>
                      <w:color w:val="auto"/>
                      <w:szCs w:val="21"/>
                      <w:u w:val="none"/>
                    </w:rPr>
                    <w:t>“</w:t>
                  </w:r>
                  <w:r>
                    <w:rPr>
                      <w:rFonts w:hint="eastAsia"/>
                      <w:color w:val="auto"/>
                      <w:szCs w:val="21"/>
                      <w:u w:val="none"/>
                      <w:lang w:eastAsia="zh-CN"/>
                    </w:rPr>
                    <w:t>格栅+隔油+调节+气浮+A</w:t>
                  </w:r>
                  <w:r>
                    <w:rPr>
                      <w:rFonts w:hint="eastAsia"/>
                      <w:color w:val="auto"/>
                      <w:szCs w:val="21"/>
                      <w:u w:val="none"/>
                      <w:vertAlign w:val="superscript"/>
                      <w:lang w:eastAsia="zh-CN"/>
                    </w:rPr>
                    <w:t>2</w:t>
                  </w:r>
                  <w:r>
                    <w:rPr>
                      <w:rFonts w:hint="eastAsia"/>
                      <w:color w:val="auto"/>
                      <w:szCs w:val="21"/>
                      <w:u w:val="none"/>
                      <w:lang w:eastAsia="zh-CN"/>
                    </w:rPr>
                    <w:t>O+二沉</w:t>
                  </w:r>
                  <w:r>
                    <w:rPr>
                      <w:color w:val="auto"/>
                      <w:szCs w:val="21"/>
                      <w:u w:val="none"/>
                    </w:rPr>
                    <w:t>”，设计规模360m</w:t>
                  </w:r>
                  <w:r>
                    <w:rPr>
                      <w:color w:val="auto"/>
                      <w:szCs w:val="21"/>
                      <w:u w:val="none"/>
                      <w:vertAlign w:val="superscript"/>
                    </w:rPr>
                    <w:t>3</w:t>
                  </w:r>
                  <w:r>
                    <w:rPr>
                      <w:color w:val="auto"/>
                      <w:szCs w:val="21"/>
                      <w:u w:val="none"/>
                    </w:rPr>
                    <w:t>/d</w:t>
                  </w:r>
                  <w:r>
                    <w:rPr>
                      <w:rFonts w:hint="eastAsia"/>
                      <w:color w:val="auto"/>
                      <w:szCs w:val="21"/>
                      <w:u w:val="none"/>
                    </w:rPr>
                    <w:t>）处理；</w:t>
                  </w:r>
                </w:p>
                <w:p>
                  <w:pPr>
                    <w:ind w:firstLine="420" w:firstLineChars="200"/>
                    <w:jc w:val="left"/>
                    <w:rPr>
                      <w:color w:val="auto"/>
                      <w:szCs w:val="21"/>
                      <w:u w:val="none"/>
                    </w:rPr>
                  </w:pPr>
                  <w:r>
                    <w:rPr>
                      <w:rFonts w:hint="eastAsia"/>
                      <w:color w:val="auto"/>
                      <w:szCs w:val="21"/>
                      <w:u w:val="none"/>
                    </w:rPr>
                    <w:t>（2）质检废水经化粪池处理；</w:t>
                  </w:r>
                </w:p>
                <w:p>
                  <w:pPr>
                    <w:ind w:firstLine="420" w:firstLineChars="200"/>
                    <w:jc w:val="left"/>
                    <w:rPr>
                      <w:color w:val="auto"/>
                      <w:szCs w:val="21"/>
                      <w:u w:val="none"/>
                    </w:rPr>
                  </w:pPr>
                  <w:r>
                    <w:rPr>
                      <w:rFonts w:hint="eastAsia"/>
                      <w:color w:val="auto"/>
                      <w:szCs w:val="21"/>
                      <w:u w:val="none"/>
                    </w:rPr>
                    <w:t>（3）食堂废水经隔油池处理后与其他生活污水经化粪池处理，废水经总排口DW001排入园区管网。</w:t>
                  </w:r>
                </w:p>
              </w:tc>
              <w:tc>
                <w:tcPr>
                  <w:tcW w:w="782" w:type="pct"/>
                  <w:vAlign w:val="center"/>
                </w:tcPr>
                <w:p>
                  <w:pPr>
                    <w:jc w:val="center"/>
                    <w:rPr>
                      <w:color w:val="auto"/>
                      <w:szCs w:val="21"/>
                      <w:u w:val="none"/>
                    </w:rPr>
                  </w:pPr>
                  <w:r>
                    <w:rPr>
                      <w:rFonts w:hint="eastAsia"/>
                      <w:color w:val="auto"/>
                      <w:szCs w:val="21"/>
                      <w:u w:val="none"/>
                    </w:rPr>
                    <w:t>新建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jc w:val="center"/>
                    <w:rPr>
                      <w:color w:val="auto"/>
                      <w:szCs w:val="21"/>
                      <w:u w:val="none"/>
                    </w:rPr>
                  </w:pPr>
                  <w:r>
                    <w:rPr>
                      <w:rFonts w:hint="eastAsia"/>
                      <w:color w:val="auto"/>
                      <w:szCs w:val="21"/>
                      <w:u w:val="none"/>
                    </w:rPr>
                    <w:t>废气</w:t>
                  </w:r>
                </w:p>
              </w:tc>
              <w:tc>
                <w:tcPr>
                  <w:tcW w:w="3107" w:type="pct"/>
                  <w:vAlign w:val="center"/>
                </w:tcPr>
                <w:p>
                  <w:pPr>
                    <w:ind w:firstLine="420" w:firstLineChars="200"/>
                    <w:jc w:val="left"/>
                    <w:rPr>
                      <w:color w:val="auto"/>
                      <w:szCs w:val="21"/>
                      <w:u w:val="none"/>
                    </w:rPr>
                  </w:pPr>
                  <w:r>
                    <w:rPr>
                      <w:rFonts w:hint="eastAsia"/>
                      <w:color w:val="auto"/>
                      <w:szCs w:val="21"/>
                      <w:u w:val="none"/>
                    </w:rPr>
                    <w:t>（1）蒸汽发生器废气：低氮燃烧技术+21</w:t>
                  </w:r>
                  <w:r>
                    <w:rPr>
                      <w:color w:val="auto"/>
                      <w:szCs w:val="21"/>
                      <w:u w:val="none"/>
                    </w:rPr>
                    <w:t>m</w:t>
                  </w:r>
                  <w:r>
                    <w:rPr>
                      <w:rFonts w:hint="eastAsia"/>
                      <w:color w:val="auto"/>
                      <w:szCs w:val="21"/>
                      <w:u w:val="none"/>
                    </w:rPr>
                    <w:t>排气筒（DA001）；</w:t>
                  </w:r>
                </w:p>
                <w:p>
                  <w:pPr>
                    <w:ind w:firstLine="420" w:firstLineChars="200"/>
                    <w:jc w:val="left"/>
                    <w:rPr>
                      <w:color w:val="auto"/>
                      <w:szCs w:val="21"/>
                      <w:u w:val="none"/>
                    </w:rPr>
                  </w:pPr>
                  <w:r>
                    <w:rPr>
                      <w:rFonts w:hint="eastAsia"/>
                      <w:color w:val="auto"/>
                      <w:szCs w:val="21"/>
                      <w:u w:val="none"/>
                    </w:rPr>
                    <w:t>（2）车间炒制油烟：</w:t>
                  </w:r>
                  <w:r>
                    <w:rPr>
                      <w:color w:val="auto"/>
                      <w:szCs w:val="21"/>
                      <w:u w:val="none"/>
                    </w:rPr>
                    <w:t>两级高效静电式油烟净化器+1</w:t>
                  </w:r>
                  <w:r>
                    <w:rPr>
                      <w:rFonts w:hint="eastAsia"/>
                      <w:color w:val="auto"/>
                      <w:szCs w:val="21"/>
                      <w:u w:val="none"/>
                      <w:lang w:val="en-US" w:eastAsia="zh-CN"/>
                    </w:rPr>
                    <w:t>5</w:t>
                  </w:r>
                  <w:r>
                    <w:rPr>
                      <w:color w:val="auto"/>
                      <w:szCs w:val="21"/>
                      <w:u w:val="none"/>
                    </w:rPr>
                    <w:t>m排气筒</w:t>
                  </w:r>
                  <w:r>
                    <w:rPr>
                      <w:rFonts w:hint="eastAsia"/>
                      <w:color w:val="auto"/>
                      <w:szCs w:val="21"/>
                      <w:u w:val="none"/>
                    </w:rPr>
                    <w:t>（DA002）；</w:t>
                  </w:r>
                </w:p>
                <w:p>
                  <w:pPr>
                    <w:ind w:firstLine="420" w:firstLineChars="200"/>
                    <w:jc w:val="left"/>
                    <w:rPr>
                      <w:color w:val="auto"/>
                      <w:szCs w:val="21"/>
                      <w:u w:val="none"/>
                    </w:rPr>
                  </w:pPr>
                  <w:r>
                    <w:rPr>
                      <w:rFonts w:hint="eastAsia"/>
                      <w:color w:val="auto"/>
                      <w:szCs w:val="21"/>
                      <w:u w:val="none"/>
                    </w:rPr>
                    <w:t>（3）食堂油烟：</w:t>
                  </w:r>
                  <w:r>
                    <w:rPr>
                      <w:color w:val="auto"/>
                      <w:szCs w:val="21"/>
                      <w:u w:val="none"/>
                    </w:rPr>
                    <w:t>静电式油烟净化器+</w:t>
                  </w:r>
                  <w:r>
                    <w:rPr>
                      <w:rFonts w:hint="eastAsia"/>
                      <w:color w:val="auto"/>
                      <w:szCs w:val="21"/>
                      <w:u w:val="none"/>
                    </w:rPr>
                    <w:t>屋顶</w:t>
                  </w:r>
                  <w:r>
                    <w:rPr>
                      <w:rFonts w:hint="eastAsia"/>
                      <w:color w:val="auto"/>
                      <w:szCs w:val="21"/>
                      <w:u w:val="none"/>
                      <w:lang w:val="en-US" w:eastAsia="zh-CN"/>
                    </w:rPr>
                    <w:t>排放</w:t>
                  </w:r>
                  <w:r>
                    <w:rPr>
                      <w:rFonts w:hint="eastAsia"/>
                      <w:color w:val="auto"/>
                      <w:szCs w:val="21"/>
                      <w:u w:val="none"/>
                    </w:rPr>
                    <w:t>（DA003）；</w:t>
                  </w:r>
                </w:p>
                <w:p>
                  <w:pPr>
                    <w:ind w:firstLine="420" w:firstLineChars="200"/>
                    <w:jc w:val="left"/>
                    <w:rPr>
                      <w:color w:val="auto"/>
                      <w:szCs w:val="21"/>
                      <w:u w:val="none"/>
                    </w:rPr>
                  </w:pPr>
                  <w:r>
                    <w:rPr>
                      <w:rFonts w:hint="eastAsia"/>
                      <w:color w:val="auto"/>
                      <w:szCs w:val="21"/>
                      <w:u w:val="none"/>
                    </w:rPr>
                    <w:t>（4）污水处理站臭气：</w:t>
                  </w:r>
                  <w:r>
                    <w:rPr>
                      <w:color w:val="auto"/>
                      <w:szCs w:val="21"/>
                      <w:u w:val="none"/>
                    </w:rPr>
                    <w:t>污水池密闭负压收集+“二级喷淋+生物滤池”+15m排气筒</w:t>
                  </w:r>
                  <w:r>
                    <w:rPr>
                      <w:rFonts w:hint="eastAsia"/>
                      <w:color w:val="auto"/>
                      <w:szCs w:val="21"/>
                      <w:u w:val="none"/>
                    </w:rPr>
                    <w:t>（DA004）；</w:t>
                  </w:r>
                </w:p>
                <w:p>
                  <w:pPr>
                    <w:ind w:firstLine="420" w:firstLineChars="200"/>
                    <w:jc w:val="left"/>
                    <w:rPr>
                      <w:color w:val="auto"/>
                      <w:szCs w:val="21"/>
                      <w:u w:val="none"/>
                    </w:rPr>
                  </w:pPr>
                  <w:r>
                    <w:rPr>
                      <w:rFonts w:hint="eastAsia"/>
                      <w:color w:val="auto"/>
                      <w:szCs w:val="21"/>
                      <w:u w:val="none"/>
                    </w:rPr>
                    <w:t>（5）车间异味、搅拌粉尘：加强车间通风；</w:t>
                  </w:r>
                </w:p>
                <w:p>
                  <w:pPr>
                    <w:ind w:firstLine="420" w:firstLineChars="200"/>
                    <w:jc w:val="left"/>
                    <w:rPr>
                      <w:color w:val="auto"/>
                      <w:szCs w:val="21"/>
                      <w:u w:val="none"/>
                    </w:rPr>
                  </w:pPr>
                  <w:r>
                    <w:rPr>
                      <w:rFonts w:hint="eastAsia"/>
                      <w:color w:val="auto"/>
                      <w:szCs w:val="21"/>
                      <w:u w:val="none"/>
                    </w:rPr>
                    <w:t>（6）打码废气：采用水性油墨，加强车间通风；</w:t>
                  </w:r>
                </w:p>
                <w:p>
                  <w:pPr>
                    <w:ind w:firstLine="420" w:firstLineChars="200"/>
                    <w:jc w:val="left"/>
                    <w:rPr>
                      <w:color w:val="auto"/>
                      <w:szCs w:val="21"/>
                      <w:highlight w:val="yellow"/>
                      <w:u w:val="none"/>
                    </w:rPr>
                  </w:pPr>
                  <w:r>
                    <w:rPr>
                      <w:rFonts w:hint="eastAsia"/>
                      <w:color w:val="auto"/>
                      <w:szCs w:val="21"/>
                      <w:u w:val="none"/>
                    </w:rPr>
                    <w:t>（7）检验废气：加强实验室通风。</w:t>
                  </w:r>
                </w:p>
              </w:tc>
              <w:tc>
                <w:tcPr>
                  <w:tcW w:w="782" w:type="pct"/>
                  <w:vAlign w:val="center"/>
                </w:tcPr>
                <w:p>
                  <w:pPr>
                    <w:jc w:val="center"/>
                    <w:rPr>
                      <w:color w:val="auto"/>
                      <w:szCs w:val="21"/>
                      <w:u w:val="none"/>
                    </w:rPr>
                  </w:pPr>
                  <w:r>
                    <w:rPr>
                      <w:rFonts w:hint="eastAsia"/>
                      <w:color w:val="auto"/>
                      <w:szCs w:val="21"/>
                      <w:u w:val="none"/>
                    </w:rPr>
                    <w:t>新建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jc w:val="center"/>
                    <w:rPr>
                      <w:color w:val="auto"/>
                      <w:szCs w:val="21"/>
                      <w:u w:val="none"/>
                    </w:rPr>
                  </w:pPr>
                  <w:r>
                    <w:rPr>
                      <w:color w:val="auto"/>
                      <w:szCs w:val="21"/>
                      <w:u w:val="none"/>
                    </w:rPr>
                    <w:t>噪声</w:t>
                  </w:r>
                </w:p>
              </w:tc>
              <w:tc>
                <w:tcPr>
                  <w:tcW w:w="3107" w:type="pct"/>
                  <w:vAlign w:val="center"/>
                </w:tcPr>
                <w:p>
                  <w:pPr>
                    <w:ind w:firstLine="420" w:firstLineChars="200"/>
                    <w:jc w:val="left"/>
                    <w:rPr>
                      <w:color w:val="auto"/>
                      <w:szCs w:val="21"/>
                      <w:highlight w:val="yellow"/>
                      <w:u w:val="none"/>
                    </w:rPr>
                  </w:pPr>
                  <w:r>
                    <w:rPr>
                      <w:rFonts w:hint="eastAsia"/>
                      <w:color w:val="auto"/>
                      <w:szCs w:val="21"/>
                      <w:u w:val="none"/>
                    </w:rPr>
                    <w:t>通过合理布局，选用低噪声设备，通过厂房隔声吸声、设置减震基础、消声器、加强日常的维护和管理</w:t>
                  </w:r>
                </w:p>
              </w:tc>
              <w:tc>
                <w:tcPr>
                  <w:tcW w:w="782" w:type="pct"/>
                  <w:vAlign w:val="center"/>
                </w:tcPr>
                <w:p>
                  <w:pPr>
                    <w:jc w:val="center"/>
                    <w:rPr>
                      <w:color w:val="auto"/>
                      <w:szCs w:val="21"/>
                      <w:u w:val="none"/>
                    </w:rPr>
                  </w:pPr>
                  <w:r>
                    <w:rPr>
                      <w:rFonts w:hint="eastAsia"/>
                      <w:color w:val="auto"/>
                      <w:szCs w:val="21"/>
                      <w:u w:val="none"/>
                    </w:rPr>
                    <w:t>新建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2" w:type="pct"/>
                  <w:vMerge w:val="continue"/>
                  <w:vAlign w:val="center"/>
                </w:tcPr>
                <w:p>
                  <w:pPr>
                    <w:jc w:val="center"/>
                    <w:rPr>
                      <w:color w:val="auto"/>
                      <w:szCs w:val="21"/>
                      <w:u w:val="none"/>
                    </w:rPr>
                  </w:pPr>
                </w:p>
              </w:tc>
              <w:tc>
                <w:tcPr>
                  <w:tcW w:w="677" w:type="pct"/>
                  <w:vAlign w:val="center"/>
                </w:tcPr>
                <w:p>
                  <w:pPr>
                    <w:jc w:val="center"/>
                    <w:rPr>
                      <w:color w:val="auto"/>
                      <w:szCs w:val="21"/>
                      <w:u w:val="none"/>
                    </w:rPr>
                  </w:pPr>
                  <w:r>
                    <w:rPr>
                      <w:color w:val="auto"/>
                      <w:szCs w:val="21"/>
                      <w:u w:val="none"/>
                    </w:rPr>
                    <w:t>固废</w:t>
                  </w:r>
                </w:p>
              </w:tc>
              <w:tc>
                <w:tcPr>
                  <w:tcW w:w="3107" w:type="pct"/>
                  <w:vAlign w:val="center"/>
                </w:tcPr>
                <w:p>
                  <w:pPr>
                    <w:ind w:firstLine="420" w:firstLineChars="200"/>
                    <w:jc w:val="left"/>
                    <w:rPr>
                      <w:color w:val="auto"/>
                      <w:szCs w:val="21"/>
                      <w:highlight w:val="yellow"/>
                      <w:u w:val="none"/>
                    </w:rPr>
                  </w:pPr>
                  <w:r>
                    <w:rPr>
                      <w:rFonts w:hint="eastAsia"/>
                      <w:color w:val="auto"/>
                      <w:szCs w:val="21"/>
                      <w:u w:val="none"/>
                    </w:rPr>
                    <w:t>设置一般固废暂存间（150m</w:t>
                  </w:r>
                  <w:r>
                    <w:rPr>
                      <w:rFonts w:hint="eastAsia"/>
                      <w:color w:val="auto"/>
                      <w:szCs w:val="21"/>
                      <w:u w:val="none"/>
                      <w:vertAlign w:val="superscript"/>
                    </w:rPr>
                    <w:t>2</w:t>
                  </w:r>
                  <w:r>
                    <w:rPr>
                      <w:rFonts w:hint="eastAsia"/>
                      <w:color w:val="auto"/>
                      <w:szCs w:val="21"/>
                      <w:u w:val="none"/>
                    </w:rPr>
                    <w:t>）、危废暂存间（20m</w:t>
                  </w:r>
                  <w:r>
                    <w:rPr>
                      <w:rFonts w:hint="eastAsia"/>
                      <w:color w:val="auto"/>
                      <w:szCs w:val="21"/>
                      <w:u w:val="none"/>
                      <w:vertAlign w:val="superscript"/>
                    </w:rPr>
                    <w:t>2</w:t>
                  </w:r>
                  <w:r>
                    <w:rPr>
                      <w:rFonts w:hint="eastAsia"/>
                      <w:color w:val="auto"/>
                      <w:szCs w:val="21"/>
                      <w:u w:val="none"/>
                    </w:rPr>
                    <w:t>）、垃圾桶</w:t>
                  </w:r>
                </w:p>
              </w:tc>
              <w:tc>
                <w:tcPr>
                  <w:tcW w:w="782" w:type="pct"/>
                  <w:vAlign w:val="center"/>
                </w:tcPr>
                <w:p>
                  <w:pPr>
                    <w:jc w:val="center"/>
                    <w:rPr>
                      <w:color w:val="auto"/>
                      <w:szCs w:val="21"/>
                      <w:u w:val="none"/>
                    </w:rPr>
                  </w:pPr>
                  <w:r>
                    <w:rPr>
                      <w:rFonts w:hint="eastAsia"/>
                      <w:color w:val="auto"/>
                      <w:szCs w:val="21"/>
                      <w:u w:val="none"/>
                    </w:rPr>
                    <w:t>利用原驿通电子建筑物改建</w:t>
                  </w:r>
                </w:p>
              </w:tc>
            </w:tr>
          </w:tbl>
          <w:p>
            <w:pPr>
              <w:spacing w:line="360" w:lineRule="auto"/>
              <w:rPr>
                <w:b/>
                <w:color w:val="auto"/>
                <w:sz w:val="24"/>
                <w:u w:val="none"/>
              </w:rPr>
            </w:pPr>
            <w:r>
              <w:rPr>
                <w:rFonts w:hint="eastAsia"/>
                <w:b/>
                <w:color w:val="auto"/>
                <w:sz w:val="24"/>
                <w:u w:val="none"/>
              </w:rPr>
              <w:t>2.3</w:t>
            </w:r>
            <w:r>
              <w:rPr>
                <w:b/>
                <w:color w:val="auto"/>
                <w:sz w:val="24"/>
                <w:u w:val="none"/>
              </w:rPr>
              <w:t>项目产品方案</w:t>
            </w:r>
          </w:p>
          <w:p>
            <w:pPr>
              <w:pStyle w:val="85"/>
              <w:ind w:firstLine="480"/>
              <w:rPr>
                <w:color w:val="auto"/>
                <w:u w:val="none"/>
              </w:rPr>
            </w:pPr>
            <w:r>
              <w:rPr>
                <w:color w:val="auto"/>
                <w:u w:val="none"/>
              </w:rPr>
              <w:t>本项目产品</w:t>
            </w:r>
            <w:r>
              <w:rPr>
                <w:rFonts w:hint="eastAsia"/>
                <w:color w:val="auto"/>
                <w:u w:val="none"/>
              </w:rPr>
              <w:t>方案</w:t>
            </w:r>
            <w:r>
              <w:rPr>
                <w:color w:val="auto"/>
                <w:u w:val="none"/>
              </w:rPr>
              <w:t>见</w:t>
            </w:r>
            <w:r>
              <w:rPr>
                <w:rFonts w:hint="eastAsia"/>
                <w:color w:val="auto"/>
                <w:u w:val="none"/>
              </w:rPr>
              <w:t>下</w:t>
            </w:r>
            <w:r>
              <w:rPr>
                <w:color w:val="auto"/>
                <w:u w:val="none"/>
              </w:rPr>
              <w:t>表</w:t>
            </w:r>
            <w:r>
              <w:rPr>
                <w:rFonts w:hint="eastAsia"/>
                <w:color w:val="auto"/>
                <w:u w:val="none"/>
              </w:rPr>
              <w:t>2.3-1</w:t>
            </w:r>
            <w:r>
              <w:rPr>
                <w:color w:val="auto"/>
                <w:u w:val="none"/>
              </w:rPr>
              <w:t>。</w:t>
            </w:r>
          </w:p>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表</w:t>
            </w:r>
            <w:r>
              <w:rPr>
                <w:rFonts w:hint="eastAsia" w:ascii="Times New Roman" w:hAnsi="Times New Roman" w:eastAsia="宋体" w:cs="Times New Roman"/>
                <w:b/>
                <w:color w:val="auto"/>
                <w:u w:val="none"/>
              </w:rPr>
              <w:t>2.3-1</w:t>
            </w:r>
            <w:r>
              <w:rPr>
                <w:rFonts w:ascii="Times New Roman" w:hAnsi="Times New Roman" w:eastAsia="宋体" w:cs="Times New Roman"/>
                <w:b/>
                <w:color w:val="auto"/>
                <w:u w:val="none"/>
              </w:rPr>
              <w:t xml:space="preserve"> 本项目产品方案一览表</w:t>
            </w:r>
          </w:p>
          <w:tbl>
            <w:tblPr>
              <w:tblStyle w:val="2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657"/>
              <w:gridCol w:w="2808"/>
              <w:gridCol w:w="1707"/>
              <w:gridCol w:w="1587"/>
              <w:gridCol w:w="16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392" w:type="pct"/>
                  <w:vAlign w:val="center"/>
                </w:tcPr>
                <w:p>
                  <w:pPr>
                    <w:jc w:val="center"/>
                    <w:rPr>
                      <w:b/>
                      <w:color w:val="auto"/>
                      <w:szCs w:val="21"/>
                      <w:u w:val="none"/>
                    </w:rPr>
                  </w:pPr>
                  <w:r>
                    <w:rPr>
                      <w:rFonts w:hint="eastAsia"/>
                      <w:b/>
                      <w:color w:val="auto"/>
                      <w:szCs w:val="21"/>
                      <w:u w:val="none"/>
                    </w:rPr>
                    <w:t>序号</w:t>
                  </w:r>
                </w:p>
              </w:tc>
              <w:tc>
                <w:tcPr>
                  <w:tcW w:w="1676" w:type="pct"/>
                  <w:vAlign w:val="center"/>
                </w:tcPr>
                <w:p>
                  <w:pPr>
                    <w:jc w:val="center"/>
                    <w:rPr>
                      <w:b/>
                      <w:color w:val="auto"/>
                      <w:szCs w:val="21"/>
                      <w:u w:val="none"/>
                    </w:rPr>
                  </w:pPr>
                  <w:r>
                    <w:rPr>
                      <w:rFonts w:hint="eastAsia"/>
                      <w:b/>
                      <w:color w:val="auto"/>
                      <w:szCs w:val="21"/>
                      <w:u w:val="none"/>
                    </w:rPr>
                    <w:t>产品名称</w:t>
                  </w:r>
                </w:p>
              </w:tc>
              <w:tc>
                <w:tcPr>
                  <w:tcW w:w="1019" w:type="pct"/>
                  <w:vAlign w:val="center"/>
                </w:tcPr>
                <w:p>
                  <w:pPr>
                    <w:jc w:val="center"/>
                    <w:rPr>
                      <w:b/>
                      <w:color w:val="auto"/>
                      <w:szCs w:val="21"/>
                      <w:u w:val="none"/>
                    </w:rPr>
                  </w:pPr>
                  <w:r>
                    <w:rPr>
                      <w:rFonts w:hint="eastAsia"/>
                      <w:b/>
                      <w:color w:val="auto"/>
                      <w:szCs w:val="21"/>
                      <w:u w:val="none"/>
                    </w:rPr>
                    <w:t>产量（件/年）</w:t>
                  </w:r>
                </w:p>
              </w:tc>
              <w:tc>
                <w:tcPr>
                  <w:tcW w:w="947" w:type="pct"/>
                  <w:vAlign w:val="center"/>
                </w:tcPr>
                <w:p>
                  <w:pPr>
                    <w:jc w:val="center"/>
                    <w:rPr>
                      <w:b/>
                      <w:color w:val="auto"/>
                      <w:szCs w:val="21"/>
                      <w:u w:val="none"/>
                    </w:rPr>
                  </w:pPr>
                  <w:r>
                    <w:rPr>
                      <w:rFonts w:hint="eastAsia"/>
                      <w:b/>
                      <w:color w:val="auto"/>
                      <w:szCs w:val="21"/>
                      <w:u w:val="none"/>
                    </w:rPr>
                    <w:t>净重（吨/年）</w:t>
                  </w:r>
                </w:p>
              </w:tc>
              <w:tc>
                <w:tcPr>
                  <w:tcW w:w="964" w:type="pct"/>
                  <w:vAlign w:val="center"/>
                </w:tcPr>
                <w:p>
                  <w:pPr>
                    <w:jc w:val="center"/>
                    <w:rPr>
                      <w:b/>
                      <w:color w:val="auto"/>
                      <w:szCs w:val="21"/>
                      <w:u w:val="none"/>
                    </w:rPr>
                  </w:pPr>
                  <w:r>
                    <w:rPr>
                      <w:rFonts w:hint="eastAsia"/>
                      <w:b/>
                      <w:color w:val="auto"/>
                      <w:szCs w:val="21"/>
                      <w:u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53" w:hRule="atLeast"/>
                <w:jc w:val="center"/>
              </w:trPr>
              <w:tc>
                <w:tcPr>
                  <w:tcW w:w="392" w:type="pct"/>
                  <w:vAlign w:val="center"/>
                </w:tcPr>
                <w:p>
                  <w:pPr>
                    <w:jc w:val="center"/>
                    <w:rPr>
                      <w:color w:val="auto"/>
                      <w:szCs w:val="21"/>
                      <w:u w:val="none"/>
                    </w:rPr>
                  </w:pPr>
                  <w:r>
                    <w:rPr>
                      <w:color w:val="auto"/>
                      <w:szCs w:val="21"/>
                      <w:u w:val="none"/>
                    </w:rPr>
                    <w:t>1</w:t>
                  </w:r>
                </w:p>
              </w:tc>
              <w:tc>
                <w:tcPr>
                  <w:tcW w:w="1676" w:type="pct"/>
                  <w:vAlign w:val="center"/>
                </w:tcPr>
                <w:p>
                  <w:pPr>
                    <w:jc w:val="center"/>
                    <w:rPr>
                      <w:color w:val="auto"/>
                      <w:szCs w:val="21"/>
                      <w:u w:val="none"/>
                    </w:rPr>
                  </w:pPr>
                  <w:r>
                    <w:rPr>
                      <w:rFonts w:hint="eastAsia"/>
                      <w:color w:val="auto"/>
                      <w:szCs w:val="21"/>
                      <w:u w:val="none"/>
                    </w:rPr>
                    <w:t>麻辣豆豉</w:t>
                  </w:r>
                </w:p>
              </w:tc>
              <w:tc>
                <w:tcPr>
                  <w:tcW w:w="1019" w:type="pct"/>
                  <w:vAlign w:val="center"/>
                </w:tcPr>
                <w:p>
                  <w:pPr>
                    <w:jc w:val="center"/>
                    <w:rPr>
                      <w:color w:val="auto"/>
                      <w:szCs w:val="21"/>
                      <w:u w:val="none"/>
                    </w:rPr>
                  </w:pPr>
                  <w:r>
                    <w:rPr>
                      <w:rFonts w:hint="eastAsia"/>
                      <w:color w:val="auto"/>
                      <w:szCs w:val="21"/>
                      <w:u w:val="none"/>
                    </w:rPr>
                    <w:t>60万</w:t>
                  </w:r>
                </w:p>
              </w:tc>
              <w:tc>
                <w:tcPr>
                  <w:tcW w:w="947" w:type="pct"/>
                  <w:vAlign w:val="center"/>
                </w:tcPr>
                <w:p>
                  <w:pPr>
                    <w:jc w:val="center"/>
                    <w:rPr>
                      <w:color w:val="auto"/>
                      <w:szCs w:val="21"/>
                      <w:u w:val="none"/>
                    </w:rPr>
                  </w:pPr>
                  <w:r>
                    <w:rPr>
                      <w:rFonts w:hint="eastAsia"/>
                      <w:color w:val="auto"/>
                      <w:szCs w:val="21"/>
                      <w:u w:val="none"/>
                    </w:rPr>
                    <w:t>6000</w:t>
                  </w:r>
                </w:p>
              </w:tc>
              <w:tc>
                <w:tcPr>
                  <w:tcW w:w="964" w:type="pct"/>
                  <w:vAlign w:val="center"/>
                </w:tcPr>
                <w:p>
                  <w:pPr>
                    <w:jc w:val="center"/>
                    <w:rPr>
                      <w:color w:val="auto"/>
                      <w:szCs w:val="21"/>
                      <w:u w:val="none"/>
                    </w:rPr>
                  </w:pPr>
                  <w:r>
                    <w:rPr>
                      <w:rFonts w:hint="eastAsia"/>
                      <w:color w:val="auto"/>
                      <w:szCs w:val="21"/>
                      <w:u w:val="none"/>
                    </w:rPr>
                    <w:t>袋装，10kg/件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392" w:type="pct"/>
                  <w:vAlign w:val="center"/>
                </w:tcPr>
                <w:p>
                  <w:pPr>
                    <w:jc w:val="center"/>
                    <w:rPr>
                      <w:color w:val="auto"/>
                      <w:szCs w:val="21"/>
                      <w:u w:val="none"/>
                    </w:rPr>
                  </w:pPr>
                  <w:r>
                    <w:rPr>
                      <w:rFonts w:hint="eastAsia"/>
                      <w:color w:val="auto"/>
                      <w:szCs w:val="21"/>
                      <w:u w:val="none"/>
                    </w:rPr>
                    <w:t>2</w:t>
                  </w:r>
                </w:p>
              </w:tc>
              <w:tc>
                <w:tcPr>
                  <w:tcW w:w="1676" w:type="pct"/>
                  <w:vAlign w:val="center"/>
                </w:tcPr>
                <w:p>
                  <w:pPr>
                    <w:jc w:val="center"/>
                    <w:rPr>
                      <w:color w:val="auto"/>
                      <w:szCs w:val="21"/>
                      <w:u w:val="none"/>
                    </w:rPr>
                  </w:pPr>
                  <w:r>
                    <w:rPr>
                      <w:rFonts w:hint="eastAsia"/>
                      <w:color w:val="auto"/>
                      <w:szCs w:val="21"/>
                      <w:u w:val="none"/>
                    </w:rPr>
                    <w:t>腐乳</w:t>
                  </w:r>
                </w:p>
              </w:tc>
              <w:tc>
                <w:tcPr>
                  <w:tcW w:w="1019" w:type="pct"/>
                  <w:vAlign w:val="center"/>
                </w:tcPr>
                <w:p>
                  <w:pPr>
                    <w:jc w:val="center"/>
                    <w:rPr>
                      <w:color w:val="auto"/>
                      <w:szCs w:val="21"/>
                      <w:u w:val="none"/>
                    </w:rPr>
                  </w:pPr>
                  <w:r>
                    <w:rPr>
                      <w:rFonts w:hint="eastAsia"/>
                      <w:color w:val="auto"/>
                      <w:szCs w:val="21"/>
                      <w:u w:val="none"/>
                    </w:rPr>
                    <w:t>40万</w:t>
                  </w:r>
                </w:p>
              </w:tc>
              <w:tc>
                <w:tcPr>
                  <w:tcW w:w="947" w:type="pct"/>
                  <w:vAlign w:val="center"/>
                </w:tcPr>
                <w:p>
                  <w:pPr>
                    <w:jc w:val="center"/>
                    <w:rPr>
                      <w:color w:val="auto"/>
                      <w:szCs w:val="21"/>
                      <w:u w:val="none"/>
                    </w:rPr>
                  </w:pPr>
                  <w:r>
                    <w:rPr>
                      <w:rFonts w:hint="eastAsia"/>
                      <w:color w:val="auto"/>
                      <w:szCs w:val="21"/>
                      <w:u w:val="none"/>
                    </w:rPr>
                    <w:t>1200</w:t>
                  </w:r>
                </w:p>
              </w:tc>
              <w:tc>
                <w:tcPr>
                  <w:tcW w:w="964" w:type="pct"/>
                  <w:vAlign w:val="center"/>
                </w:tcPr>
                <w:p>
                  <w:pPr>
                    <w:jc w:val="center"/>
                    <w:rPr>
                      <w:color w:val="auto"/>
                      <w:szCs w:val="21"/>
                      <w:u w:val="none"/>
                    </w:rPr>
                  </w:pPr>
                  <w:r>
                    <w:rPr>
                      <w:rFonts w:hint="eastAsia"/>
                      <w:color w:val="auto"/>
                      <w:szCs w:val="21"/>
                      <w:u w:val="none"/>
                    </w:rPr>
                    <w:t>瓶装，3kg/件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392" w:type="pct"/>
                  <w:vAlign w:val="center"/>
                </w:tcPr>
                <w:p>
                  <w:pPr>
                    <w:jc w:val="center"/>
                    <w:rPr>
                      <w:color w:val="auto"/>
                      <w:szCs w:val="21"/>
                      <w:u w:val="none"/>
                    </w:rPr>
                  </w:pPr>
                  <w:r>
                    <w:rPr>
                      <w:rFonts w:hint="eastAsia"/>
                      <w:color w:val="auto"/>
                      <w:szCs w:val="21"/>
                      <w:u w:val="none"/>
                    </w:rPr>
                    <w:t>3</w:t>
                  </w:r>
                </w:p>
              </w:tc>
              <w:tc>
                <w:tcPr>
                  <w:tcW w:w="1676" w:type="pct"/>
                  <w:vAlign w:val="center"/>
                </w:tcPr>
                <w:p>
                  <w:pPr>
                    <w:jc w:val="center"/>
                    <w:rPr>
                      <w:color w:val="auto"/>
                      <w:szCs w:val="21"/>
                      <w:u w:val="none"/>
                    </w:rPr>
                  </w:pPr>
                  <w:r>
                    <w:rPr>
                      <w:rFonts w:hint="eastAsia"/>
                      <w:color w:val="auto"/>
                      <w:szCs w:val="21"/>
                      <w:u w:val="none"/>
                    </w:rPr>
                    <w:t>剁辣椒</w:t>
                  </w:r>
                </w:p>
              </w:tc>
              <w:tc>
                <w:tcPr>
                  <w:tcW w:w="1019" w:type="pct"/>
                  <w:vAlign w:val="center"/>
                </w:tcPr>
                <w:p>
                  <w:pPr>
                    <w:jc w:val="center"/>
                    <w:rPr>
                      <w:color w:val="auto"/>
                      <w:szCs w:val="21"/>
                      <w:u w:val="none"/>
                    </w:rPr>
                  </w:pPr>
                  <w:r>
                    <w:rPr>
                      <w:rFonts w:hint="eastAsia"/>
                      <w:color w:val="auto"/>
                      <w:szCs w:val="21"/>
                      <w:u w:val="none"/>
                    </w:rPr>
                    <w:t>80万</w:t>
                  </w:r>
                </w:p>
              </w:tc>
              <w:tc>
                <w:tcPr>
                  <w:tcW w:w="947" w:type="pct"/>
                  <w:vAlign w:val="center"/>
                </w:tcPr>
                <w:p>
                  <w:pPr>
                    <w:jc w:val="center"/>
                    <w:rPr>
                      <w:color w:val="auto"/>
                      <w:szCs w:val="21"/>
                      <w:u w:val="none"/>
                    </w:rPr>
                  </w:pPr>
                  <w:r>
                    <w:rPr>
                      <w:rFonts w:hint="eastAsia"/>
                      <w:color w:val="auto"/>
                      <w:szCs w:val="21"/>
                      <w:u w:val="none"/>
                    </w:rPr>
                    <w:t>4400</w:t>
                  </w:r>
                </w:p>
              </w:tc>
              <w:tc>
                <w:tcPr>
                  <w:tcW w:w="964" w:type="pct"/>
                  <w:vAlign w:val="center"/>
                </w:tcPr>
                <w:p>
                  <w:pPr>
                    <w:jc w:val="center"/>
                    <w:rPr>
                      <w:color w:val="auto"/>
                      <w:szCs w:val="21"/>
                      <w:u w:val="none"/>
                    </w:rPr>
                  </w:pPr>
                  <w:r>
                    <w:rPr>
                      <w:rFonts w:hint="eastAsia"/>
                      <w:color w:val="auto"/>
                      <w:szCs w:val="21"/>
                      <w:u w:val="none"/>
                    </w:rPr>
                    <w:t>瓶装，5.5kg/件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392" w:type="pct"/>
                  <w:vAlign w:val="center"/>
                </w:tcPr>
                <w:p>
                  <w:pPr>
                    <w:jc w:val="center"/>
                    <w:rPr>
                      <w:color w:val="auto"/>
                      <w:szCs w:val="21"/>
                      <w:u w:val="none"/>
                    </w:rPr>
                  </w:pPr>
                  <w:r>
                    <w:rPr>
                      <w:rFonts w:hint="eastAsia"/>
                      <w:color w:val="auto"/>
                      <w:szCs w:val="21"/>
                      <w:u w:val="none"/>
                    </w:rPr>
                    <w:t>4</w:t>
                  </w:r>
                </w:p>
              </w:tc>
              <w:tc>
                <w:tcPr>
                  <w:tcW w:w="1676" w:type="pct"/>
                  <w:vAlign w:val="center"/>
                </w:tcPr>
                <w:p>
                  <w:pPr>
                    <w:jc w:val="center"/>
                    <w:rPr>
                      <w:color w:val="auto"/>
                      <w:szCs w:val="21"/>
                      <w:u w:val="none"/>
                    </w:rPr>
                  </w:pPr>
                  <w:r>
                    <w:rPr>
                      <w:rFonts w:hint="eastAsia"/>
                      <w:color w:val="auto"/>
                      <w:szCs w:val="21"/>
                      <w:u w:val="none"/>
                    </w:rPr>
                    <w:t>油辣椒</w:t>
                  </w:r>
                </w:p>
              </w:tc>
              <w:tc>
                <w:tcPr>
                  <w:tcW w:w="1019" w:type="pct"/>
                  <w:vAlign w:val="center"/>
                </w:tcPr>
                <w:p>
                  <w:pPr>
                    <w:jc w:val="center"/>
                    <w:rPr>
                      <w:color w:val="auto"/>
                      <w:szCs w:val="21"/>
                      <w:u w:val="none"/>
                    </w:rPr>
                  </w:pPr>
                  <w:r>
                    <w:rPr>
                      <w:rFonts w:hint="eastAsia"/>
                      <w:color w:val="auto"/>
                      <w:szCs w:val="21"/>
                      <w:u w:val="none"/>
                    </w:rPr>
                    <w:t>20万</w:t>
                  </w:r>
                </w:p>
              </w:tc>
              <w:tc>
                <w:tcPr>
                  <w:tcW w:w="947" w:type="pct"/>
                  <w:vAlign w:val="center"/>
                </w:tcPr>
                <w:p>
                  <w:pPr>
                    <w:jc w:val="center"/>
                    <w:rPr>
                      <w:color w:val="auto"/>
                      <w:szCs w:val="21"/>
                      <w:u w:val="none"/>
                    </w:rPr>
                  </w:pPr>
                  <w:r>
                    <w:rPr>
                      <w:rFonts w:hint="eastAsia"/>
                      <w:color w:val="auto"/>
                      <w:szCs w:val="21"/>
                      <w:u w:val="none"/>
                    </w:rPr>
                    <w:t>1100</w:t>
                  </w:r>
                </w:p>
              </w:tc>
              <w:tc>
                <w:tcPr>
                  <w:tcW w:w="964" w:type="pct"/>
                  <w:vAlign w:val="center"/>
                </w:tcPr>
                <w:p>
                  <w:pPr>
                    <w:jc w:val="center"/>
                    <w:rPr>
                      <w:color w:val="auto"/>
                      <w:szCs w:val="21"/>
                      <w:u w:val="none"/>
                    </w:rPr>
                  </w:pPr>
                  <w:r>
                    <w:rPr>
                      <w:rFonts w:hint="eastAsia"/>
                      <w:color w:val="auto"/>
                      <w:szCs w:val="21"/>
                      <w:u w:val="none"/>
                    </w:rPr>
                    <w:t>瓶装，5.5kg/件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392" w:type="pct"/>
                  <w:vAlign w:val="center"/>
                </w:tcPr>
                <w:p>
                  <w:pPr>
                    <w:jc w:val="center"/>
                    <w:rPr>
                      <w:color w:val="auto"/>
                      <w:szCs w:val="21"/>
                      <w:u w:val="none"/>
                    </w:rPr>
                  </w:pPr>
                  <w:r>
                    <w:rPr>
                      <w:rFonts w:hint="eastAsia"/>
                      <w:color w:val="auto"/>
                      <w:szCs w:val="21"/>
                      <w:u w:val="none"/>
                    </w:rPr>
                    <w:t>5</w:t>
                  </w:r>
                </w:p>
              </w:tc>
              <w:tc>
                <w:tcPr>
                  <w:tcW w:w="1676" w:type="pct"/>
                  <w:vAlign w:val="center"/>
                </w:tcPr>
                <w:p>
                  <w:pPr>
                    <w:jc w:val="center"/>
                    <w:rPr>
                      <w:color w:val="auto"/>
                      <w:szCs w:val="21"/>
                      <w:u w:val="none"/>
                    </w:rPr>
                  </w:pPr>
                  <w:r>
                    <w:rPr>
                      <w:rFonts w:hint="eastAsia"/>
                      <w:color w:val="auto"/>
                      <w:szCs w:val="21"/>
                      <w:u w:val="none"/>
                    </w:rPr>
                    <w:t>下饭菜</w:t>
                  </w:r>
                </w:p>
              </w:tc>
              <w:tc>
                <w:tcPr>
                  <w:tcW w:w="1019" w:type="pct"/>
                  <w:vAlign w:val="center"/>
                </w:tcPr>
                <w:p>
                  <w:pPr>
                    <w:jc w:val="center"/>
                    <w:rPr>
                      <w:color w:val="auto"/>
                      <w:szCs w:val="21"/>
                      <w:u w:val="none"/>
                    </w:rPr>
                  </w:pPr>
                  <w:r>
                    <w:rPr>
                      <w:rFonts w:hint="eastAsia"/>
                      <w:color w:val="auto"/>
                      <w:szCs w:val="21"/>
                      <w:u w:val="none"/>
                    </w:rPr>
                    <w:t>20万</w:t>
                  </w:r>
                </w:p>
              </w:tc>
              <w:tc>
                <w:tcPr>
                  <w:tcW w:w="947" w:type="pct"/>
                  <w:vAlign w:val="center"/>
                </w:tcPr>
                <w:p>
                  <w:pPr>
                    <w:jc w:val="center"/>
                    <w:rPr>
                      <w:color w:val="auto"/>
                      <w:szCs w:val="21"/>
                      <w:u w:val="none"/>
                    </w:rPr>
                  </w:pPr>
                  <w:r>
                    <w:rPr>
                      <w:rFonts w:hint="eastAsia"/>
                      <w:color w:val="auto"/>
                      <w:szCs w:val="21"/>
                      <w:u w:val="none"/>
                    </w:rPr>
                    <w:t>700</w:t>
                  </w:r>
                </w:p>
              </w:tc>
              <w:tc>
                <w:tcPr>
                  <w:tcW w:w="964" w:type="pct"/>
                  <w:vAlign w:val="center"/>
                </w:tcPr>
                <w:p>
                  <w:pPr>
                    <w:jc w:val="center"/>
                    <w:rPr>
                      <w:color w:val="auto"/>
                      <w:szCs w:val="21"/>
                      <w:u w:val="none"/>
                    </w:rPr>
                  </w:pPr>
                  <w:r>
                    <w:rPr>
                      <w:rFonts w:hint="eastAsia"/>
                      <w:color w:val="auto"/>
                      <w:szCs w:val="21"/>
                      <w:u w:val="none"/>
                    </w:rPr>
                    <w:t>瓶装，3.5kg/件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392" w:type="pct"/>
                  <w:vAlign w:val="center"/>
                </w:tcPr>
                <w:p>
                  <w:pPr>
                    <w:jc w:val="center"/>
                    <w:rPr>
                      <w:color w:val="auto"/>
                      <w:szCs w:val="21"/>
                      <w:u w:val="none"/>
                    </w:rPr>
                  </w:pPr>
                  <w:r>
                    <w:rPr>
                      <w:rFonts w:hint="eastAsia"/>
                      <w:color w:val="auto"/>
                      <w:szCs w:val="21"/>
                      <w:u w:val="none"/>
                    </w:rPr>
                    <w:t>6</w:t>
                  </w:r>
                </w:p>
              </w:tc>
              <w:tc>
                <w:tcPr>
                  <w:tcW w:w="1676" w:type="pct"/>
                  <w:vAlign w:val="center"/>
                </w:tcPr>
                <w:p>
                  <w:pPr>
                    <w:jc w:val="center"/>
                    <w:rPr>
                      <w:color w:val="auto"/>
                      <w:szCs w:val="21"/>
                      <w:u w:val="none"/>
                    </w:rPr>
                  </w:pPr>
                  <w:r>
                    <w:rPr>
                      <w:rFonts w:hint="eastAsia"/>
                      <w:color w:val="auto"/>
                      <w:szCs w:val="21"/>
                      <w:u w:val="none"/>
                    </w:rPr>
                    <w:t>分装食用油</w:t>
                  </w:r>
                </w:p>
              </w:tc>
              <w:tc>
                <w:tcPr>
                  <w:tcW w:w="1019" w:type="pct"/>
                  <w:vAlign w:val="center"/>
                </w:tcPr>
                <w:p>
                  <w:pPr>
                    <w:jc w:val="center"/>
                    <w:rPr>
                      <w:color w:val="auto"/>
                      <w:szCs w:val="21"/>
                      <w:u w:val="none"/>
                    </w:rPr>
                  </w:pPr>
                  <w:r>
                    <w:rPr>
                      <w:rFonts w:hint="eastAsia"/>
                      <w:color w:val="auto"/>
                      <w:szCs w:val="21"/>
                      <w:u w:val="none"/>
                    </w:rPr>
                    <w:t>40万</w:t>
                  </w:r>
                </w:p>
              </w:tc>
              <w:tc>
                <w:tcPr>
                  <w:tcW w:w="947" w:type="pct"/>
                  <w:vAlign w:val="center"/>
                </w:tcPr>
                <w:p>
                  <w:pPr>
                    <w:jc w:val="center"/>
                    <w:rPr>
                      <w:color w:val="auto"/>
                      <w:szCs w:val="21"/>
                      <w:u w:val="none"/>
                    </w:rPr>
                  </w:pPr>
                  <w:r>
                    <w:rPr>
                      <w:rFonts w:hint="eastAsia"/>
                      <w:color w:val="auto"/>
                      <w:szCs w:val="21"/>
                      <w:u w:val="none"/>
                    </w:rPr>
                    <w:t>7680</w:t>
                  </w:r>
                </w:p>
              </w:tc>
              <w:tc>
                <w:tcPr>
                  <w:tcW w:w="964" w:type="pct"/>
                  <w:vAlign w:val="center"/>
                </w:tcPr>
                <w:p>
                  <w:pPr>
                    <w:jc w:val="center"/>
                    <w:rPr>
                      <w:color w:val="auto"/>
                      <w:szCs w:val="21"/>
                      <w:u w:val="none"/>
                    </w:rPr>
                  </w:pPr>
                  <w:r>
                    <w:rPr>
                      <w:rFonts w:hint="eastAsia"/>
                      <w:color w:val="auto"/>
                      <w:szCs w:val="21"/>
                      <w:u w:val="none"/>
                    </w:rPr>
                    <w:t>瓶装，19.2kg/件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392" w:type="pct"/>
                  <w:vAlign w:val="center"/>
                </w:tcPr>
                <w:p>
                  <w:pPr>
                    <w:jc w:val="center"/>
                    <w:rPr>
                      <w:color w:val="auto"/>
                      <w:szCs w:val="21"/>
                      <w:u w:val="none"/>
                    </w:rPr>
                  </w:pPr>
                  <w:r>
                    <w:rPr>
                      <w:rFonts w:hint="eastAsia"/>
                      <w:color w:val="auto"/>
                      <w:szCs w:val="21"/>
                      <w:u w:val="none"/>
                    </w:rPr>
                    <w:t>7</w:t>
                  </w:r>
                </w:p>
              </w:tc>
              <w:tc>
                <w:tcPr>
                  <w:tcW w:w="1676" w:type="pct"/>
                  <w:vAlign w:val="center"/>
                </w:tcPr>
                <w:p>
                  <w:pPr>
                    <w:jc w:val="center"/>
                    <w:rPr>
                      <w:color w:val="auto"/>
                      <w:szCs w:val="21"/>
                      <w:u w:val="none"/>
                    </w:rPr>
                  </w:pPr>
                  <w:r>
                    <w:rPr>
                      <w:rFonts w:hint="eastAsia"/>
                      <w:color w:val="auto"/>
                      <w:szCs w:val="21"/>
                      <w:u w:val="none"/>
                    </w:rPr>
                    <w:t>合计</w:t>
                  </w:r>
                </w:p>
              </w:tc>
              <w:tc>
                <w:tcPr>
                  <w:tcW w:w="1019" w:type="pct"/>
                  <w:vAlign w:val="center"/>
                </w:tcPr>
                <w:p>
                  <w:pPr>
                    <w:jc w:val="center"/>
                    <w:rPr>
                      <w:color w:val="auto"/>
                      <w:szCs w:val="21"/>
                      <w:u w:val="none"/>
                    </w:rPr>
                  </w:pPr>
                  <w:r>
                    <w:rPr>
                      <w:rFonts w:hint="eastAsia"/>
                      <w:color w:val="auto"/>
                      <w:szCs w:val="21"/>
                      <w:u w:val="none"/>
                    </w:rPr>
                    <w:t>260万</w:t>
                  </w:r>
                </w:p>
              </w:tc>
              <w:tc>
                <w:tcPr>
                  <w:tcW w:w="947" w:type="pct"/>
                  <w:vAlign w:val="center"/>
                </w:tcPr>
                <w:p>
                  <w:pPr>
                    <w:jc w:val="center"/>
                    <w:rPr>
                      <w:color w:val="auto"/>
                      <w:szCs w:val="21"/>
                      <w:u w:val="none"/>
                    </w:rPr>
                  </w:pPr>
                  <w:r>
                    <w:rPr>
                      <w:rFonts w:hint="eastAsia"/>
                      <w:color w:val="auto"/>
                      <w:szCs w:val="21"/>
                      <w:u w:val="none"/>
                    </w:rPr>
                    <w:t>21060</w:t>
                  </w:r>
                </w:p>
              </w:tc>
              <w:tc>
                <w:tcPr>
                  <w:tcW w:w="964" w:type="pct"/>
                  <w:vAlign w:val="center"/>
                </w:tcPr>
                <w:p>
                  <w:pPr>
                    <w:jc w:val="center"/>
                    <w:rPr>
                      <w:color w:val="auto"/>
                      <w:szCs w:val="21"/>
                      <w:u w:val="none"/>
                    </w:rPr>
                  </w:pPr>
                </w:p>
              </w:tc>
            </w:tr>
          </w:tbl>
          <w:p>
            <w:pPr>
              <w:spacing w:line="360" w:lineRule="auto"/>
              <w:rPr>
                <w:b/>
                <w:color w:val="auto"/>
                <w:sz w:val="24"/>
                <w:u w:val="none"/>
              </w:rPr>
            </w:pPr>
            <w:r>
              <w:rPr>
                <w:rFonts w:hint="eastAsia"/>
                <w:b/>
                <w:color w:val="auto"/>
                <w:sz w:val="24"/>
                <w:u w:val="none"/>
              </w:rPr>
              <w:t xml:space="preserve">2.4 </w:t>
            </w:r>
            <w:r>
              <w:rPr>
                <w:b/>
                <w:color w:val="auto"/>
                <w:sz w:val="24"/>
                <w:u w:val="none"/>
              </w:rPr>
              <w:t>主要原辅材料种类和用量</w:t>
            </w:r>
          </w:p>
          <w:p>
            <w:pPr>
              <w:spacing w:line="360" w:lineRule="auto"/>
              <w:ind w:firstLine="434" w:firstLineChars="180"/>
              <w:rPr>
                <w:rFonts w:hint="eastAsia"/>
                <w:b/>
                <w:bCs/>
                <w:color w:val="auto"/>
                <w:sz w:val="24"/>
                <w:u w:val="none"/>
              </w:rPr>
            </w:pPr>
            <w:r>
              <w:rPr>
                <w:rFonts w:hint="eastAsia"/>
                <w:b/>
                <w:bCs/>
                <w:color w:val="auto"/>
                <w:sz w:val="24"/>
                <w:u w:val="none"/>
              </w:rPr>
              <w:t>2.4.1 原辅材料消耗</w:t>
            </w:r>
          </w:p>
          <w:p>
            <w:pPr>
              <w:spacing w:line="360" w:lineRule="auto"/>
              <w:ind w:firstLine="432" w:firstLineChars="180"/>
              <w:rPr>
                <w:color w:val="auto"/>
                <w:sz w:val="24"/>
                <w:u w:val="none"/>
              </w:rPr>
            </w:pPr>
            <w:r>
              <w:rPr>
                <w:color w:val="auto"/>
                <w:sz w:val="24"/>
                <w:u w:val="none"/>
              </w:rPr>
              <w:t>本项目主要</w:t>
            </w:r>
            <w:r>
              <w:rPr>
                <w:rFonts w:hint="eastAsia"/>
                <w:color w:val="auto"/>
                <w:sz w:val="24"/>
                <w:u w:val="none"/>
              </w:rPr>
              <w:t>原料消耗</w:t>
            </w:r>
            <w:r>
              <w:rPr>
                <w:color w:val="auto"/>
                <w:sz w:val="24"/>
                <w:u w:val="none"/>
              </w:rPr>
              <w:t>情况详见表</w:t>
            </w:r>
            <w:r>
              <w:rPr>
                <w:rFonts w:hint="eastAsia"/>
                <w:color w:val="auto"/>
                <w:sz w:val="24"/>
                <w:u w:val="none"/>
              </w:rPr>
              <w:t>2.4-1，其他生产辅料、能源、质检原料用量见表2.4-2</w:t>
            </w:r>
            <w:r>
              <w:rPr>
                <w:color w:val="auto"/>
                <w:sz w:val="24"/>
                <w:u w:val="none"/>
              </w:rPr>
              <w:t>。</w:t>
            </w:r>
          </w:p>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表2</w:t>
            </w:r>
            <w:r>
              <w:rPr>
                <w:rFonts w:hint="eastAsia" w:ascii="Times New Roman" w:hAnsi="Times New Roman" w:eastAsia="宋体" w:cs="Times New Roman"/>
                <w:b/>
                <w:color w:val="auto"/>
                <w:u w:val="none"/>
              </w:rPr>
              <w:t>.4-1</w:t>
            </w:r>
            <w:r>
              <w:rPr>
                <w:rFonts w:ascii="Times New Roman" w:hAnsi="Times New Roman" w:eastAsia="宋体" w:cs="Times New Roman"/>
                <w:b/>
                <w:color w:val="auto"/>
                <w:u w:val="none"/>
              </w:rPr>
              <w:t xml:space="preserve">  主要</w:t>
            </w:r>
            <w:r>
              <w:rPr>
                <w:rFonts w:hint="eastAsia" w:ascii="Times New Roman" w:hAnsi="Times New Roman" w:eastAsia="宋体" w:cs="Times New Roman"/>
                <w:b/>
                <w:color w:val="auto"/>
                <w:u w:val="none"/>
              </w:rPr>
              <w:t>原材料</w:t>
            </w:r>
            <w:r>
              <w:rPr>
                <w:rFonts w:ascii="Times New Roman" w:hAnsi="Times New Roman" w:eastAsia="宋体" w:cs="Times New Roman"/>
                <w:b/>
                <w:color w:val="auto"/>
                <w:u w:val="none"/>
              </w:rPr>
              <w:t>种类和用量一览表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1746"/>
              <w:gridCol w:w="1019"/>
              <w:gridCol w:w="1294"/>
              <w:gridCol w:w="191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Align w:val="center"/>
                </w:tcPr>
                <w:p>
                  <w:pPr>
                    <w:jc w:val="center"/>
                    <w:rPr>
                      <w:b/>
                      <w:color w:val="auto"/>
                      <w:szCs w:val="21"/>
                      <w:u w:val="none"/>
                    </w:rPr>
                  </w:pPr>
                  <w:r>
                    <w:rPr>
                      <w:rFonts w:hint="eastAsia"/>
                      <w:b/>
                      <w:color w:val="auto"/>
                      <w:szCs w:val="21"/>
                      <w:u w:val="none"/>
                    </w:rPr>
                    <w:t>产品</w:t>
                  </w:r>
                </w:p>
              </w:tc>
              <w:tc>
                <w:tcPr>
                  <w:tcW w:w="1042" w:type="pct"/>
                  <w:vAlign w:val="center"/>
                </w:tcPr>
                <w:p>
                  <w:pPr>
                    <w:jc w:val="center"/>
                    <w:rPr>
                      <w:b/>
                      <w:color w:val="auto"/>
                      <w:szCs w:val="21"/>
                      <w:u w:val="none"/>
                    </w:rPr>
                  </w:pPr>
                  <w:r>
                    <w:rPr>
                      <w:rFonts w:hint="eastAsia"/>
                      <w:b/>
                      <w:color w:val="auto"/>
                      <w:szCs w:val="21"/>
                      <w:u w:val="none"/>
                    </w:rPr>
                    <w:t>原料</w:t>
                  </w:r>
                  <w:r>
                    <w:rPr>
                      <w:b/>
                      <w:color w:val="auto"/>
                      <w:szCs w:val="21"/>
                      <w:u w:val="none"/>
                    </w:rPr>
                    <w:t>名称</w:t>
                  </w:r>
                </w:p>
              </w:tc>
              <w:tc>
                <w:tcPr>
                  <w:tcW w:w="608" w:type="pct"/>
                  <w:vAlign w:val="center"/>
                </w:tcPr>
                <w:p>
                  <w:pPr>
                    <w:jc w:val="center"/>
                    <w:rPr>
                      <w:b/>
                      <w:color w:val="auto"/>
                      <w:szCs w:val="21"/>
                      <w:u w:val="none"/>
                    </w:rPr>
                  </w:pPr>
                  <w:r>
                    <w:rPr>
                      <w:rFonts w:hint="eastAsia"/>
                      <w:b/>
                      <w:color w:val="auto"/>
                      <w:szCs w:val="21"/>
                      <w:u w:val="none"/>
                    </w:rPr>
                    <w:t>单位</w:t>
                  </w:r>
                </w:p>
              </w:tc>
              <w:tc>
                <w:tcPr>
                  <w:tcW w:w="772" w:type="pct"/>
                  <w:vAlign w:val="center"/>
                </w:tcPr>
                <w:p>
                  <w:pPr>
                    <w:jc w:val="center"/>
                    <w:rPr>
                      <w:b/>
                      <w:color w:val="auto"/>
                      <w:szCs w:val="21"/>
                      <w:u w:val="none"/>
                    </w:rPr>
                  </w:pPr>
                  <w:r>
                    <w:rPr>
                      <w:rFonts w:hint="eastAsia"/>
                      <w:b/>
                      <w:color w:val="auto"/>
                      <w:szCs w:val="21"/>
                      <w:u w:val="none"/>
                    </w:rPr>
                    <w:t>年用量</w:t>
                  </w:r>
                </w:p>
              </w:tc>
              <w:tc>
                <w:tcPr>
                  <w:tcW w:w="1142" w:type="pct"/>
                </w:tcPr>
                <w:p>
                  <w:pPr>
                    <w:jc w:val="center"/>
                    <w:rPr>
                      <w:b/>
                      <w:color w:val="auto"/>
                      <w:szCs w:val="21"/>
                      <w:u w:val="none"/>
                    </w:rPr>
                  </w:pPr>
                  <w:r>
                    <w:rPr>
                      <w:rFonts w:hint="eastAsia"/>
                      <w:b/>
                      <w:color w:val="auto"/>
                      <w:szCs w:val="21"/>
                      <w:u w:val="none"/>
                    </w:rPr>
                    <w:t>最大储存量（t）</w:t>
                  </w:r>
                </w:p>
              </w:tc>
              <w:tc>
                <w:tcPr>
                  <w:tcW w:w="833" w:type="pct"/>
                  <w:vAlign w:val="center"/>
                </w:tcPr>
                <w:p>
                  <w:pPr>
                    <w:jc w:val="center"/>
                    <w:rPr>
                      <w:b/>
                      <w:color w:val="auto"/>
                      <w:szCs w:val="21"/>
                      <w:u w:val="none"/>
                    </w:rPr>
                  </w:pPr>
                  <w:r>
                    <w:rPr>
                      <w:rFonts w:hint="eastAsia"/>
                      <w:b/>
                      <w:color w:val="auto"/>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restart"/>
                  <w:vAlign w:val="center"/>
                </w:tcPr>
                <w:p>
                  <w:pPr>
                    <w:jc w:val="center"/>
                    <w:rPr>
                      <w:color w:val="auto"/>
                      <w:szCs w:val="21"/>
                      <w:u w:val="none"/>
                    </w:rPr>
                  </w:pPr>
                  <w:r>
                    <w:rPr>
                      <w:rFonts w:hint="eastAsia"/>
                      <w:color w:val="auto"/>
                      <w:szCs w:val="21"/>
                      <w:u w:val="none"/>
                    </w:rPr>
                    <w:t>麻辣豆豉</w:t>
                  </w:r>
                </w:p>
              </w:tc>
              <w:tc>
                <w:tcPr>
                  <w:tcW w:w="1042" w:type="pct"/>
                  <w:vAlign w:val="center"/>
                </w:tcPr>
                <w:p>
                  <w:pPr>
                    <w:widowControl/>
                    <w:jc w:val="center"/>
                    <w:rPr>
                      <w:color w:val="auto"/>
                      <w:kern w:val="0"/>
                      <w:szCs w:val="21"/>
                      <w:u w:val="none"/>
                    </w:rPr>
                  </w:pPr>
                  <w:r>
                    <w:rPr>
                      <w:rFonts w:hint="eastAsia"/>
                      <w:color w:val="auto"/>
                      <w:kern w:val="0"/>
                      <w:szCs w:val="21"/>
                      <w:u w:val="none"/>
                    </w:rPr>
                    <w:t>黄豆</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2670</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222.5</w:t>
                  </w:r>
                </w:p>
              </w:tc>
              <w:tc>
                <w:tcPr>
                  <w:tcW w:w="833" w:type="pct"/>
                  <w:vAlign w:val="center"/>
                </w:tcPr>
                <w:p>
                  <w:pPr>
                    <w:jc w:val="center"/>
                    <w:rPr>
                      <w:rFonts w:hint="eastAsia"/>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食盐</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305</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25.4</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干辣椒</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57</w:t>
                  </w:r>
                  <w:r>
                    <w:rPr>
                      <w:rFonts w:hint="eastAsia"/>
                      <w:color w:val="auto"/>
                      <w:szCs w:val="21"/>
                      <w:u w:val="none"/>
                    </w:rPr>
                    <w:t>7</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48.1</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菌种</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8</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0.7</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食用植物油</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1144</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324</w:t>
                  </w:r>
                </w:p>
              </w:tc>
              <w:tc>
                <w:tcPr>
                  <w:tcW w:w="833" w:type="pct"/>
                  <w:vAlign w:val="center"/>
                </w:tcPr>
                <w:p>
                  <w:pPr>
                    <w:jc w:val="center"/>
                    <w:rPr>
                      <w:color w:val="auto"/>
                      <w:szCs w:val="21"/>
                      <w:u w:val="none"/>
                    </w:rPr>
                  </w:pPr>
                  <w:r>
                    <w:rPr>
                      <w:rFonts w:hint="eastAsia"/>
                      <w:color w:val="auto"/>
                      <w:szCs w:val="21"/>
                      <w:u w:val="none"/>
                    </w:rPr>
                    <w:t>储罐散装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白砂糖</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76</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6.3</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调味料</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76</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6.3</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添加剂</w:t>
                  </w:r>
                </w:p>
              </w:tc>
              <w:tc>
                <w:tcPr>
                  <w:tcW w:w="608"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t/a</w:t>
                  </w:r>
                </w:p>
              </w:tc>
              <w:tc>
                <w:tcPr>
                  <w:tcW w:w="772" w:type="pct"/>
                  <w:shd w:val="clear" w:color="auto" w:fill="auto"/>
                  <w:vAlign w:val="center"/>
                </w:tcPr>
                <w:p>
                  <w:pPr>
                    <w:jc w:val="center"/>
                    <w:rPr>
                      <w:rFonts w:ascii="Times New Roman" w:hAnsi="Times New Roman" w:eastAsia="宋体" w:cs="Times New Roman"/>
                      <w:color w:val="auto"/>
                      <w:kern w:val="2"/>
                      <w:sz w:val="21"/>
                      <w:szCs w:val="21"/>
                      <w:u w:val="none"/>
                      <w:lang w:val="en-US" w:eastAsia="zh-CN" w:bidi="ar-SA"/>
                    </w:rPr>
                  </w:pPr>
                  <w:r>
                    <w:rPr>
                      <w:color w:val="auto"/>
                      <w:szCs w:val="21"/>
                      <w:u w:val="none"/>
                    </w:rPr>
                    <w:t>4</w:t>
                  </w:r>
                </w:p>
              </w:tc>
              <w:tc>
                <w:tcPr>
                  <w:tcW w:w="1142"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szCs w:val="21"/>
                      <w:u w:val="none"/>
                      <w:lang w:val="en-US" w:eastAsia="zh-CN"/>
                    </w:rPr>
                    <w:t>0.3</w:t>
                  </w:r>
                </w:p>
              </w:tc>
              <w:tc>
                <w:tcPr>
                  <w:tcW w:w="833"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rFonts w:hint="default" w:eastAsia="宋体"/>
                      <w:color w:val="auto"/>
                      <w:kern w:val="0"/>
                      <w:szCs w:val="21"/>
                      <w:u w:val="none"/>
                      <w:lang w:val="en-US" w:eastAsia="zh-CN"/>
                    </w:rPr>
                  </w:pPr>
                  <w:r>
                    <w:rPr>
                      <w:rFonts w:hint="eastAsia"/>
                      <w:color w:val="auto"/>
                      <w:kern w:val="0"/>
                      <w:szCs w:val="21"/>
                      <w:u w:val="none"/>
                      <w:lang w:val="en-US" w:eastAsia="zh-CN"/>
                    </w:rPr>
                    <w:t>产品含水量</w:t>
                  </w:r>
                </w:p>
              </w:tc>
              <w:tc>
                <w:tcPr>
                  <w:tcW w:w="608" w:type="pct"/>
                  <w:vAlign w:val="center"/>
                </w:tcPr>
                <w:p>
                  <w:pPr>
                    <w:widowControl/>
                    <w:jc w:val="center"/>
                    <w:rPr>
                      <w:rFonts w:hint="eastAsia" w:eastAsia="宋体"/>
                      <w:color w:val="auto"/>
                      <w:kern w:val="0"/>
                      <w:szCs w:val="21"/>
                      <w:u w:val="none"/>
                      <w:lang w:val="en-US" w:eastAsia="zh-CN"/>
                    </w:rPr>
                  </w:pPr>
                  <w:r>
                    <w:rPr>
                      <w:rFonts w:hint="eastAsia"/>
                      <w:color w:val="auto"/>
                      <w:kern w:val="0"/>
                      <w:szCs w:val="21"/>
                      <w:u w:val="none"/>
                      <w:lang w:val="en-US" w:eastAsia="zh-CN"/>
                    </w:rPr>
                    <w:t>t/a</w:t>
                  </w:r>
                </w:p>
              </w:tc>
              <w:tc>
                <w:tcPr>
                  <w:tcW w:w="772"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1144</w:t>
                  </w:r>
                </w:p>
              </w:tc>
              <w:tc>
                <w:tcPr>
                  <w:tcW w:w="1142" w:type="pct"/>
                  <w:vAlign w:val="center"/>
                </w:tcPr>
                <w:p>
                  <w:pPr>
                    <w:jc w:val="center"/>
                    <w:rPr>
                      <w:rFonts w:hint="eastAsia"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w:t>
                  </w:r>
                </w:p>
              </w:tc>
              <w:tc>
                <w:tcPr>
                  <w:tcW w:w="833" w:type="pct"/>
                  <w:vAlign w:val="center"/>
                </w:tcPr>
                <w:p>
                  <w:pPr>
                    <w:jc w:val="center"/>
                    <w:rPr>
                      <w:rFonts w:hint="eastAsia" w:eastAsia="宋体"/>
                      <w:color w:val="auto"/>
                      <w:szCs w:val="21"/>
                      <w:u w:val="none"/>
                      <w:lang w:val="en-US" w:eastAsia="zh-CN"/>
                    </w:rPr>
                  </w:pPr>
                  <w:r>
                    <w:rPr>
                      <w:rFonts w:hint="eastAsia"/>
                      <w:color w:val="auto"/>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restart"/>
                  <w:vAlign w:val="center"/>
                </w:tcPr>
                <w:p>
                  <w:pPr>
                    <w:jc w:val="center"/>
                    <w:rPr>
                      <w:color w:val="auto"/>
                      <w:szCs w:val="21"/>
                      <w:u w:val="none"/>
                    </w:rPr>
                  </w:pPr>
                  <w:r>
                    <w:rPr>
                      <w:rFonts w:hint="eastAsia"/>
                      <w:color w:val="auto"/>
                      <w:szCs w:val="21"/>
                      <w:u w:val="none"/>
                    </w:rPr>
                    <w:t>腐乳</w:t>
                  </w:r>
                </w:p>
              </w:tc>
              <w:tc>
                <w:tcPr>
                  <w:tcW w:w="1042" w:type="pct"/>
                  <w:vAlign w:val="center"/>
                </w:tcPr>
                <w:p>
                  <w:pPr>
                    <w:widowControl/>
                    <w:jc w:val="center"/>
                    <w:rPr>
                      <w:color w:val="auto"/>
                      <w:kern w:val="0"/>
                      <w:szCs w:val="21"/>
                      <w:u w:val="none"/>
                    </w:rPr>
                  </w:pPr>
                  <w:r>
                    <w:rPr>
                      <w:rFonts w:hint="eastAsia"/>
                      <w:color w:val="auto"/>
                      <w:kern w:val="0"/>
                      <w:szCs w:val="21"/>
                      <w:u w:val="none"/>
                    </w:rPr>
                    <w:t>黄豆</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223</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18.6</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食盐</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149</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12.4</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干辣椒</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22</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1.8</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白酒</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highlight w:val="yellow"/>
                      <w:u w:val="none"/>
                    </w:rPr>
                  </w:pPr>
                  <w:r>
                    <w:rPr>
                      <w:color w:val="auto"/>
                      <w:szCs w:val="21"/>
                      <w:u w:val="none"/>
                    </w:rPr>
                    <w:t>149</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12.4</w:t>
                  </w:r>
                </w:p>
              </w:tc>
              <w:tc>
                <w:tcPr>
                  <w:tcW w:w="833" w:type="pct"/>
                  <w:vAlign w:val="center"/>
                </w:tcPr>
                <w:p>
                  <w:pPr>
                    <w:jc w:val="center"/>
                    <w:rPr>
                      <w:color w:val="auto"/>
                      <w:szCs w:val="21"/>
                      <w:u w:val="none"/>
                    </w:rPr>
                  </w:pPr>
                  <w:r>
                    <w:rPr>
                      <w:rFonts w:hint="eastAsia"/>
                      <w:color w:val="auto"/>
                      <w:szCs w:val="21"/>
                      <w:u w:val="none"/>
                    </w:rPr>
                    <w:t>桶装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菌种</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3</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0.3</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白砂糖</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37</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3.1</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rFonts w:hint="eastAsia"/>
                      <w:color w:val="auto"/>
                      <w:kern w:val="0"/>
                      <w:szCs w:val="21"/>
                      <w:u w:val="none"/>
                    </w:rPr>
                  </w:pPr>
                  <w:r>
                    <w:rPr>
                      <w:rFonts w:hint="eastAsia"/>
                      <w:color w:val="auto"/>
                      <w:kern w:val="0"/>
                      <w:szCs w:val="21"/>
                      <w:u w:val="none"/>
                    </w:rPr>
                    <w:t>石膏</w:t>
                  </w:r>
                </w:p>
              </w:tc>
              <w:tc>
                <w:tcPr>
                  <w:tcW w:w="608" w:type="pct"/>
                  <w:vAlign w:val="center"/>
                </w:tcPr>
                <w:p>
                  <w:pPr>
                    <w:widowControl/>
                    <w:jc w:val="center"/>
                    <w:rPr>
                      <w:rFonts w:hint="eastAsia"/>
                      <w:color w:val="auto"/>
                      <w:kern w:val="0"/>
                      <w:szCs w:val="21"/>
                      <w:u w:val="none"/>
                    </w:rPr>
                  </w:pPr>
                  <w:r>
                    <w:rPr>
                      <w:rFonts w:hint="eastAsia"/>
                      <w:color w:val="auto"/>
                      <w:kern w:val="0"/>
                      <w:szCs w:val="21"/>
                      <w:u w:val="none"/>
                    </w:rPr>
                    <w:t>t/a</w:t>
                  </w:r>
                </w:p>
              </w:tc>
              <w:tc>
                <w:tcPr>
                  <w:tcW w:w="772" w:type="pct"/>
                  <w:vAlign w:val="center"/>
                </w:tcPr>
                <w:p>
                  <w:pPr>
                    <w:jc w:val="center"/>
                    <w:rPr>
                      <w:rFonts w:hint="eastAsia"/>
                      <w:color w:val="auto"/>
                      <w:szCs w:val="21"/>
                      <w:u w:val="none"/>
                    </w:rPr>
                  </w:pPr>
                  <w:r>
                    <w:rPr>
                      <w:rFonts w:hint="eastAsia"/>
                      <w:color w:val="auto"/>
                      <w:szCs w:val="21"/>
                      <w:u w:val="none"/>
                    </w:rPr>
                    <w:t>0.2</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0.02</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食用植物油</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89</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w:t>
                  </w:r>
                </w:p>
              </w:tc>
              <w:tc>
                <w:tcPr>
                  <w:tcW w:w="833" w:type="pct"/>
                  <w:vAlign w:val="center"/>
                </w:tcPr>
                <w:p>
                  <w:pPr>
                    <w:jc w:val="center"/>
                    <w:rPr>
                      <w:color w:val="auto"/>
                      <w:szCs w:val="21"/>
                      <w:u w:val="none"/>
                    </w:rPr>
                  </w:pPr>
                  <w:r>
                    <w:rPr>
                      <w:rFonts w:hint="eastAsia"/>
                      <w:color w:val="auto"/>
                      <w:szCs w:val="21"/>
                      <w:u w:val="none"/>
                    </w:rPr>
                    <w:t>储罐散装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调味料</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7</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0.6</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添加剂</w:t>
                  </w:r>
                </w:p>
              </w:tc>
              <w:tc>
                <w:tcPr>
                  <w:tcW w:w="608"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t/a</w:t>
                  </w:r>
                </w:p>
              </w:tc>
              <w:tc>
                <w:tcPr>
                  <w:tcW w:w="772"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0.8</w:t>
                  </w:r>
                </w:p>
              </w:tc>
              <w:tc>
                <w:tcPr>
                  <w:tcW w:w="1142"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szCs w:val="21"/>
                      <w:u w:val="none"/>
                      <w:lang w:val="en-US" w:eastAsia="zh-CN"/>
                    </w:rPr>
                    <w:t>0.1</w:t>
                  </w:r>
                </w:p>
              </w:tc>
              <w:tc>
                <w:tcPr>
                  <w:tcW w:w="833"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rFonts w:hint="default" w:eastAsia="宋体"/>
                      <w:color w:val="auto"/>
                      <w:kern w:val="0"/>
                      <w:szCs w:val="21"/>
                      <w:u w:val="none"/>
                      <w:lang w:val="en-US" w:eastAsia="zh-CN"/>
                    </w:rPr>
                  </w:pPr>
                  <w:r>
                    <w:rPr>
                      <w:rFonts w:hint="eastAsia"/>
                      <w:color w:val="auto"/>
                      <w:kern w:val="0"/>
                      <w:szCs w:val="21"/>
                      <w:u w:val="none"/>
                      <w:lang w:val="en-US" w:eastAsia="zh-CN"/>
                    </w:rPr>
                    <w:t>产品含水量</w:t>
                  </w:r>
                </w:p>
              </w:tc>
              <w:tc>
                <w:tcPr>
                  <w:tcW w:w="608" w:type="pct"/>
                  <w:vAlign w:val="center"/>
                </w:tcPr>
                <w:p>
                  <w:pPr>
                    <w:widowControl/>
                    <w:jc w:val="center"/>
                    <w:rPr>
                      <w:rFonts w:hint="eastAsia" w:eastAsia="宋体"/>
                      <w:color w:val="auto"/>
                      <w:kern w:val="0"/>
                      <w:szCs w:val="21"/>
                      <w:u w:val="none"/>
                      <w:lang w:val="en-US" w:eastAsia="zh-CN"/>
                    </w:rPr>
                  </w:pPr>
                  <w:r>
                    <w:rPr>
                      <w:rFonts w:hint="eastAsia"/>
                      <w:color w:val="auto"/>
                      <w:kern w:val="0"/>
                      <w:szCs w:val="21"/>
                      <w:u w:val="none"/>
                      <w:lang w:val="en-US" w:eastAsia="zh-CN"/>
                    </w:rPr>
                    <w:t>t/a</w:t>
                  </w:r>
                </w:p>
              </w:tc>
              <w:tc>
                <w:tcPr>
                  <w:tcW w:w="772"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520</w:t>
                  </w:r>
                </w:p>
              </w:tc>
              <w:tc>
                <w:tcPr>
                  <w:tcW w:w="1142" w:type="pct"/>
                  <w:vAlign w:val="center"/>
                </w:tcPr>
                <w:p>
                  <w:pPr>
                    <w:jc w:val="center"/>
                    <w:rPr>
                      <w:rFonts w:hint="default"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w:t>
                  </w:r>
                </w:p>
              </w:tc>
              <w:tc>
                <w:tcPr>
                  <w:tcW w:w="833" w:type="pct"/>
                  <w:vAlign w:val="center"/>
                </w:tcPr>
                <w:p>
                  <w:pPr>
                    <w:jc w:val="center"/>
                    <w:rPr>
                      <w:rFonts w:hint="eastAsia" w:eastAsia="宋体"/>
                      <w:color w:val="auto"/>
                      <w:szCs w:val="21"/>
                      <w:u w:val="none"/>
                      <w:lang w:val="en-US" w:eastAsia="zh-CN"/>
                    </w:rPr>
                  </w:pPr>
                  <w:r>
                    <w:rPr>
                      <w:rFonts w:hint="eastAsia"/>
                      <w:color w:val="auto"/>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restart"/>
                  <w:vAlign w:val="center"/>
                </w:tcPr>
                <w:p>
                  <w:pPr>
                    <w:jc w:val="center"/>
                    <w:rPr>
                      <w:color w:val="auto"/>
                      <w:szCs w:val="21"/>
                      <w:u w:val="none"/>
                    </w:rPr>
                  </w:pPr>
                  <w:r>
                    <w:rPr>
                      <w:rFonts w:hint="eastAsia"/>
                      <w:color w:val="auto"/>
                      <w:szCs w:val="21"/>
                      <w:u w:val="none"/>
                    </w:rPr>
                    <w:t>剁辣椒</w:t>
                  </w:r>
                </w:p>
              </w:tc>
              <w:tc>
                <w:tcPr>
                  <w:tcW w:w="1042" w:type="pct"/>
                  <w:vAlign w:val="center"/>
                </w:tcPr>
                <w:p>
                  <w:pPr>
                    <w:widowControl/>
                    <w:jc w:val="center"/>
                    <w:rPr>
                      <w:color w:val="auto"/>
                      <w:kern w:val="0"/>
                      <w:szCs w:val="21"/>
                      <w:u w:val="none"/>
                    </w:rPr>
                  </w:pPr>
                  <w:r>
                    <w:rPr>
                      <w:rFonts w:hint="eastAsia"/>
                      <w:color w:val="auto"/>
                      <w:kern w:val="0"/>
                      <w:szCs w:val="21"/>
                      <w:u w:val="none"/>
                    </w:rPr>
                    <w:t>半成品腌制辣椒</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2821</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235.1</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生姜</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115</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9.6</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大蒜</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115</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9.6</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食用盐</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115</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9.6</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味精</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56</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4.7</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widowControl/>
                    <w:jc w:val="center"/>
                    <w:rPr>
                      <w:color w:val="auto"/>
                      <w:kern w:val="0"/>
                      <w:szCs w:val="21"/>
                      <w:u w:val="none"/>
                    </w:rPr>
                  </w:pPr>
                  <w:r>
                    <w:rPr>
                      <w:rFonts w:hint="eastAsia"/>
                      <w:color w:val="auto"/>
                      <w:kern w:val="0"/>
                      <w:szCs w:val="21"/>
                      <w:u w:val="none"/>
                    </w:rPr>
                    <w:t>调味料</w:t>
                  </w:r>
                </w:p>
              </w:tc>
              <w:tc>
                <w:tcPr>
                  <w:tcW w:w="608" w:type="pct"/>
                  <w:vAlign w:val="center"/>
                </w:tcPr>
                <w:p>
                  <w:pPr>
                    <w:widowControl/>
                    <w:jc w:val="center"/>
                    <w:rPr>
                      <w:color w:val="auto"/>
                      <w:kern w:val="0"/>
                      <w:szCs w:val="21"/>
                      <w:u w:val="none"/>
                    </w:rPr>
                  </w:pPr>
                  <w:r>
                    <w:rPr>
                      <w:rFonts w:hint="eastAsia"/>
                      <w:color w:val="auto"/>
                      <w:kern w:val="0"/>
                      <w:szCs w:val="21"/>
                      <w:u w:val="none"/>
                    </w:rPr>
                    <w:t>t/a</w:t>
                  </w:r>
                </w:p>
              </w:tc>
              <w:tc>
                <w:tcPr>
                  <w:tcW w:w="772" w:type="pct"/>
                  <w:vAlign w:val="center"/>
                </w:tcPr>
                <w:p>
                  <w:pPr>
                    <w:jc w:val="center"/>
                    <w:rPr>
                      <w:color w:val="auto"/>
                      <w:szCs w:val="21"/>
                      <w:u w:val="none"/>
                    </w:rPr>
                  </w:pPr>
                  <w:r>
                    <w:rPr>
                      <w:color w:val="auto"/>
                      <w:szCs w:val="21"/>
                      <w:u w:val="none"/>
                    </w:rPr>
                    <w:t>56</w:t>
                  </w:r>
                </w:p>
              </w:tc>
              <w:tc>
                <w:tcPr>
                  <w:tcW w:w="1142" w:type="pct"/>
                  <w:vAlign w:val="center"/>
                </w:tcPr>
                <w:p>
                  <w:pPr>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4.7</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szCs w:val="21"/>
                      <w:u w:val="none"/>
                    </w:rPr>
                    <w:t>添加剂</w:t>
                  </w:r>
                </w:p>
              </w:tc>
              <w:tc>
                <w:tcPr>
                  <w:tcW w:w="608"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szCs w:val="21"/>
                      <w:u w:val="none"/>
                    </w:rPr>
                    <w:t>t/a</w:t>
                  </w:r>
                </w:p>
              </w:tc>
              <w:tc>
                <w:tcPr>
                  <w:tcW w:w="772"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szCs w:val="21"/>
                      <w:u w:val="none"/>
                    </w:rPr>
                    <w:t>3.6</w:t>
                  </w:r>
                </w:p>
              </w:tc>
              <w:tc>
                <w:tcPr>
                  <w:tcW w:w="1142"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szCs w:val="21"/>
                      <w:u w:val="none"/>
                      <w:lang w:val="en-US" w:eastAsia="zh-CN"/>
                    </w:rPr>
                    <w:t>0.3</w:t>
                  </w:r>
                </w:p>
              </w:tc>
              <w:tc>
                <w:tcPr>
                  <w:tcW w:w="833"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default"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产品含水量</w:t>
                  </w:r>
                </w:p>
              </w:tc>
              <w:tc>
                <w:tcPr>
                  <w:tcW w:w="608" w:type="pct"/>
                  <w:vAlign w:val="center"/>
                </w:tcPr>
                <w:p>
                  <w:pPr>
                    <w:jc w:val="center"/>
                    <w:rPr>
                      <w:rFonts w:hint="eastAsia"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t/a</w:t>
                  </w:r>
                </w:p>
              </w:tc>
              <w:tc>
                <w:tcPr>
                  <w:tcW w:w="772" w:type="pct"/>
                  <w:vAlign w:val="center"/>
                </w:tcPr>
                <w:p>
                  <w:pPr>
                    <w:jc w:val="center"/>
                    <w:rPr>
                      <w:rFonts w:hint="default"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1127</w:t>
                  </w:r>
                </w:p>
              </w:tc>
              <w:tc>
                <w:tcPr>
                  <w:tcW w:w="1142" w:type="pct"/>
                  <w:vAlign w:val="center"/>
                </w:tcPr>
                <w:p>
                  <w:pPr>
                    <w:jc w:val="center"/>
                    <w:rPr>
                      <w:rFonts w:hint="eastAsia"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w:t>
                  </w:r>
                </w:p>
              </w:tc>
              <w:tc>
                <w:tcPr>
                  <w:tcW w:w="833" w:type="pct"/>
                  <w:vAlign w:val="center"/>
                </w:tcPr>
                <w:p>
                  <w:pPr>
                    <w:jc w:val="center"/>
                    <w:rPr>
                      <w:rFonts w:hint="eastAsia" w:eastAsia="宋体"/>
                      <w:color w:val="auto"/>
                      <w:szCs w:val="21"/>
                      <w:u w:val="none"/>
                      <w:lang w:val="en-US" w:eastAsia="zh-CN"/>
                    </w:rPr>
                  </w:pPr>
                  <w:r>
                    <w:rPr>
                      <w:rFonts w:hint="eastAsia"/>
                      <w:color w:val="auto"/>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restart"/>
                  <w:vAlign w:val="center"/>
                </w:tcPr>
                <w:p>
                  <w:pPr>
                    <w:jc w:val="center"/>
                    <w:rPr>
                      <w:color w:val="auto"/>
                      <w:szCs w:val="21"/>
                      <w:u w:val="none"/>
                    </w:rPr>
                  </w:pPr>
                  <w:r>
                    <w:rPr>
                      <w:rFonts w:hint="eastAsia"/>
                      <w:color w:val="auto"/>
                      <w:szCs w:val="21"/>
                      <w:u w:val="none"/>
                    </w:rPr>
                    <w:t>油辣椒</w:t>
                  </w: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半成品腌制辣椒</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8</w:t>
                  </w:r>
                  <w:r>
                    <w:rPr>
                      <w:rFonts w:hint="eastAsia" w:ascii="Times New Roman" w:hAnsi="Times New Roman" w:eastAsia="宋体" w:cs="Times New Roman"/>
                      <w:color w:val="auto"/>
                      <w:szCs w:val="21"/>
                      <w:u w:val="none"/>
                      <w:lang w:val="en-US" w:eastAsia="zh-CN"/>
                    </w:rPr>
                    <w:t>11</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67.6</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生姜</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32</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2.7</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大蒜</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32</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2.7</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食用盐</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32</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2.7</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味精</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16</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1.3</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调味料</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16</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1.3</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添加剂</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0.1</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食用植物油</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162</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w:t>
                  </w:r>
                </w:p>
              </w:tc>
              <w:tc>
                <w:tcPr>
                  <w:tcW w:w="833" w:type="pct"/>
                  <w:vAlign w:val="center"/>
                </w:tcPr>
                <w:p>
                  <w:pPr>
                    <w:jc w:val="center"/>
                    <w:rPr>
                      <w:color w:val="auto"/>
                      <w:szCs w:val="21"/>
                      <w:u w:val="none"/>
                    </w:rPr>
                  </w:pPr>
                  <w:r>
                    <w:rPr>
                      <w:rFonts w:hint="eastAsia"/>
                      <w:color w:val="auto"/>
                      <w:szCs w:val="21"/>
                      <w:u w:val="none"/>
                    </w:rPr>
                    <w:t>储罐散装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restart"/>
                  <w:vAlign w:val="center"/>
                </w:tcPr>
                <w:p>
                  <w:pPr>
                    <w:jc w:val="center"/>
                    <w:rPr>
                      <w:color w:val="auto"/>
                      <w:szCs w:val="21"/>
                      <w:u w:val="none"/>
                    </w:rPr>
                  </w:pPr>
                  <w:r>
                    <w:rPr>
                      <w:rFonts w:hint="eastAsia"/>
                      <w:color w:val="auto"/>
                      <w:szCs w:val="21"/>
                      <w:u w:val="none"/>
                    </w:rPr>
                    <w:t>下饭菜</w:t>
                  </w: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半成品腌制菜</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278</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23.2</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半成品腌制辣椒</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185</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15.4</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生姜</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19</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1.6</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大蒜</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19</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1.6</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食用盐</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19</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1.6</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味精</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9</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0.8</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调味料</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9</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0.8</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添加剂</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0.4</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0.03</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食用油</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lang w:eastAsia="zh-CN"/>
                    </w:rPr>
                  </w:pPr>
                  <w:r>
                    <w:rPr>
                      <w:rFonts w:hint="default" w:ascii="Times New Roman" w:hAnsi="Times New Roman" w:eastAsia="宋体" w:cs="Times New Roman"/>
                      <w:color w:val="auto"/>
                      <w:szCs w:val="21"/>
                      <w:u w:val="none"/>
                      <w:lang w:val="en-US" w:eastAsia="zh-CN"/>
                    </w:rPr>
                    <w:t>93</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w:t>
                  </w:r>
                </w:p>
              </w:tc>
              <w:tc>
                <w:tcPr>
                  <w:tcW w:w="833" w:type="pct"/>
                  <w:vAlign w:val="center"/>
                </w:tcPr>
                <w:p>
                  <w:pPr>
                    <w:jc w:val="center"/>
                    <w:rPr>
                      <w:color w:val="auto"/>
                      <w:szCs w:val="21"/>
                      <w:u w:val="none"/>
                    </w:rPr>
                  </w:pPr>
                  <w:r>
                    <w:rPr>
                      <w:rFonts w:hint="eastAsia"/>
                      <w:color w:val="auto"/>
                      <w:szCs w:val="21"/>
                      <w:u w:val="none"/>
                    </w:rPr>
                    <w:t>储罐散装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肉制品（鸡肉、牛肉、小鱼仔）</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lang w:eastAsia="zh-CN"/>
                    </w:rPr>
                  </w:pPr>
                  <w:r>
                    <w:rPr>
                      <w:rFonts w:hint="default" w:ascii="Times New Roman" w:hAnsi="Times New Roman" w:eastAsia="宋体" w:cs="Times New Roman"/>
                      <w:color w:val="auto"/>
                      <w:szCs w:val="21"/>
                      <w:u w:val="none"/>
                      <w:lang w:val="en-US" w:eastAsia="zh-CN"/>
                    </w:rPr>
                    <w:t>70</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5.8</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Align w:val="center"/>
                </w:tcPr>
                <w:p>
                  <w:pPr>
                    <w:jc w:val="center"/>
                    <w:rPr>
                      <w:color w:val="auto"/>
                      <w:szCs w:val="21"/>
                      <w:u w:val="none"/>
                    </w:rPr>
                  </w:pPr>
                  <w:r>
                    <w:rPr>
                      <w:rFonts w:hint="eastAsia"/>
                      <w:color w:val="auto"/>
                      <w:szCs w:val="21"/>
                      <w:u w:val="none"/>
                    </w:rPr>
                    <w:t>分装食用油</w:t>
                  </w: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食用植物油</w:t>
                  </w:r>
                </w:p>
              </w:tc>
              <w:tc>
                <w:tcPr>
                  <w:tcW w:w="60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t/a</w:t>
                  </w:r>
                </w:p>
              </w:tc>
              <w:tc>
                <w:tcPr>
                  <w:tcW w:w="77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7682</w:t>
                  </w:r>
                </w:p>
              </w:tc>
              <w:tc>
                <w:tcPr>
                  <w:tcW w:w="1142" w:type="pct"/>
                  <w:vAlign w:val="center"/>
                </w:tcPr>
                <w:p>
                  <w:pPr>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761.4</w:t>
                  </w:r>
                </w:p>
              </w:tc>
              <w:tc>
                <w:tcPr>
                  <w:tcW w:w="833" w:type="pct"/>
                  <w:vAlign w:val="center"/>
                </w:tcPr>
                <w:p>
                  <w:pPr>
                    <w:jc w:val="center"/>
                    <w:rPr>
                      <w:color w:val="auto"/>
                      <w:szCs w:val="21"/>
                      <w:u w:val="none"/>
                    </w:rPr>
                  </w:pPr>
                  <w:r>
                    <w:rPr>
                      <w:rFonts w:hint="eastAsia"/>
                      <w:color w:val="auto"/>
                      <w:szCs w:val="21"/>
                      <w:u w:val="none"/>
                    </w:rPr>
                    <w:t>储罐散装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restart"/>
                  <w:vAlign w:val="center"/>
                </w:tcPr>
                <w:p>
                  <w:pPr>
                    <w:jc w:val="center"/>
                    <w:rPr>
                      <w:color w:val="auto"/>
                      <w:szCs w:val="21"/>
                      <w:u w:val="none"/>
                    </w:rPr>
                  </w:pPr>
                  <w:r>
                    <w:rPr>
                      <w:rFonts w:hint="eastAsia"/>
                      <w:color w:val="auto"/>
                      <w:szCs w:val="21"/>
                      <w:u w:val="none"/>
                    </w:rPr>
                    <w:t>全厂合计</w:t>
                  </w: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黄豆</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2893</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241.1</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食盐</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620</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51.7</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干辣椒</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599</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49.9</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白酒</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149</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12.4</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菌种</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11</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白砂糖</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113</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9.4</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石膏</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0.2</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0.02</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食用植物油</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lang w:eastAsia="zh-CN"/>
                    </w:rPr>
                  </w:pPr>
                  <w:r>
                    <w:rPr>
                      <w:rFonts w:hint="default" w:ascii="Times New Roman" w:hAnsi="Times New Roman" w:eastAsia="宋体" w:cs="Times New Roman"/>
                      <w:color w:val="auto"/>
                      <w:szCs w:val="21"/>
                      <w:u w:val="none"/>
                      <w:lang w:val="en-US" w:eastAsia="zh-CN"/>
                    </w:rPr>
                    <w:t>9170</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1085.4</w:t>
                  </w:r>
                </w:p>
              </w:tc>
              <w:tc>
                <w:tcPr>
                  <w:tcW w:w="833" w:type="pct"/>
                  <w:vAlign w:val="center"/>
                </w:tcPr>
                <w:p>
                  <w:pPr>
                    <w:jc w:val="center"/>
                    <w:rPr>
                      <w:color w:val="auto"/>
                      <w:szCs w:val="21"/>
                      <w:u w:val="none"/>
                    </w:rPr>
                  </w:pPr>
                  <w:r>
                    <w:rPr>
                      <w:rFonts w:hint="eastAsia"/>
                      <w:color w:val="auto"/>
                      <w:szCs w:val="21"/>
                      <w:u w:val="none"/>
                    </w:rPr>
                    <w:t>储罐散装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调味料</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164</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13.7</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添加剂</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9.8</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0.83</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半成品腌制菜</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278</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23.2</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半成品腌制辣椒</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3817</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318.1</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味精</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81</w:t>
                  </w:r>
                </w:p>
              </w:tc>
              <w:tc>
                <w:tcPr>
                  <w:tcW w:w="1142"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6.8</w:t>
                  </w:r>
                </w:p>
              </w:tc>
              <w:tc>
                <w:tcPr>
                  <w:tcW w:w="833" w:type="pct"/>
                  <w:vAlign w:val="center"/>
                </w:tcPr>
                <w:p>
                  <w:pPr>
                    <w:jc w:val="center"/>
                    <w:rPr>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shd w:val="clear" w:color="auto" w:fill="auto"/>
                  <w:vAlign w:val="center"/>
                </w:tcPr>
                <w:p>
                  <w:pPr>
                    <w:jc w:val="center"/>
                    <w:rPr>
                      <w:rFonts w:hint="eastAsia"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肉制品（鸡肉、牛肉、小鱼仔）</w:t>
                  </w:r>
                </w:p>
              </w:tc>
              <w:tc>
                <w:tcPr>
                  <w:tcW w:w="608" w:type="pct"/>
                  <w:shd w:val="clear" w:color="auto" w:fill="auto"/>
                  <w:vAlign w:val="center"/>
                </w:tcPr>
                <w:p>
                  <w:pPr>
                    <w:jc w:val="center"/>
                    <w:rPr>
                      <w:rFonts w:hint="eastAsia"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t/a</w:t>
                  </w:r>
                </w:p>
              </w:tc>
              <w:tc>
                <w:tcPr>
                  <w:tcW w:w="772" w:type="pct"/>
                  <w:shd w:val="clear" w:color="auto" w:fill="auto"/>
                  <w:vAlign w:val="center"/>
                </w:tcPr>
                <w:p>
                  <w:pPr>
                    <w:jc w:val="center"/>
                    <w:rPr>
                      <w:rFonts w:hint="eastAsia"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70</w:t>
                  </w:r>
                </w:p>
              </w:tc>
              <w:tc>
                <w:tcPr>
                  <w:tcW w:w="1142" w:type="pct"/>
                  <w:shd w:val="clear" w:color="auto" w:fill="auto"/>
                  <w:vAlign w:val="center"/>
                </w:tcPr>
                <w:p>
                  <w:pPr>
                    <w:jc w:val="center"/>
                    <w:rPr>
                      <w:rFonts w:hint="eastAsia"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5.8</w:t>
                  </w:r>
                </w:p>
              </w:tc>
              <w:tc>
                <w:tcPr>
                  <w:tcW w:w="833"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生姜</w:t>
                  </w:r>
                </w:p>
              </w:tc>
              <w:tc>
                <w:tcPr>
                  <w:tcW w:w="60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t/a</w:t>
                  </w:r>
                </w:p>
              </w:tc>
              <w:tc>
                <w:tcPr>
                  <w:tcW w:w="77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166</w:t>
                  </w:r>
                </w:p>
              </w:tc>
              <w:tc>
                <w:tcPr>
                  <w:tcW w:w="114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lang w:val="en-US" w:eastAsia="zh-CN"/>
                    </w:rPr>
                    <w:t>13.9</w:t>
                  </w:r>
                </w:p>
              </w:tc>
              <w:tc>
                <w:tcPr>
                  <w:tcW w:w="833" w:type="pct"/>
                  <w:vAlign w:val="center"/>
                </w:tcPr>
                <w:p>
                  <w:pPr>
                    <w:jc w:val="center"/>
                    <w:rPr>
                      <w:rFonts w:hint="eastAsia"/>
                      <w:color w:val="auto"/>
                      <w:szCs w:val="21"/>
                      <w:u w:val="none"/>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szCs w:val="21"/>
                      <w:u w:val="none"/>
                      <w:lang w:val="en-US" w:eastAsia="zh-CN"/>
                    </w:rPr>
                    <w:t>大蒜</w:t>
                  </w:r>
                </w:p>
              </w:tc>
              <w:tc>
                <w:tcPr>
                  <w:tcW w:w="608"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Cs w:val="21"/>
                      <w:u w:val="none"/>
                      <w:lang w:val="en-US" w:eastAsia="zh-CN"/>
                    </w:rPr>
                    <w:t>t/a</w:t>
                  </w:r>
                </w:p>
              </w:tc>
              <w:tc>
                <w:tcPr>
                  <w:tcW w:w="772"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szCs w:val="21"/>
                      <w:u w:val="none"/>
                      <w:lang w:val="en-US" w:eastAsia="zh-CN"/>
                    </w:rPr>
                    <w:t>166</w:t>
                  </w:r>
                </w:p>
              </w:tc>
              <w:tc>
                <w:tcPr>
                  <w:tcW w:w="1142"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szCs w:val="21"/>
                      <w:u w:val="none"/>
                      <w:lang w:val="en-US" w:eastAsia="zh-CN"/>
                    </w:rPr>
                    <w:t>13.9</w:t>
                  </w:r>
                </w:p>
              </w:tc>
              <w:tc>
                <w:tcPr>
                  <w:tcW w:w="833"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0" w:type="pct"/>
                  <w:vMerge w:val="continue"/>
                  <w:vAlign w:val="center"/>
                </w:tcPr>
                <w:p>
                  <w:pPr>
                    <w:jc w:val="center"/>
                    <w:rPr>
                      <w:color w:val="auto"/>
                      <w:szCs w:val="21"/>
                      <w:u w:val="none"/>
                    </w:rPr>
                  </w:pPr>
                </w:p>
              </w:tc>
              <w:tc>
                <w:tcPr>
                  <w:tcW w:w="1042" w:type="pct"/>
                  <w:vAlign w:val="center"/>
                </w:tcPr>
                <w:p>
                  <w:pPr>
                    <w:jc w:val="center"/>
                    <w:rPr>
                      <w:rFonts w:hint="default"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产品含水量</w:t>
                  </w:r>
                </w:p>
              </w:tc>
              <w:tc>
                <w:tcPr>
                  <w:tcW w:w="608" w:type="pct"/>
                  <w:vAlign w:val="center"/>
                </w:tcPr>
                <w:p>
                  <w:pPr>
                    <w:jc w:val="center"/>
                    <w:rPr>
                      <w:rFonts w:hint="eastAsia"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t/a</w:t>
                  </w:r>
                </w:p>
              </w:tc>
              <w:tc>
                <w:tcPr>
                  <w:tcW w:w="772" w:type="pct"/>
                  <w:vAlign w:val="center"/>
                </w:tcPr>
                <w:p>
                  <w:pPr>
                    <w:jc w:val="center"/>
                    <w:rPr>
                      <w:rFonts w:hint="default"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2791</w:t>
                  </w:r>
                </w:p>
              </w:tc>
              <w:tc>
                <w:tcPr>
                  <w:tcW w:w="1142" w:type="pct"/>
                  <w:vAlign w:val="center"/>
                </w:tcPr>
                <w:p>
                  <w:pPr>
                    <w:jc w:val="center"/>
                    <w:rPr>
                      <w:rFonts w:hint="eastAsia"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w:t>
                  </w:r>
                </w:p>
              </w:tc>
              <w:tc>
                <w:tcPr>
                  <w:tcW w:w="833" w:type="pct"/>
                  <w:vAlign w:val="center"/>
                </w:tcPr>
                <w:p>
                  <w:pPr>
                    <w:jc w:val="center"/>
                    <w:rPr>
                      <w:rFonts w:hint="eastAsia" w:eastAsia="宋体"/>
                      <w:color w:val="auto"/>
                      <w:szCs w:val="21"/>
                      <w:u w:val="none"/>
                      <w:lang w:val="en-US" w:eastAsia="zh-CN"/>
                    </w:rPr>
                  </w:pPr>
                  <w:r>
                    <w:rPr>
                      <w:rFonts w:hint="eastAsia"/>
                      <w:color w:val="auto"/>
                      <w:szCs w:val="21"/>
                      <w:u w:val="none"/>
                      <w:lang w:val="en-US" w:eastAsia="zh-CN"/>
                    </w:rPr>
                    <w:t>/</w:t>
                  </w:r>
                </w:p>
              </w:tc>
            </w:tr>
          </w:tbl>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表2</w:t>
            </w:r>
            <w:r>
              <w:rPr>
                <w:rFonts w:hint="eastAsia" w:ascii="Times New Roman" w:hAnsi="Times New Roman" w:eastAsia="宋体" w:cs="Times New Roman"/>
                <w:b/>
                <w:color w:val="auto"/>
                <w:u w:val="none"/>
              </w:rPr>
              <w:t>.4-2</w:t>
            </w:r>
            <w:r>
              <w:rPr>
                <w:rFonts w:ascii="Times New Roman" w:hAnsi="Times New Roman" w:eastAsia="宋体" w:cs="Times New Roman"/>
                <w:b/>
                <w:color w:val="auto"/>
                <w:u w:val="none"/>
              </w:rPr>
              <w:t xml:space="preserve">  </w:t>
            </w:r>
            <w:r>
              <w:rPr>
                <w:rFonts w:hint="eastAsia" w:ascii="Times New Roman" w:hAnsi="Times New Roman" w:eastAsia="宋体" w:cs="Times New Roman"/>
                <w:b/>
                <w:color w:val="auto"/>
                <w:u w:val="none"/>
              </w:rPr>
              <w:t>其他生产辅料、能源、质检原料</w:t>
            </w:r>
            <w:r>
              <w:rPr>
                <w:rFonts w:ascii="Times New Roman" w:hAnsi="Times New Roman" w:eastAsia="宋体" w:cs="Times New Roman"/>
                <w:b/>
                <w:color w:val="auto"/>
                <w:u w:val="none"/>
              </w:rPr>
              <w:t>用量一览表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339"/>
              <w:gridCol w:w="1191"/>
              <w:gridCol w:w="1191"/>
              <w:gridCol w:w="2233"/>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Align w:val="center"/>
                </w:tcPr>
                <w:p>
                  <w:pPr>
                    <w:jc w:val="center"/>
                    <w:rPr>
                      <w:b/>
                      <w:color w:val="auto"/>
                      <w:szCs w:val="21"/>
                      <w:u w:val="none"/>
                    </w:rPr>
                  </w:pPr>
                  <w:r>
                    <w:rPr>
                      <w:rFonts w:hint="eastAsia"/>
                      <w:b/>
                      <w:color w:val="auto"/>
                      <w:szCs w:val="21"/>
                      <w:u w:val="none"/>
                    </w:rPr>
                    <w:t>产品</w:t>
                  </w:r>
                </w:p>
              </w:tc>
              <w:tc>
                <w:tcPr>
                  <w:tcW w:w="799" w:type="pct"/>
                  <w:vAlign w:val="center"/>
                </w:tcPr>
                <w:p>
                  <w:pPr>
                    <w:jc w:val="center"/>
                    <w:rPr>
                      <w:b/>
                      <w:color w:val="auto"/>
                      <w:szCs w:val="21"/>
                      <w:u w:val="none"/>
                    </w:rPr>
                  </w:pPr>
                  <w:r>
                    <w:rPr>
                      <w:rFonts w:hint="eastAsia"/>
                      <w:b/>
                      <w:color w:val="auto"/>
                      <w:szCs w:val="21"/>
                      <w:u w:val="none"/>
                    </w:rPr>
                    <w:t>原料</w:t>
                  </w:r>
                  <w:r>
                    <w:rPr>
                      <w:b/>
                      <w:color w:val="auto"/>
                      <w:szCs w:val="21"/>
                      <w:u w:val="none"/>
                    </w:rPr>
                    <w:t>名称</w:t>
                  </w:r>
                </w:p>
              </w:tc>
              <w:tc>
                <w:tcPr>
                  <w:tcW w:w="711" w:type="pct"/>
                  <w:vAlign w:val="center"/>
                </w:tcPr>
                <w:p>
                  <w:pPr>
                    <w:jc w:val="center"/>
                    <w:rPr>
                      <w:b/>
                      <w:color w:val="auto"/>
                      <w:szCs w:val="21"/>
                      <w:u w:val="none"/>
                    </w:rPr>
                  </w:pPr>
                  <w:r>
                    <w:rPr>
                      <w:rFonts w:hint="eastAsia"/>
                      <w:b/>
                      <w:color w:val="auto"/>
                      <w:szCs w:val="21"/>
                      <w:u w:val="none"/>
                    </w:rPr>
                    <w:t>单位</w:t>
                  </w:r>
                </w:p>
              </w:tc>
              <w:tc>
                <w:tcPr>
                  <w:tcW w:w="711" w:type="pct"/>
                  <w:vAlign w:val="center"/>
                </w:tcPr>
                <w:p>
                  <w:pPr>
                    <w:jc w:val="center"/>
                    <w:rPr>
                      <w:b/>
                      <w:color w:val="auto"/>
                      <w:szCs w:val="21"/>
                      <w:u w:val="none"/>
                    </w:rPr>
                  </w:pPr>
                  <w:r>
                    <w:rPr>
                      <w:rFonts w:hint="eastAsia"/>
                      <w:b/>
                      <w:color w:val="auto"/>
                      <w:szCs w:val="21"/>
                      <w:u w:val="none"/>
                    </w:rPr>
                    <w:t>年用量</w:t>
                  </w:r>
                </w:p>
              </w:tc>
              <w:tc>
                <w:tcPr>
                  <w:tcW w:w="1333" w:type="pct"/>
                  <w:vAlign w:val="center"/>
                </w:tcPr>
                <w:p>
                  <w:pPr>
                    <w:jc w:val="center"/>
                    <w:rPr>
                      <w:b/>
                      <w:color w:val="auto"/>
                      <w:szCs w:val="21"/>
                      <w:u w:val="none"/>
                    </w:rPr>
                  </w:pPr>
                  <w:r>
                    <w:rPr>
                      <w:rFonts w:hint="eastAsia"/>
                      <w:b/>
                      <w:color w:val="auto"/>
                      <w:szCs w:val="21"/>
                      <w:u w:val="none"/>
                    </w:rPr>
                    <w:t>最大储存量（t）</w:t>
                  </w:r>
                </w:p>
              </w:tc>
              <w:tc>
                <w:tcPr>
                  <w:tcW w:w="933" w:type="pct"/>
                  <w:vAlign w:val="center"/>
                </w:tcPr>
                <w:p>
                  <w:pPr>
                    <w:jc w:val="center"/>
                    <w:rPr>
                      <w:b/>
                      <w:color w:val="auto"/>
                      <w:szCs w:val="21"/>
                      <w:u w:val="none"/>
                    </w:rPr>
                  </w:pPr>
                  <w:r>
                    <w:rPr>
                      <w:rFonts w:hint="eastAsia"/>
                      <w:b/>
                      <w:color w:val="auto"/>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restart"/>
                  <w:vAlign w:val="center"/>
                </w:tcPr>
                <w:p>
                  <w:pPr>
                    <w:jc w:val="center"/>
                    <w:rPr>
                      <w:color w:val="auto"/>
                      <w:szCs w:val="21"/>
                      <w:u w:val="none"/>
                    </w:rPr>
                  </w:pPr>
                  <w:r>
                    <w:rPr>
                      <w:rFonts w:hint="eastAsia"/>
                      <w:color w:val="auto"/>
                      <w:szCs w:val="21"/>
                      <w:u w:val="none"/>
                    </w:rPr>
                    <w:t>生产辅料</w:t>
                  </w:r>
                </w:p>
              </w:tc>
              <w:tc>
                <w:tcPr>
                  <w:tcW w:w="799" w:type="pct"/>
                  <w:vAlign w:val="center"/>
                </w:tcPr>
                <w:p>
                  <w:pPr>
                    <w:widowControl/>
                    <w:jc w:val="center"/>
                    <w:rPr>
                      <w:color w:val="auto"/>
                      <w:kern w:val="0"/>
                      <w:szCs w:val="21"/>
                      <w:u w:val="none"/>
                    </w:rPr>
                  </w:pPr>
                  <w:r>
                    <w:rPr>
                      <w:rFonts w:hint="eastAsia"/>
                      <w:color w:val="auto"/>
                      <w:kern w:val="0"/>
                      <w:szCs w:val="21"/>
                      <w:u w:val="none"/>
                    </w:rPr>
                    <w:t>包装材料</w:t>
                  </w:r>
                </w:p>
              </w:tc>
              <w:tc>
                <w:tcPr>
                  <w:tcW w:w="711" w:type="pct"/>
                  <w:vAlign w:val="center"/>
                </w:tcPr>
                <w:p>
                  <w:pPr>
                    <w:widowControl/>
                    <w:jc w:val="center"/>
                    <w:rPr>
                      <w:color w:val="auto"/>
                      <w:kern w:val="0"/>
                      <w:szCs w:val="21"/>
                      <w:u w:val="none"/>
                    </w:rPr>
                  </w:pPr>
                  <w:r>
                    <w:rPr>
                      <w:rFonts w:hint="eastAsia"/>
                      <w:color w:val="auto"/>
                      <w:kern w:val="0"/>
                      <w:szCs w:val="21"/>
                      <w:u w:val="none"/>
                    </w:rPr>
                    <w:t>t/a</w:t>
                  </w:r>
                </w:p>
              </w:tc>
              <w:tc>
                <w:tcPr>
                  <w:tcW w:w="711" w:type="pct"/>
                  <w:vAlign w:val="center"/>
                </w:tcPr>
                <w:p>
                  <w:pPr>
                    <w:jc w:val="center"/>
                    <w:rPr>
                      <w:color w:val="auto"/>
                      <w:szCs w:val="21"/>
                      <w:u w:val="none"/>
                    </w:rPr>
                  </w:pPr>
                  <w:r>
                    <w:rPr>
                      <w:rFonts w:hint="eastAsia"/>
                      <w:color w:val="auto"/>
                      <w:szCs w:val="21"/>
                      <w:u w:val="none"/>
                    </w:rPr>
                    <w:t>8000</w:t>
                  </w:r>
                </w:p>
              </w:tc>
              <w:tc>
                <w:tcPr>
                  <w:tcW w:w="1333" w:type="pct"/>
                  <w:vAlign w:val="center"/>
                </w:tcPr>
                <w:p>
                  <w:pPr>
                    <w:jc w:val="center"/>
                    <w:rPr>
                      <w:color w:val="auto"/>
                      <w:szCs w:val="21"/>
                      <w:u w:val="none"/>
                    </w:rPr>
                  </w:pPr>
                  <w:r>
                    <w:rPr>
                      <w:rFonts w:hint="eastAsia"/>
                      <w:color w:val="auto"/>
                      <w:szCs w:val="21"/>
                      <w:u w:val="none"/>
                    </w:rPr>
                    <w:t>670</w:t>
                  </w:r>
                </w:p>
              </w:tc>
              <w:tc>
                <w:tcPr>
                  <w:tcW w:w="933" w:type="pct"/>
                  <w:vAlign w:val="center"/>
                </w:tcPr>
                <w:p>
                  <w:pPr>
                    <w:jc w:val="center"/>
                    <w:rPr>
                      <w:color w:val="auto"/>
                      <w:szCs w:val="21"/>
                      <w:u w:val="none"/>
                    </w:rPr>
                  </w:pPr>
                  <w:r>
                    <w:rPr>
                      <w:rFonts w:hint="eastAsia"/>
                      <w:color w:val="auto"/>
                      <w:szCs w:val="21"/>
                      <w:u w:val="none"/>
                    </w:rPr>
                    <w:t>纸箱、包装袋、包装瓶等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continue"/>
                  <w:vAlign w:val="center"/>
                </w:tcPr>
                <w:p>
                  <w:pPr>
                    <w:jc w:val="center"/>
                    <w:rPr>
                      <w:color w:val="auto"/>
                      <w:szCs w:val="21"/>
                      <w:u w:val="none"/>
                    </w:rPr>
                  </w:pPr>
                </w:p>
              </w:tc>
              <w:tc>
                <w:tcPr>
                  <w:tcW w:w="799" w:type="pct"/>
                  <w:vAlign w:val="center"/>
                </w:tcPr>
                <w:p>
                  <w:pPr>
                    <w:widowControl/>
                    <w:jc w:val="center"/>
                    <w:rPr>
                      <w:color w:val="auto"/>
                      <w:kern w:val="0"/>
                      <w:szCs w:val="21"/>
                      <w:u w:val="none"/>
                    </w:rPr>
                  </w:pPr>
                  <w:r>
                    <w:rPr>
                      <w:rFonts w:hint="eastAsia"/>
                      <w:color w:val="auto"/>
                      <w:kern w:val="0"/>
                      <w:szCs w:val="21"/>
                      <w:u w:val="none"/>
                    </w:rPr>
                    <w:t>润滑油</w:t>
                  </w:r>
                </w:p>
              </w:tc>
              <w:tc>
                <w:tcPr>
                  <w:tcW w:w="711" w:type="pct"/>
                  <w:vAlign w:val="center"/>
                </w:tcPr>
                <w:p>
                  <w:pPr>
                    <w:widowControl/>
                    <w:jc w:val="center"/>
                    <w:rPr>
                      <w:color w:val="auto"/>
                      <w:kern w:val="0"/>
                      <w:szCs w:val="21"/>
                      <w:u w:val="none"/>
                    </w:rPr>
                  </w:pPr>
                  <w:r>
                    <w:rPr>
                      <w:rFonts w:hint="eastAsia"/>
                      <w:color w:val="auto"/>
                      <w:kern w:val="0"/>
                      <w:szCs w:val="21"/>
                      <w:u w:val="none"/>
                    </w:rPr>
                    <w:t>t/a</w:t>
                  </w:r>
                </w:p>
              </w:tc>
              <w:tc>
                <w:tcPr>
                  <w:tcW w:w="711" w:type="pct"/>
                  <w:vAlign w:val="center"/>
                </w:tcPr>
                <w:p>
                  <w:pPr>
                    <w:jc w:val="center"/>
                    <w:rPr>
                      <w:color w:val="auto"/>
                      <w:szCs w:val="21"/>
                      <w:u w:val="none"/>
                    </w:rPr>
                  </w:pPr>
                  <w:r>
                    <w:rPr>
                      <w:rFonts w:hint="eastAsia"/>
                      <w:color w:val="auto"/>
                      <w:szCs w:val="21"/>
                      <w:u w:val="none"/>
                    </w:rPr>
                    <w:t>0.1</w:t>
                  </w:r>
                </w:p>
              </w:tc>
              <w:tc>
                <w:tcPr>
                  <w:tcW w:w="1333" w:type="pct"/>
                  <w:vAlign w:val="center"/>
                </w:tcPr>
                <w:p>
                  <w:pPr>
                    <w:jc w:val="center"/>
                    <w:rPr>
                      <w:color w:val="auto"/>
                      <w:szCs w:val="21"/>
                      <w:u w:val="none"/>
                    </w:rPr>
                  </w:pPr>
                  <w:r>
                    <w:rPr>
                      <w:rFonts w:hint="eastAsia"/>
                      <w:color w:val="auto"/>
                      <w:szCs w:val="21"/>
                      <w:u w:val="none"/>
                    </w:rPr>
                    <w:t>0.05</w:t>
                  </w:r>
                </w:p>
              </w:tc>
              <w:tc>
                <w:tcPr>
                  <w:tcW w:w="933" w:type="pct"/>
                  <w:vAlign w:val="center"/>
                </w:tcPr>
                <w:p>
                  <w:pPr>
                    <w:jc w:val="center"/>
                    <w:rPr>
                      <w:color w:val="auto"/>
                      <w:szCs w:val="21"/>
                      <w:u w:val="none"/>
                    </w:rPr>
                  </w:pPr>
                  <w:r>
                    <w:rPr>
                      <w:rFonts w:hint="eastAsia"/>
                      <w:color w:val="auto"/>
                      <w:szCs w:val="21"/>
                      <w:u w:val="none"/>
                    </w:rPr>
                    <w:t>设备润滑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continue"/>
                  <w:vAlign w:val="center"/>
                </w:tcPr>
                <w:p>
                  <w:pPr>
                    <w:jc w:val="center"/>
                    <w:rPr>
                      <w:color w:val="auto"/>
                      <w:szCs w:val="21"/>
                      <w:u w:val="none"/>
                    </w:rPr>
                  </w:pPr>
                </w:p>
              </w:tc>
              <w:tc>
                <w:tcPr>
                  <w:tcW w:w="799" w:type="pct"/>
                  <w:vAlign w:val="center"/>
                </w:tcPr>
                <w:p>
                  <w:pPr>
                    <w:widowControl/>
                    <w:jc w:val="center"/>
                    <w:rPr>
                      <w:color w:val="auto"/>
                      <w:kern w:val="0"/>
                      <w:szCs w:val="21"/>
                      <w:u w:val="none"/>
                    </w:rPr>
                  </w:pPr>
                  <w:r>
                    <w:rPr>
                      <w:rFonts w:hint="eastAsia"/>
                      <w:color w:val="auto"/>
                      <w:kern w:val="0"/>
                      <w:szCs w:val="21"/>
                      <w:u w:val="none"/>
                    </w:rPr>
                    <w:t>水性油墨</w:t>
                  </w:r>
                </w:p>
              </w:tc>
              <w:tc>
                <w:tcPr>
                  <w:tcW w:w="711" w:type="pct"/>
                  <w:vAlign w:val="center"/>
                </w:tcPr>
                <w:p>
                  <w:pPr>
                    <w:widowControl/>
                    <w:jc w:val="center"/>
                    <w:rPr>
                      <w:color w:val="auto"/>
                      <w:kern w:val="0"/>
                      <w:szCs w:val="21"/>
                      <w:u w:val="none"/>
                    </w:rPr>
                  </w:pPr>
                  <w:r>
                    <w:rPr>
                      <w:rFonts w:hint="eastAsia"/>
                      <w:color w:val="auto"/>
                      <w:kern w:val="0"/>
                      <w:szCs w:val="21"/>
                      <w:u w:val="none"/>
                    </w:rPr>
                    <w:t>t/a</w:t>
                  </w:r>
                </w:p>
              </w:tc>
              <w:tc>
                <w:tcPr>
                  <w:tcW w:w="711" w:type="pct"/>
                  <w:vAlign w:val="center"/>
                </w:tcPr>
                <w:p>
                  <w:pPr>
                    <w:jc w:val="center"/>
                    <w:rPr>
                      <w:color w:val="auto"/>
                      <w:szCs w:val="21"/>
                      <w:u w:val="none"/>
                    </w:rPr>
                  </w:pPr>
                  <w:r>
                    <w:rPr>
                      <w:rFonts w:hint="eastAsia"/>
                      <w:color w:val="auto"/>
                      <w:szCs w:val="21"/>
                      <w:u w:val="none"/>
                    </w:rPr>
                    <w:t>0.005</w:t>
                  </w:r>
                </w:p>
              </w:tc>
              <w:tc>
                <w:tcPr>
                  <w:tcW w:w="1333" w:type="pct"/>
                  <w:vAlign w:val="center"/>
                </w:tcPr>
                <w:p>
                  <w:pPr>
                    <w:jc w:val="center"/>
                    <w:rPr>
                      <w:color w:val="auto"/>
                      <w:szCs w:val="21"/>
                      <w:u w:val="none"/>
                    </w:rPr>
                  </w:pPr>
                  <w:r>
                    <w:rPr>
                      <w:rFonts w:hint="eastAsia"/>
                      <w:color w:val="auto"/>
                      <w:szCs w:val="21"/>
                      <w:u w:val="none"/>
                    </w:rPr>
                    <w:t>0.005</w:t>
                  </w:r>
                </w:p>
              </w:tc>
              <w:tc>
                <w:tcPr>
                  <w:tcW w:w="933" w:type="pct"/>
                  <w:vAlign w:val="center"/>
                </w:tcPr>
                <w:p>
                  <w:pPr>
                    <w:jc w:val="center"/>
                    <w:rPr>
                      <w:color w:val="auto"/>
                      <w:szCs w:val="21"/>
                      <w:u w:val="none"/>
                    </w:rPr>
                  </w:pPr>
                  <w:r>
                    <w:rPr>
                      <w:rFonts w:hint="eastAsia"/>
                      <w:color w:val="auto"/>
                      <w:szCs w:val="21"/>
                      <w:u w:val="none"/>
                    </w:rPr>
                    <w:t>打码机使用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2" w:type="pct"/>
                  <w:vMerge w:val="continue"/>
                  <w:vAlign w:val="center"/>
                </w:tcPr>
                <w:p>
                  <w:pPr>
                    <w:jc w:val="center"/>
                    <w:rPr>
                      <w:color w:val="auto"/>
                      <w:szCs w:val="21"/>
                      <w:u w:val="none"/>
                    </w:rPr>
                  </w:pPr>
                </w:p>
              </w:tc>
              <w:tc>
                <w:tcPr>
                  <w:tcW w:w="799" w:type="pct"/>
                  <w:vAlign w:val="center"/>
                </w:tcPr>
                <w:p>
                  <w:pPr>
                    <w:widowControl/>
                    <w:jc w:val="center"/>
                    <w:rPr>
                      <w:rFonts w:hint="eastAsia"/>
                      <w:color w:val="auto"/>
                      <w:kern w:val="0"/>
                      <w:szCs w:val="21"/>
                      <w:u w:val="none"/>
                    </w:rPr>
                  </w:pPr>
                  <w:r>
                    <w:rPr>
                      <w:rFonts w:hint="eastAsia"/>
                      <w:color w:val="auto"/>
                      <w:kern w:val="0"/>
                      <w:szCs w:val="21"/>
                      <w:u w:val="none"/>
                    </w:rPr>
                    <w:t>氢氧化钠</w:t>
                  </w:r>
                </w:p>
              </w:tc>
              <w:tc>
                <w:tcPr>
                  <w:tcW w:w="711" w:type="pct"/>
                  <w:vAlign w:val="center"/>
                </w:tcPr>
                <w:p>
                  <w:pPr>
                    <w:widowControl/>
                    <w:jc w:val="center"/>
                    <w:rPr>
                      <w:rFonts w:hint="eastAsia"/>
                      <w:color w:val="auto"/>
                      <w:kern w:val="0"/>
                      <w:szCs w:val="21"/>
                      <w:u w:val="none"/>
                    </w:rPr>
                  </w:pPr>
                  <w:r>
                    <w:rPr>
                      <w:rFonts w:hint="eastAsia"/>
                      <w:color w:val="auto"/>
                      <w:kern w:val="0"/>
                      <w:szCs w:val="21"/>
                      <w:u w:val="none"/>
                    </w:rPr>
                    <w:t>t/a</w:t>
                  </w:r>
                </w:p>
              </w:tc>
              <w:tc>
                <w:tcPr>
                  <w:tcW w:w="711" w:type="pct"/>
                  <w:vAlign w:val="center"/>
                </w:tcPr>
                <w:p>
                  <w:pPr>
                    <w:jc w:val="center"/>
                    <w:rPr>
                      <w:rFonts w:hint="eastAsia"/>
                      <w:color w:val="auto"/>
                      <w:szCs w:val="21"/>
                      <w:u w:val="none"/>
                    </w:rPr>
                  </w:pPr>
                  <w:r>
                    <w:rPr>
                      <w:rFonts w:hint="eastAsia"/>
                      <w:color w:val="auto"/>
                      <w:szCs w:val="21"/>
                      <w:u w:val="none"/>
                    </w:rPr>
                    <w:t>5</w:t>
                  </w:r>
                </w:p>
              </w:tc>
              <w:tc>
                <w:tcPr>
                  <w:tcW w:w="1333" w:type="pct"/>
                  <w:vAlign w:val="center"/>
                </w:tcPr>
                <w:p>
                  <w:pPr>
                    <w:jc w:val="center"/>
                    <w:rPr>
                      <w:rFonts w:hint="eastAsia"/>
                      <w:color w:val="auto"/>
                      <w:szCs w:val="21"/>
                      <w:u w:val="none"/>
                    </w:rPr>
                  </w:pPr>
                  <w:r>
                    <w:rPr>
                      <w:rFonts w:hint="eastAsia"/>
                      <w:color w:val="auto"/>
                      <w:szCs w:val="21"/>
                      <w:u w:val="none"/>
                    </w:rPr>
                    <w:t>0.5</w:t>
                  </w:r>
                </w:p>
              </w:tc>
              <w:tc>
                <w:tcPr>
                  <w:tcW w:w="933" w:type="pct"/>
                  <w:vAlign w:val="center"/>
                </w:tcPr>
                <w:p>
                  <w:pPr>
                    <w:jc w:val="center"/>
                    <w:rPr>
                      <w:rFonts w:hint="eastAsia"/>
                      <w:color w:val="auto"/>
                      <w:szCs w:val="21"/>
                      <w:u w:val="none"/>
                    </w:rPr>
                  </w:pPr>
                  <w:r>
                    <w:rPr>
                      <w:rFonts w:hint="eastAsia"/>
                      <w:color w:val="auto"/>
                      <w:szCs w:val="21"/>
                      <w:u w:val="none"/>
                    </w:rPr>
                    <w:t>废气、废水处理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continue"/>
                  <w:vAlign w:val="center"/>
                </w:tcPr>
                <w:p>
                  <w:pPr>
                    <w:jc w:val="center"/>
                    <w:rPr>
                      <w:color w:val="auto"/>
                      <w:szCs w:val="21"/>
                      <w:u w:val="none"/>
                    </w:rPr>
                  </w:pPr>
                </w:p>
              </w:tc>
              <w:tc>
                <w:tcPr>
                  <w:tcW w:w="799" w:type="pct"/>
                  <w:vAlign w:val="center"/>
                </w:tcPr>
                <w:p>
                  <w:pPr>
                    <w:widowControl/>
                    <w:jc w:val="center"/>
                    <w:rPr>
                      <w:color w:val="auto"/>
                      <w:kern w:val="0"/>
                      <w:szCs w:val="21"/>
                      <w:u w:val="none"/>
                    </w:rPr>
                  </w:pPr>
                  <w:r>
                    <w:rPr>
                      <w:rFonts w:hint="eastAsia"/>
                      <w:color w:val="auto"/>
                      <w:kern w:val="0"/>
                      <w:szCs w:val="21"/>
                      <w:u w:val="none"/>
                    </w:rPr>
                    <w:t>PAM</w:t>
                  </w:r>
                </w:p>
              </w:tc>
              <w:tc>
                <w:tcPr>
                  <w:tcW w:w="711" w:type="pct"/>
                  <w:vAlign w:val="center"/>
                </w:tcPr>
                <w:p>
                  <w:pPr>
                    <w:widowControl/>
                    <w:jc w:val="center"/>
                    <w:rPr>
                      <w:color w:val="auto"/>
                      <w:kern w:val="0"/>
                      <w:szCs w:val="21"/>
                      <w:u w:val="none"/>
                    </w:rPr>
                  </w:pPr>
                  <w:r>
                    <w:rPr>
                      <w:rFonts w:hint="eastAsia"/>
                      <w:color w:val="auto"/>
                      <w:kern w:val="0"/>
                      <w:szCs w:val="21"/>
                      <w:u w:val="none"/>
                    </w:rPr>
                    <w:t>t/a</w:t>
                  </w:r>
                </w:p>
              </w:tc>
              <w:tc>
                <w:tcPr>
                  <w:tcW w:w="711" w:type="pct"/>
                  <w:vAlign w:val="center"/>
                </w:tcPr>
                <w:p>
                  <w:pPr>
                    <w:jc w:val="center"/>
                    <w:rPr>
                      <w:rFonts w:hint="eastAsia"/>
                      <w:color w:val="auto"/>
                      <w:szCs w:val="21"/>
                      <w:u w:val="none"/>
                    </w:rPr>
                  </w:pPr>
                  <w:r>
                    <w:rPr>
                      <w:rFonts w:hint="eastAsia"/>
                      <w:color w:val="auto"/>
                      <w:szCs w:val="21"/>
                      <w:u w:val="none"/>
                    </w:rPr>
                    <w:t>0.5</w:t>
                  </w:r>
                </w:p>
              </w:tc>
              <w:tc>
                <w:tcPr>
                  <w:tcW w:w="1333" w:type="pct"/>
                  <w:vAlign w:val="center"/>
                </w:tcPr>
                <w:p>
                  <w:pPr>
                    <w:jc w:val="center"/>
                    <w:rPr>
                      <w:rFonts w:hint="eastAsia"/>
                      <w:color w:val="auto"/>
                      <w:szCs w:val="21"/>
                      <w:u w:val="none"/>
                    </w:rPr>
                  </w:pPr>
                  <w:r>
                    <w:rPr>
                      <w:rFonts w:hint="eastAsia"/>
                      <w:color w:val="auto"/>
                      <w:szCs w:val="21"/>
                      <w:u w:val="none"/>
                    </w:rPr>
                    <w:t>0.05</w:t>
                  </w:r>
                </w:p>
              </w:tc>
              <w:tc>
                <w:tcPr>
                  <w:tcW w:w="933" w:type="pct"/>
                  <w:vAlign w:val="center"/>
                </w:tcPr>
                <w:p>
                  <w:pPr>
                    <w:jc w:val="center"/>
                    <w:rPr>
                      <w:color w:val="auto"/>
                      <w:szCs w:val="21"/>
                      <w:u w:val="none"/>
                    </w:rPr>
                  </w:pPr>
                  <w:r>
                    <w:rPr>
                      <w:rFonts w:hint="eastAsia"/>
                      <w:color w:val="auto"/>
                      <w:szCs w:val="21"/>
                      <w:u w:val="none"/>
                    </w:rPr>
                    <w:t>废水处理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continue"/>
                  <w:vAlign w:val="center"/>
                </w:tcPr>
                <w:p>
                  <w:pPr>
                    <w:jc w:val="center"/>
                    <w:rPr>
                      <w:color w:val="auto"/>
                      <w:szCs w:val="21"/>
                      <w:u w:val="none"/>
                    </w:rPr>
                  </w:pPr>
                </w:p>
              </w:tc>
              <w:tc>
                <w:tcPr>
                  <w:tcW w:w="799" w:type="pct"/>
                  <w:vAlign w:val="center"/>
                </w:tcPr>
                <w:p>
                  <w:pPr>
                    <w:widowControl/>
                    <w:jc w:val="center"/>
                    <w:rPr>
                      <w:color w:val="auto"/>
                      <w:kern w:val="0"/>
                      <w:szCs w:val="21"/>
                      <w:u w:val="none"/>
                    </w:rPr>
                  </w:pPr>
                  <w:r>
                    <w:rPr>
                      <w:rFonts w:hint="eastAsia"/>
                      <w:color w:val="auto"/>
                      <w:kern w:val="0"/>
                      <w:szCs w:val="21"/>
                      <w:u w:val="none"/>
                    </w:rPr>
                    <w:t>PAC</w:t>
                  </w:r>
                </w:p>
              </w:tc>
              <w:tc>
                <w:tcPr>
                  <w:tcW w:w="711" w:type="pct"/>
                  <w:vAlign w:val="center"/>
                </w:tcPr>
                <w:p>
                  <w:pPr>
                    <w:widowControl/>
                    <w:jc w:val="center"/>
                    <w:rPr>
                      <w:color w:val="auto"/>
                      <w:kern w:val="0"/>
                      <w:szCs w:val="21"/>
                      <w:u w:val="none"/>
                    </w:rPr>
                  </w:pPr>
                  <w:r>
                    <w:rPr>
                      <w:rFonts w:hint="eastAsia"/>
                      <w:color w:val="auto"/>
                      <w:kern w:val="0"/>
                      <w:szCs w:val="21"/>
                      <w:u w:val="none"/>
                    </w:rPr>
                    <w:t>t/a</w:t>
                  </w:r>
                </w:p>
              </w:tc>
              <w:tc>
                <w:tcPr>
                  <w:tcW w:w="711" w:type="pct"/>
                  <w:vAlign w:val="center"/>
                </w:tcPr>
                <w:p>
                  <w:pPr>
                    <w:jc w:val="center"/>
                    <w:rPr>
                      <w:color w:val="auto"/>
                      <w:szCs w:val="21"/>
                      <w:u w:val="none"/>
                    </w:rPr>
                  </w:pPr>
                  <w:r>
                    <w:rPr>
                      <w:rFonts w:hint="eastAsia"/>
                      <w:color w:val="auto"/>
                      <w:szCs w:val="21"/>
                      <w:u w:val="none"/>
                    </w:rPr>
                    <w:t>20</w:t>
                  </w:r>
                </w:p>
              </w:tc>
              <w:tc>
                <w:tcPr>
                  <w:tcW w:w="1333" w:type="pct"/>
                  <w:vAlign w:val="center"/>
                </w:tcPr>
                <w:p>
                  <w:pPr>
                    <w:jc w:val="center"/>
                    <w:rPr>
                      <w:color w:val="auto"/>
                      <w:szCs w:val="21"/>
                      <w:u w:val="none"/>
                    </w:rPr>
                  </w:pPr>
                  <w:r>
                    <w:rPr>
                      <w:rFonts w:hint="eastAsia"/>
                      <w:color w:val="auto"/>
                      <w:szCs w:val="21"/>
                      <w:u w:val="none"/>
                    </w:rPr>
                    <w:t>2</w:t>
                  </w:r>
                </w:p>
              </w:tc>
              <w:tc>
                <w:tcPr>
                  <w:tcW w:w="933" w:type="pct"/>
                  <w:vAlign w:val="center"/>
                </w:tcPr>
                <w:p>
                  <w:pPr>
                    <w:jc w:val="center"/>
                    <w:rPr>
                      <w:color w:val="auto"/>
                      <w:szCs w:val="21"/>
                      <w:u w:val="none"/>
                    </w:rPr>
                  </w:pPr>
                  <w:r>
                    <w:rPr>
                      <w:rFonts w:hint="eastAsia"/>
                      <w:color w:val="auto"/>
                      <w:szCs w:val="21"/>
                      <w:u w:val="none"/>
                    </w:rPr>
                    <w:t>废水处理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restart"/>
                  <w:vAlign w:val="center"/>
                </w:tcPr>
                <w:p>
                  <w:pPr>
                    <w:jc w:val="center"/>
                    <w:rPr>
                      <w:color w:val="auto"/>
                      <w:szCs w:val="21"/>
                      <w:u w:val="none"/>
                    </w:rPr>
                  </w:pPr>
                  <w:r>
                    <w:rPr>
                      <w:rFonts w:hint="eastAsia"/>
                      <w:color w:val="auto"/>
                      <w:szCs w:val="21"/>
                      <w:u w:val="none"/>
                    </w:rPr>
                    <w:t>能源</w:t>
                  </w:r>
                </w:p>
              </w:tc>
              <w:tc>
                <w:tcPr>
                  <w:tcW w:w="799" w:type="pct"/>
                  <w:vAlign w:val="center"/>
                </w:tcPr>
                <w:p>
                  <w:pPr>
                    <w:widowControl/>
                    <w:jc w:val="center"/>
                    <w:rPr>
                      <w:color w:val="auto"/>
                      <w:kern w:val="0"/>
                      <w:szCs w:val="21"/>
                      <w:u w:val="none"/>
                    </w:rPr>
                  </w:pPr>
                  <w:r>
                    <w:rPr>
                      <w:rFonts w:hint="eastAsia"/>
                      <w:color w:val="auto"/>
                      <w:kern w:val="0"/>
                      <w:szCs w:val="21"/>
                      <w:u w:val="none"/>
                    </w:rPr>
                    <w:t>天然气</w:t>
                  </w:r>
                </w:p>
              </w:tc>
              <w:tc>
                <w:tcPr>
                  <w:tcW w:w="711" w:type="pct"/>
                  <w:vAlign w:val="center"/>
                </w:tcPr>
                <w:p>
                  <w:pPr>
                    <w:widowControl/>
                    <w:jc w:val="center"/>
                    <w:rPr>
                      <w:color w:val="auto"/>
                      <w:kern w:val="0"/>
                      <w:szCs w:val="21"/>
                      <w:u w:val="none"/>
                    </w:rPr>
                  </w:pPr>
                  <w:r>
                    <w:rPr>
                      <w:rFonts w:hint="eastAsia"/>
                      <w:color w:val="auto"/>
                      <w:kern w:val="0"/>
                      <w:szCs w:val="21"/>
                      <w:u w:val="none"/>
                    </w:rPr>
                    <w:t>万m</w:t>
                  </w:r>
                  <w:r>
                    <w:rPr>
                      <w:rFonts w:hint="eastAsia"/>
                      <w:color w:val="auto"/>
                      <w:kern w:val="0"/>
                      <w:szCs w:val="21"/>
                      <w:u w:val="none"/>
                      <w:vertAlign w:val="superscript"/>
                    </w:rPr>
                    <w:t>3</w:t>
                  </w:r>
                  <w:r>
                    <w:rPr>
                      <w:rFonts w:hint="eastAsia"/>
                      <w:color w:val="auto"/>
                      <w:kern w:val="0"/>
                      <w:szCs w:val="21"/>
                      <w:u w:val="none"/>
                    </w:rPr>
                    <w:t>/a</w:t>
                  </w:r>
                </w:p>
              </w:tc>
              <w:tc>
                <w:tcPr>
                  <w:tcW w:w="711" w:type="pct"/>
                  <w:vAlign w:val="center"/>
                </w:tcPr>
                <w:p>
                  <w:pPr>
                    <w:jc w:val="center"/>
                    <w:rPr>
                      <w:rFonts w:hint="eastAsia"/>
                      <w:color w:val="auto"/>
                      <w:szCs w:val="21"/>
                      <w:u w:val="none"/>
                    </w:rPr>
                  </w:pPr>
                  <w:r>
                    <w:rPr>
                      <w:rFonts w:hint="eastAsia"/>
                      <w:color w:val="auto"/>
                      <w:szCs w:val="21"/>
                      <w:u w:val="none"/>
                    </w:rPr>
                    <w:t>80</w:t>
                  </w:r>
                </w:p>
              </w:tc>
              <w:tc>
                <w:tcPr>
                  <w:tcW w:w="1333" w:type="pct"/>
                  <w:vAlign w:val="center"/>
                </w:tcPr>
                <w:p>
                  <w:pPr>
                    <w:jc w:val="center"/>
                    <w:rPr>
                      <w:rFonts w:hint="eastAsia"/>
                      <w:color w:val="auto"/>
                      <w:szCs w:val="21"/>
                      <w:u w:val="none"/>
                    </w:rPr>
                  </w:pPr>
                  <w:r>
                    <w:rPr>
                      <w:rFonts w:hint="eastAsia"/>
                      <w:color w:val="auto"/>
                      <w:szCs w:val="21"/>
                      <w:u w:val="none"/>
                    </w:rPr>
                    <w:t>0.0017（在线量）</w:t>
                  </w:r>
                </w:p>
              </w:tc>
              <w:tc>
                <w:tcPr>
                  <w:tcW w:w="933" w:type="pct"/>
                  <w:vAlign w:val="center"/>
                </w:tcPr>
                <w:p>
                  <w:pPr>
                    <w:jc w:val="center"/>
                    <w:rPr>
                      <w:color w:val="auto"/>
                      <w:szCs w:val="21"/>
                      <w:u w:val="none"/>
                    </w:rPr>
                  </w:pPr>
                  <w:r>
                    <w:rPr>
                      <w:rFonts w:hint="eastAsia"/>
                      <w:color w:val="auto"/>
                      <w:szCs w:val="21"/>
                      <w:u w:val="none"/>
                    </w:rPr>
                    <w:t>管道输送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continue"/>
                  <w:vAlign w:val="center"/>
                </w:tcPr>
                <w:p>
                  <w:pPr>
                    <w:jc w:val="center"/>
                    <w:rPr>
                      <w:color w:val="auto"/>
                      <w:szCs w:val="21"/>
                      <w:u w:val="none"/>
                    </w:rPr>
                  </w:pPr>
                </w:p>
              </w:tc>
              <w:tc>
                <w:tcPr>
                  <w:tcW w:w="799" w:type="pct"/>
                  <w:vAlign w:val="center"/>
                </w:tcPr>
                <w:p>
                  <w:pPr>
                    <w:widowControl/>
                    <w:jc w:val="center"/>
                    <w:rPr>
                      <w:color w:val="auto"/>
                      <w:kern w:val="0"/>
                      <w:szCs w:val="21"/>
                      <w:u w:val="none"/>
                    </w:rPr>
                  </w:pPr>
                  <w:r>
                    <w:rPr>
                      <w:rFonts w:hint="eastAsia"/>
                      <w:color w:val="auto"/>
                      <w:kern w:val="0"/>
                      <w:szCs w:val="21"/>
                      <w:u w:val="none"/>
                    </w:rPr>
                    <w:t>电能</w:t>
                  </w:r>
                </w:p>
              </w:tc>
              <w:tc>
                <w:tcPr>
                  <w:tcW w:w="711" w:type="pct"/>
                  <w:vAlign w:val="center"/>
                </w:tcPr>
                <w:p>
                  <w:pPr>
                    <w:widowControl/>
                    <w:jc w:val="center"/>
                    <w:rPr>
                      <w:color w:val="auto"/>
                      <w:kern w:val="0"/>
                      <w:szCs w:val="21"/>
                      <w:u w:val="none"/>
                    </w:rPr>
                  </w:pPr>
                  <w:r>
                    <w:rPr>
                      <w:rFonts w:hint="eastAsia"/>
                      <w:color w:val="auto"/>
                      <w:kern w:val="0"/>
                      <w:szCs w:val="21"/>
                      <w:u w:val="none"/>
                      <w:lang w:val="en-US" w:eastAsia="zh-CN"/>
                    </w:rPr>
                    <w:t>万</w:t>
                  </w:r>
                  <w:r>
                    <w:rPr>
                      <w:rFonts w:hint="eastAsia"/>
                      <w:color w:val="auto"/>
                      <w:kern w:val="0"/>
                      <w:szCs w:val="21"/>
                      <w:u w:val="none"/>
                    </w:rPr>
                    <w:t>kWh/a</w:t>
                  </w:r>
                </w:p>
              </w:tc>
              <w:tc>
                <w:tcPr>
                  <w:tcW w:w="711" w:type="pct"/>
                  <w:vAlign w:val="center"/>
                </w:tcPr>
                <w:p>
                  <w:pPr>
                    <w:jc w:val="center"/>
                    <w:rPr>
                      <w:rFonts w:hint="eastAsia" w:eastAsia="宋体"/>
                      <w:color w:val="auto"/>
                      <w:szCs w:val="21"/>
                      <w:u w:val="none"/>
                      <w:lang w:val="en-US" w:eastAsia="zh-CN"/>
                    </w:rPr>
                  </w:pPr>
                  <w:r>
                    <w:rPr>
                      <w:rFonts w:hint="eastAsia"/>
                      <w:color w:val="auto"/>
                      <w:szCs w:val="21"/>
                      <w:u w:val="none"/>
                    </w:rPr>
                    <w:t>334.6</w:t>
                  </w:r>
                </w:p>
              </w:tc>
              <w:tc>
                <w:tcPr>
                  <w:tcW w:w="1333" w:type="pct"/>
                  <w:vAlign w:val="center"/>
                </w:tcPr>
                <w:p>
                  <w:pPr>
                    <w:jc w:val="center"/>
                    <w:rPr>
                      <w:color w:val="auto"/>
                      <w:szCs w:val="21"/>
                      <w:u w:val="none"/>
                    </w:rPr>
                  </w:pPr>
                </w:p>
              </w:tc>
              <w:tc>
                <w:tcPr>
                  <w:tcW w:w="933" w:type="pct"/>
                  <w:vAlign w:val="center"/>
                </w:tcPr>
                <w:p>
                  <w:pPr>
                    <w:jc w:val="center"/>
                    <w:rPr>
                      <w:color w:val="auto"/>
                      <w:szCs w:val="21"/>
                      <w:u w:val="none"/>
                    </w:rPr>
                  </w:pPr>
                  <w:r>
                    <w:rPr>
                      <w:rFonts w:hint="eastAsia"/>
                      <w:color w:val="auto"/>
                      <w:szCs w:val="21"/>
                      <w:u w:val="none"/>
                    </w:rPr>
                    <w:t>市政供电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continue"/>
                  <w:vAlign w:val="center"/>
                </w:tcPr>
                <w:p>
                  <w:pPr>
                    <w:jc w:val="center"/>
                    <w:rPr>
                      <w:color w:val="auto"/>
                      <w:szCs w:val="21"/>
                      <w:u w:val="none"/>
                    </w:rPr>
                  </w:pPr>
                </w:p>
              </w:tc>
              <w:tc>
                <w:tcPr>
                  <w:tcW w:w="799" w:type="pct"/>
                  <w:vAlign w:val="center"/>
                </w:tcPr>
                <w:p>
                  <w:pPr>
                    <w:widowControl/>
                    <w:jc w:val="center"/>
                    <w:rPr>
                      <w:color w:val="auto"/>
                      <w:kern w:val="0"/>
                      <w:szCs w:val="21"/>
                      <w:u w:val="none"/>
                    </w:rPr>
                  </w:pPr>
                  <w:r>
                    <w:rPr>
                      <w:rFonts w:hint="eastAsia"/>
                      <w:color w:val="auto"/>
                      <w:kern w:val="0"/>
                      <w:szCs w:val="21"/>
                      <w:u w:val="none"/>
                    </w:rPr>
                    <w:t>自来水</w:t>
                  </w:r>
                </w:p>
              </w:tc>
              <w:tc>
                <w:tcPr>
                  <w:tcW w:w="711" w:type="pct"/>
                  <w:vAlign w:val="center"/>
                </w:tcPr>
                <w:p>
                  <w:pPr>
                    <w:widowControl/>
                    <w:jc w:val="center"/>
                    <w:rPr>
                      <w:color w:val="auto"/>
                      <w:kern w:val="0"/>
                      <w:szCs w:val="21"/>
                      <w:u w:val="none"/>
                    </w:rPr>
                  </w:pPr>
                  <w:r>
                    <w:rPr>
                      <w:rFonts w:hint="eastAsia"/>
                      <w:color w:val="auto"/>
                      <w:kern w:val="0"/>
                      <w:szCs w:val="21"/>
                      <w:u w:val="none"/>
                    </w:rPr>
                    <w:t>m</w:t>
                  </w:r>
                  <w:r>
                    <w:rPr>
                      <w:rFonts w:hint="eastAsia"/>
                      <w:color w:val="auto"/>
                      <w:kern w:val="0"/>
                      <w:szCs w:val="21"/>
                      <w:u w:val="none"/>
                      <w:vertAlign w:val="superscript"/>
                    </w:rPr>
                    <w:t>3</w:t>
                  </w:r>
                  <w:r>
                    <w:rPr>
                      <w:rFonts w:hint="eastAsia"/>
                      <w:color w:val="auto"/>
                      <w:kern w:val="0"/>
                      <w:szCs w:val="21"/>
                      <w:u w:val="none"/>
                    </w:rPr>
                    <w:t>/a</w:t>
                  </w:r>
                </w:p>
              </w:tc>
              <w:tc>
                <w:tcPr>
                  <w:tcW w:w="711" w:type="pct"/>
                  <w:vAlign w:val="center"/>
                </w:tcPr>
                <w:p>
                  <w:pPr>
                    <w:jc w:val="center"/>
                    <w:rPr>
                      <w:rFonts w:hint="default" w:eastAsia="宋体"/>
                      <w:color w:val="auto"/>
                      <w:szCs w:val="21"/>
                      <w:u w:val="none"/>
                      <w:lang w:val="en-US" w:eastAsia="zh-CN"/>
                    </w:rPr>
                  </w:pPr>
                  <w:r>
                    <w:rPr>
                      <w:rFonts w:hint="eastAsia"/>
                      <w:color w:val="auto"/>
                      <w:szCs w:val="21"/>
                      <w:u w:val="none"/>
                    </w:rPr>
                    <w:t>12</w:t>
                  </w:r>
                  <w:r>
                    <w:rPr>
                      <w:rFonts w:hint="eastAsia"/>
                      <w:color w:val="auto"/>
                      <w:szCs w:val="21"/>
                      <w:u w:val="none"/>
                      <w:lang w:val="en-US" w:eastAsia="zh-CN"/>
                    </w:rPr>
                    <w:t>9862.5</w:t>
                  </w:r>
                </w:p>
              </w:tc>
              <w:tc>
                <w:tcPr>
                  <w:tcW w:w="1333" w:type="pct"/>
                  <w:vAlign w:val="center"/>
                </w:tcPr>
                <w:p>
                  <w:pPr>
                    <w:jc w:val="center"/>
                    <w:rPr>
                      <w:color w:val="auto"/>
                      <w:szCs w:val="21"/>
                      <w:u w:val="none"/>
                    </w:rPr>
                  </w:pPr>
                </w:p>
              </w:tc>
              <w:tc>
                <w:tcPr>
                  <w:tcW w:w="933" w:type="pct"/>
                  <w:vAlign w:val="center"/>
                </w:tcPr>
                <w:p>
                  <w:pPr>
                    <w:jc w:val="center"/>
                    <w:rPr>
                      <w:color w:val="auto"/>
                      <w:szCs w:val="21"/>
                      <w:u w:val="none"/>
                    </w:rPr>
                  </w:pPr>
                  <w:r>
                    <w:rPr>
                      <w:rFonts w:hint="eastAsia"/>
                      <w:color w:val="auto"/>
                      <w:szCs w:val="21"/>
                      <w:u w:val="none"/>
                    </w:rPr>
                    <w:t>市政供水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restart"/>
                  <w:vAlign w:val="center"/>
                </w:tcPr>
                <w:p>
                  <w:pPr>
                    <w:jc w:val="center"/>
                    <w:rPr>
                      <w:color w:val="auto"/>
                      <w:szCs w:val="21"/>
                      <w:u w:val="none"/>
                    </w:rPr>
                  </w:pPr>
                  <w:r>
                    <w:rPr>
                      <w:rFonts w:hint="eastAsia"/>
                      <w:color w:val="auto"/>
                      <w:szCs w:val="21"/>
                      <w:u w:val="none"/>
                    </w:rPr>
                    <w:t>质检原料</w:t>
                  </w:r>
                </w:p>
              </w:tc>
              <w:tc>
                <w:tcPr>
                  <w:tcW w:w="799" w:type="pct"/>
                  <w:vAlign w:val="center"/>
                </w:tcPr>
                <w:p>
                  <w:pPr>
                    <w:widowControl/>
                    <w:jc w:val="center"/>
                    <w:rPr>
                      <w:color w:val="auto"/>
                      <w:kern w:val="0"/>
                      <w:szCs w:val="21"/>
                      <w:u w:val="none"/>
                    </w:rPr>
                  </w:pPr>
                  <w:r>
                    <w:rPr>
                      <w:rFonts w:hint="eastAsia"/>
                      <w:color w:val="auto"/>
                      <w:kern w:val="0"/>
                      <w:szCs w:val="21"/>
                      <w:u w:val="none"/>
                    </w:rPr>
                    <w:t>氢氧化钠</w:t>
                  </w:r>
                </w:p>
              </w:tc>
              <w:tc>
                <w:tcPr>
                  <w:tcW w:w="711" w:type="pct"/>
                  <w:vAlign w:val="center"/>
                </w:tcPr>
                <w:p>
                  <w:pPr>
                    <w:widowControl/>
                    <w:jc w:val="center"/>
                    <w:rPr>
                      <w:color w:val="auto"/>
                      <w:kern w:val="0"/>
                      <w:szCs w:val="21"/>
                      <w:u w:val="none"/>
                    </w:rPr>
                  </w:pPr>
                  <w:r>
                    <w:rPr>
                      <w:rFonts w:hint="eastAsia"/>
                      <w:color w:val="auto"/>
                      <w:kern w:val="0"/>
                      <w:szCs w:val="21"/>
                      <w:u w:val="none"/>
                    </w:rPr>
                    <w:t>kg/a</w:t>
                  </w:r>
                </w:p>
              </w:tc>
              <w:tc>
                <w:tcPr>
                  <w:tcW w:w="711" w:type="pct"/>
                  <w:vAlign w:val="center"/>
                </w:tcPr>
                <w:p>
                  <w:pPr>
                    <w:jc w:val="center"/>
                    <w:rPr>
                      <w:color w:val="auto"/>
                      <w:szCs w:val="21"/>
                      <w:u w:val="none"/>
                    </w:rPr>
                  </w:pPr>
                  <w:r>
                    <w:rPr>
                      <w:rFonts w:hint="eastAsia"/>
                      <w:color w:val="auto"/>
                      <w:szCs w:val="21"/>
                      <w:u w:val="none"/>
                    </w:rPr>
                    <w:t>6</w:t>
                  </w:r>
                </w:p>
              </w:tc>
              <w:tc>
                <w:tcPr>
                  <w:tcW w:w="1333" w:type="pct"/>
                  <w:vAlign w:val="center"/>
                </w:tcPr>
                <w:p>
                  <w:pPr>
                    <w:jc w:val="center"/>
                    <w:rPr>
                      <w:rFonts w:hint="eastAsia" w:eastAsia="宋体"/>
                      <w:color w:val="auto"/>
                      <w:szCs w:val="21"/>
                      <w:u w:val="none"/>
                      <w:lang w:val="en-US" w:eastAsia="zh-CN"/>
                    </w:rPr>
                  </w:pPr>
                  <w:r>
                    <w:rPr>
                      <w:rFonts w:hint="eastAsia"/>
                      <w:color w:val="auto"/>
                      <w:szCs w:val="21"/>
                      <w:u w:val="none"/>
                    </w:rPr>
                    <w:t>6</w:t>
                  </w:r>
                  <w:r>
                    <w:rPr>
                      <w:rFonts w:hint="eastAsia"/>
                      <w:color w:val="auto"/>
                      <w:szCs w:val="21"/>
                      <w:u w:val="none"/>
                      <w:lang w:val="en-US" w:eastAsia="zh-CN"/>
                    </w:rPr>
                    <w:t>kg</w:t>
                  </w:r>
                </w:p>
              </w:tc>
              <w:tc>
                <w:tcPr>
                  <w:tcW w:w="933" w:type="pct"/>
                  <w:vAlign w:val="center"/>
                </w:tcPr>
                <w:p>
                  <w:pPr>
                    <w:jc w:val="center"/>
                    <w:rPr>
                      <w:color w:val="auto"/>
                      <w:szCs w:val="21"/>
                      <w:u w:val="none"/>
                    </w:rPr>
                  </w:pPr>
                  <w:r>
                    <w:rPr>
                      <w:rFonts w:hint="eastAsia"/>
                      <w:color w:val="auto"/>
                      <w:szCs w:val="21"/>
                      <w:u w:val="none"/>
                    </w:rPr>
                    <w:t>科研楼质检室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continue"/>
                  <w:vAlign w:val="center"/>
                </w:tcPr>
                <w:p>
                  <w:pPr>
                    <w:jc w:val="center"/>
                    <w:rPr>
                      <w:color w:val="auto"/>
                      <w:szCs w:val="21"/>
                      <w:u w:val="none"/>
                    </w:rPr>
                  </w:pPr>
                </w:p>
              </w:tc>
              <w:tc>
                <w:tcPr>
                  <w:tcW w:w="799" w:type="pct"/>
                  <w:vAlign w:val="center"/>
                </w:tcPr>
                <w:p>
                  <w:pPr>
                    <w:widowControl/>
                    <w:jc w:val="center"/>
                    <w:rPr>
                      <w:color w:val="auto"/>
                      <w:kern w:val="0"/>
                      <w:szCs w:val="21"/>
                      <w:u w:val="none"/>
                    </w:rPr>
                  </w:pPr>
                  <w:r>
                    <w:rPr>
                      <w:rFonts w:hint="eastAsia"/>
                      <w:color w:val="auto"/>
                      <w:kern w:val="0"/>
                      <w:szCs w:val="21"/>
                      <w:u w:val="none"/>
                    </w:rPr>
                    <w:t>盐酸（37%）</w:t>
                  </w:r>
                </w:p>
              </w:tc>
              <w:tc>
                <w:tcPr>
                  <w:tcW w:w="711" w:type="pct"/>
                  <w:vAlign w:val="center"/>
                </w:tcPr>
                <w:p>
                  <w:pPr>
                    <w:widowControl/>
                    <w:jc w:val="center"/>
                    <w:rPr>
                      <w:color w:val="auto"/>
                      <w:kern w:val="0"/>
                      <w:szCs w:val="21"/>
                      <w:u w:val="none"/>
                    </w:rPr>
                  </w:pPr>
                  <w:r>
                    <w:rPr>
                      <w:rFonts w:hint="eastAsia"/>
                      <w:color w:val="auto"/>
                      <w:kern w:val="0"/>
                      <w:szCs w:val="21"/>
                      <w:u w:val="none"/>
                    </w:rPr>
                    <w:t>L/a</w:t>
                  </w:r>
                </w:p>
              </w:tc>
              <w:tc>
                <w:tcPr>
                  <w:tcW w:w="711" w:type="pct"/>
                  <w:vAlign w:val="center"/>
                </w:tcPr>
                <w:p>
                  <w:pPr>
                    <w:jc w:val="center"/>
                    <w:rPr>
                      <w:color w:val="auto"/>
                      <w:szCs w:val="21"/>
                      <w:u w:val="none"/>
                    </w:rPr>
                  </w:pPr>
                  <w:r>
                    <w:rPr>
                      <w:rFonts w:hint="eastAsia"/>
                      <w:color w:val="auto"/>
                      <w:szCs w:val="21"/>
                      <w:u w:val="none"/>
                    </w:rPr>
                    <w:t>0.5</w:t>
                  </w:r>
                </w:p>
              </w:tc>
              <w:tc>
                <w:tcPr>
                  <w:tcW w:w="1333" w:type="pct"/>
                  <w:vAlign w:val="center"/>
                </w:tcPr>
                <w:p>
                  <w:pPr>
                    <w:jc w:val="center"/>
                    <w:rPr>
                      <w:rFonts w:hint="eastAsia" w:eastAsia="宋体"/>
                      <w:color w:val="auto"/>
                      <w:szCs w:val="21"/>
                      <w:u w:val="none"/>
                      <w:lang w:val="en-US" w:eastAsia="zh-CN"/>
                    </w:rPr>
                  </w:pPr>
                  <w:r>
                    <w:rPr>
                      <w:rFonts w:hint="eastAsia"/>
                      <w:color w:val="auto"/>
                      <w:szCs w:val="21"/>
                      <w:u w:val="none"/>
                    </w:rPr>
                    <w:t>0.5</w:t>
                  </w:r>
                  <w:r>
                    <w:rPr>
                      <w:rFonts w:hint="eastAsia"/>
                      <w:color w:val="auto"/>
                      <w:szCs w:val="21"/>
                      <w:u w:val="none"/>
                      <w:lang w:val="en-US" w:eastAsia="zh-CN"/>
                    </w:rPr>
                    <w:t>L</w:t>
                  </w:r>
                </w:p>
              </w:tc>
              <w:tc>
                <w:tcPr>
                  <w:tcW w:w="933" w:type="pct"/>
                  <w:vAlign w:val="center"/>
                </w:tcPr>
                <w:p>
                  <w:pPr>
                    <w:jc w:val="center"/>
                    <w:rPr>
                      <w:color w:val="auto"/>
                      <w:szCs w:val="21"/>
                      <w:u w:val="none"/>
                    </w:rPr>
                  </w:pPr>
                  <w:r>
                    <w:rPr>
                      <w:rFonts w:hint="eastAsia"/>
                      <w:color w:val="auto"/>
                      <w:szCs w:val="21"/>
                      <w:u w:val="none"/>
                    </w:rPr>
                    <w:t>科研楼质检室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continue"/>
                  <w:vAlign w:val="center"/>
                </w:tcPr>
                <w:p>
                  <w:pPr>
                    <w:jc w:val="center"/>
                    <w:rPr>
                      <w:color w:val="auto"/>
                      <w:szCs w:val="21"/>
                      <w:u w:val="none"/>
                    </w:rPr>
                  </w:pPr>
                </w:p>
              </w:tc>
              <w:tc>
                <w:tcPr>
                  <w:tcW w:w="799" w:type="pct"/>
                  <w:vAlign w:val="center"/>
                </w:tcPr>
                <w:p>
                  <w:pPr>
                    <w:widowControl/>
                    <w:jc w:val="center"/>
                    <w:rPr>
                      <w:color w:val="auto"/>
                      <w:kern w:val="0"/>
                      <w:szCs w:val="21"/>
                      <w:u w:val="none"/>
                    </w:rPr>
                  </w:pPr>
                  <w:r>
                    <w:rPr>
                      <w:color w:val="auto"/>
                      <w:kern w:val="0"/>
                      <w:szCs w:val="21"/>
                      <w:u w:val="none"/>
                    </w:rPr>
                    <w:t>月桂基硫酸盐胰蛋白胨肉汤</w:t>
                  </w:r>
                </w:p>
              </w:tc>
              <w:tc>
                <w:tcPr>
                  <w:tcW w:w="711" w:type="pct"/>
                  <w:vAlign w:val="center"/>
                </w:tcPr>
                <w:p>
                  <w:pPr>
                    <w:widowControl/>
                    <w:jc w:val="center"/>
                    <w:rPr>
                      <w:color w:val="auto"/>
                      <w:kern w:val="0"/>
                      <w:szCs w:val="21"/>
                      <w:u w:val="none"/>
                    </w:rPr>
                  </w:pPr>
                  <w:r>
                    <w:rPr>
                      <w:rFonts w:hint="eastAsia"/>
                      <w:color w:val="auto"/>
                      <w:kern w:val="0"/>
                      <w:szCs w:val="21"/>
                      <w:u w:val="none"/>
                    </w:rPr>
                    <w:t>kg/a</w:t>
                  </w:r>
                </w:p>
              </w:tc>
              <w:tc>
                <w:tcPr>
                  <w:tcW w:w="711" w:type="pct"/>
                  <w:vAlign w:val="center"/>
                </w:tcPr>
                <w:p>
                  <w:pPr>
                    <w:jc w:val="center"/>
                    <w:rPr>
                      <w:color w:val="auto"/>
                      <w:szCs w:val="21"/>
                      <w:u w:val="none"/>
                    </w:rPr>
                  </w:pPr>
                  <w:r>
                    <w:rPr>
                      <w:rFonts w:hint="eastAsia"/>
                      <w:color w:val="auto"/>
                      <w:szCs w:val="21"/>
                      <w:u w:val="none"/>
                    </w:rPr>
                    <w:t>1</w:t>
                  </w:r>
                </w:p>
              </w:tc>
              <w:tc>
                <w:tcPr>
                  <w:tcW w:w="1333" w:type="pct"/>
                  <w:vAlign w:val="center"/>
                </w:tcPr>
                <w:p>
                  <w:pPr>
                    <w:jc w:val="center"/>
                    <w:rPr>
                      <w:rFonts w:hint="eastAsia" w:eastAsia="宋体"/>
                      <w:color w:val="auto"/>
                      <w:szCs w:val="21"/>
                      <w:u w:val="none"/>
                      <w:lang w:val="en-US" w:eastAsia="zh-CN"/>
                    </w:rPr>
                  </w:pPr>
                  <w:r>
                    <w:rPr>
                      <w:rFonts w:hint="eastAsia"/>
                      <w:color w:val="auto"/>
                      <w:szCs w:val="21"/>
                      <w:u w:val="none"/>
                    </w:rPr>
                    <w:t>1</w:t>
                  </w:r>
                  <w:r>
                    <w:rPr>
                      <w:rFonts w:hint="eastAsia"/>
                      <w:color w:val="auto"/>
                      <w:szCs w:val="21"/>
                      <w:u w:val="none"/>
                      <w:lang w:val="en-US" w:eastAsia="zh-CN"/>
                    </w:rPr>
                    <w:t>kg</w:t>
                  </w:r>
                </w:p>
              </w:tc>
              <w:tc>
                <w:tcPr>
                  <w:tcW w:w="933" w:type="pct"/>
                  <w:vAlign w:val="center"/>
                </w:tcPr>
                <w:p>
                  <w:pPr>
                    <w:jc w:val="center"/>
                    <w:rPr>
                      <w:color w:val="auto"/>
                      <w:szCs w:val="21"/>
                      <w:u w:val="none"/>
                    </w:rPr>
                  </w:pPr>
                  <w:r>
                    <w:rPr>
                      <w:rFonts w:hint="eastAsia"/>
                      <w:color w:val="auto"/>
                      <w:szCs w:val="21"/>
                      <w:u w:val="none"/>
                    </w:rPr>
                    <w:t>科研楼质检室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continue"/>
                  <w:vAlign w:val="center"/>
                </w:tcPr>
                <w:p>
                  <w:pPr>
                    <w:jc w:val="center"/>
                    <w:rPr>
                      <w:color w:val="auto"/>
                      <w:szCs w:val="21"/>
                      <w:u w:val="none"/>
                    </w:rPr>
                  </w:pPr>
                </w:p>
              </w:tc>
              <w:tc>
                <w:tcPr>
                  <w:tcW w:w="799" w:type="pct"/>
                  <w:vAlign w:val="center"/>
                </w:tcPr>
                <w:p>
                  <w:pPr>
                    <w:widowControl/>
                    <w:jc w:val="center"/>
                    <w:rPr>
                      <w:color w:val="auto"/>
                      <w:kern w:val="0"/>
                      <w:szCs w:val="21"/>
                      <w:u w:val="none"/>
                    </w:rPr>
                  </w:pPr>
                  <w:r>
                    <w:rPr>
                      <w:color w:val="auto"/>
                      <w:kern w:val="0"/>
                      <w:szCs w:val="21"/>
                      <w:u w:val="none"/>
                    </w:rPr>
                    <w:t>结晶紫中性红胆盐琼脂</w:t>
                  </w:r>
                </w:p>
              </w:tc>
              <w:tc>
                <w:tcPr>
                  <w:tcW w:w="711" w:type="pct"/>
                  <w:vAlign w:val="center"/>
                </w:tcPr>
                <w:p>
                  <w:pPr>
                    <w:widowControl/>
                    <w:jc w:val="center"/>
                    <w:rPr>
                      <w:color w:val="auto"/>
                      <w:kern w:val="0"/>
                      <w:szCs w:val="21"/>
                      <w:u w:val="none"/>
                    </w:rPr>
                  </w:pPr>
                  <w:r>
                    <w:rPr>
                      <w:rFonts w:hint="eastAsia"/>
                      <w:color w:val="auto"/>
                      <w:kern w:val="0"/>
                      <w:szCs w:val="21"/>
                      <w:u w:val="none"/>
                    </w:rPr>
                    <w:t>kg/a</w:t>
                  </w:r>
                </w:p>
              </w:tc>
              <w:tc>
                <w:tcPr>
                  <w:tcW w:w="711" w:type="pct"/>
                  <w:vAlign w:val="center"/>
                </w:tcPr>
                <w:p>
                  <w:pPr>
                    <w:jc w:val="center"/>
                    <w:rPr>
                      <w:color w:val="auto"/>
                      <w:szCs w:val="21"/>
                      <w:u w:val="none"/>
                    </w:rPr>
                  </w:pPr>
                  <w:r>
                    <w:rPr>
                      <w:rFonts w:hint="eastAsia"/>
                      <w:color w:val="auto"/>
                      <w:szCs w:val="21"/>
                      <w:u w:val="none"/>
                    </w:rPr>
                    <w:t>1</w:t>
                  </w:r>
                </w:p>
              </w:tc>
              <w:tc>
                <w:tcPr>
                  <w:tcW w:w="1333" w:type="pct"/>
                  <w:vAlign w:val="center"/>
                </w:tcPr>
                <w:p>
                  <w:pPr>
                    <w:jc w:val="center"/>
                    <w:rPr>
                      <w:rFonts w:hint="eastAsia" w:eastAsia="宋体"/>
                      <w:color w:val="auto"/>
                      <w:szCs w:val="21"/>
                      <w:u w:val="none"/>
                      <w:lang w:val="en-US" w:eastAsia="zh-CN"/>
                    </w:rPr>
                  </w:pPr>
                  <w:r>
                    <w:rPr>
                      <w:rFonts w:hint="eastAsia"/>
                      <w:color w:val="auto"/>
                      <w:szCs w:val="21"/>
                      <w:u w:val="none"/>
                    </w:rPr>
                    <w:t>1</w:t>
                  </w:r>
                  <w:r>
                    <w:rPr>
                      <w:rFonts w:hint="eastAsia"/>
                      <w:color w:val="auto"/>
                      <w:szCs w:val="21"/>
                      <w:u w:val="none"/>
                      <w:lang w:val="en-US" w:eastAsia="zh-CN"/>
                    </w:rPr>
                    <w:t>kg</w:t>
                  </w:r>
                </w:p>
              </w:tc>
              <w:tc>
                <w:tcPr>
                  <w:tcW w:w="933" w:type="pct"/>
                  <w:vAlign w:val="center"/>
                </w:tcPr>
                <w:p>
                  <w:pPr>
                    <w:jc w:val="center"/>
                    <w:rPr>
                      <w:color w:val="auto"/>
                      <w:szCs w:val="21"/>
                      <w:u w:val="none"/>
                    </w:rPr>
                  </w:pPr>
                  <w:r>
                    <w:rPr>
                      <w:rFonts w:hint="eastAsia"/>
                      <w:color w:val="auto"/>
                      <w:szCs w:val="21"/>
                      <w:u w:val="none"/>
                    </w:rPr>
                    <w:t>科研楼质检室</w:t>
                  </w:r>
                </w:p>
              </w:tc>
            </w:tr>
          </w:tbl>
          <w:p>
            <w:pPr>
              <w:spacing w:line="360" w:lineRule="auto"/>
              <w:ind w:firstLine="482" w:firstLineChars="200"/>
              <w:rPr>
                <w:rFonts w:hint="eastAsia"/>
                <w:b/>
                <w:color w:val="auto"/>
                <w:sz w:val="24"/>
                <w:u w:val="none"/>
              </w:rPr>
            </w:pPr>
            <w:r>
              <w:rPr>
                <w:rFonts w:hint="eastAsia"/>
                <w:b/>
                <w:color w:val="auto"/>
                <w:sz w:val="24"/>
                <w:u w:val="none"/>
              </w:rPr>
              <w:t>2.4.2 物料平衡</w:t>
            </w:r>
          </w:p>
          <w:p>
            <w:pPr>
              <w:spacing w:line="360" w:lineRule="auto"/>
              <w:ind w:firstLine="432" w:firstLineChars="180"/>
              <w:rPr>
                <w:rFonts w:hint="eastAsia"/>
                <w:color w:val="auto"/>
                <w:sz w:val="24"/>
                <w:u w:val="none"/>
              </w:rPr>
            </w:pPr>
            <w:r>
              <w:rPr>
                <w:rFonts w:hint="eastAsia"/>
                <w:color w:val="auto"/>
                <w:sz w:val="24"/>
                <w:u w:val="none"/>
              </w:rPr>
              <w:t>（1）麻辣豆豉生产物料平衡</w:t>
            </w:r>
          </w:p>
          <w:p>
            <w:pPr>
              <w:spacing w:line="360" w:lineRule="auto"/>
              <w:jc w:val="center"/>
              <w:rPr>
                <w:rFonts w:hint="eastAsia"/>
                <w:b/>
                <w:bCs/>
                <w:color w:val="auto"/>
                <w:sz w:val="24"/>
                <w:u w:val="none"/>
              </w:rPr>
            </w:pPr>
            <w:r>
              <w:rPr>
                <w:rFonts w:hint="eastAsia"/>
                <w:b/>
                <w:bCs/>
                <w:color w:val="auto"/>
                <w:sz w:val="24"/>
                <w:u w:val="none"/>
              </w:rPr>
              <w:t>表2.4-3 麻辣豆豉生产物料平衡表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1645"/>
              <w:gridCol w:w="1874"/>
              <w:gridCol w:w="1638"/>
              <w:gridCol w:w="2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restart"/>
                  <w:vAlign w:val="center"/>
                </w:tcPr>
                <w:p>
                  <w:pPr>
                    <w:jc w:val="center"/>
                    <w:rPr>
                      <w:b/>
                      <w:color w:val="auto"/>
                      <w:szCs w:val="21"/>
                      <w:u w:val="none"/>
                    </w:rPr>
                  </w:pPr>
                  <w:r>
                    <w:rPr>
                      <w:rFonts w:hint="eastAsia"/>
                      <w:b/>
                      <w:color w:val="auto"/>
                      <w:szCs w:val="21"/>
                      <w:u w:val="none"/>
                    </w:rPr>
                    <w:t>产品</w:t>
                  </w:r>
                </w:p>
              </w:tc>
              <w:tc>
                <w:tcPr>
                  <w:tcW w:w="2101" w:type="pct"/>
                  <w:gridSpan w:val="2"/>
                  <w:vAlign w:val="center"/>
                </w:tcPr>
                <w:p>
                  <w:pPr>
                    <w:jc w:val="center"/>
                    <w:rPr>
                      <w:b/>
                      <w:color w:val="auto"/>
                      <w:szCs w:val="21"/>
                      <w:u w:val="none"/>
                    </w:rPr>
                  </w:pPr>
                  <w:r>
                    <w:rPr>
                      <w:rFonts w:hint="eastAsia"/>
                      <w:b/>
                      <w:color w:val="auto"/>
                      <w:szCs w:val="21"/>
                      <w:u w:val="none"/>
                    </w:rPr>
                    <w:t>输入</w:t>
                  </w:r>
                </w:p>
              </w:tc>
              <w:tc>
                <w:tcPr>
                  <w:tcW w:w="2269" w:type="pct"/>
                  <w:gridSpan w:val="2"/>
                  <w:vAlign w:val="center"/>
                </w:tcPr>
                <w:p>
                  <w:pPr>
                    <w:jc w:val="center"/>
                    <w:rPr>
                      <w:b/>
                      <w:color w:val="auto"/>
                      <w:szCs w:val="21"/>
                      <w:u w:val="none"/>
                    </w:rPr>
                  </w:pPr>
                  <w:r>
                    <w:rPr>
                      <w:rFonts w:hint="eastAsia"/>
                      <w:b/>
                      <w:color w:val="auto"/>
                      <w:szCs w:val="21"/>
                      <w:u w:val="none"/>
                    </w:rPr>
                    <w:t>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rFonts w:hint="eastAsia"/>
                      <w:b/>
                      <w:color w:val="auto"/>
                      <w:szCs w:val="21"/>
                      <w:u w:val="none"/>
                    </w:rPr>
                  </w:pPr>
                </w:p>
              </w:tc>
              <w:tc>
                <w:tcPr>
                  <w:tcW w:w="982" w:type="pct"/>
                  <w:vAlign w:val="center"/>
                </w:tcPr>
                <w:p>
                  <w:pPr>
                    <w:jc w:val="center"/>
                    <w:rPr>
                      <w:rFonts w:hint="eastAsia"/>
                      <w:b/>
                      <w:color w:val="auto"/>
                      <w:szCs w:val="21"/>
                      <w:u w:val="none"/>
                    </w:rPr>
                  </w:pPr>
                  <w:r>
                    <w:rPr>
                      <w:rFonts w:hint="eastAsia"/>
                      <w:b/>
                      <w:color w:val="auto"/>
                      <w:szCs w:val="21"/>
                      <w:u w:val="none"/>
                    </w:rPr>
                    <w:t>原料</w:t>
                  </w:r>
                  <w:r>
                    <w:rPr>
                      <w:b/>
                      <w:color w:val="auto"/>
                      <w:szCs w:val="21"/>
                      <w:u w:val="none"/>
                    </w:rPr>
                    <w:t>名称</w:t>
                  </w:r>
                </w:p>
              </w:tc>
              <w:tc>
                <w:tcPr>
                  <w:tcW w:w="1119" w:type="pct"/>
                  <w:vAlign w:val="center"/>
                </w:tcPr>
                <w:p>
                  <w:pPr>
                    <w:jc w:val="center"/>
                    <w:rPr>
                      <w:b/>
                      <w:color w:val="auto"/>
                      <w:szCs w:val="21"/>
                      <w:u w:val="none"/>
                    </w:rPr>
                  </w:pPr>
                  <w:r>
                    <w:rPr>
                      <w:rFonts w:hint="eastAsia"/>
                      <w:b/>
                      <w:color w:val="auto"/>
                      <w:szCs w:val="21"/>
                      <w:u w:val="none"/>
                    </w:rPr>
                    <w:t>年用量（t/a）</w:t>
                  </w:r>
                </w:p>
              </w:tc>
              <w:tc>
                <w:tcPr>
                  <w:tcW w:w="978" w:type="pct"/>
                  <w:vAlign w:val="center"/>
                </w:tcPr>
                <w:p>
                  <w:pPr>
                    <w:jc w:val="center"/>
                    <w:rPr>
                      <w:rFonts w:hint="eastAsia"/>
                      <w:b/>
                      <w:color w:val="auto"/>
                      <w:szCs w:val="21"/>
                      <w:u w:val="none"/>
                    </w:rPr>
                  </w:pPr>
                  <w:r>
                    <w:rPr>
                      <w:rFonts w:hint="eastAsia"/>
                      <w:b/>
                      <w:color w:val="auto"/>
                      <w:szCs w:val="21"/>
                      <w:u w:val="none"/>
                    </w:rPr>
                    <w:t>名称</w:t>
                  </w:r>
                </w:p>
              </w:tc>
              <w:tc>
                <w:tcPr>
                  <w:tcW w:w="1291" w:type="pct"/>
                </w:tcPr>
                <w:p>
                  <w:pPr>
                    <w:jc w:val="center"/>
                    <w:rPr>
                      <w:rFonts w:hint="eastAsia"/>
                      <w:b/>
                      <w:color w:val="auto"/>
                      <w:szCs w:val="21"/>
                      <w:u w:val="none"/>
                    </w:rPr>
                  </w:pPr>
                  <w:r>
                    <w:rPr>
                      <w:rFonts w:hint="eastAsia"/>
                      <w:b/>
                      <w:color w:val="auto"/>
                      <w:szCs w:val="21"/>
                      <w:u w:val="none"/>
                    </w:rPr>
                    <w:t>产生量（t/a）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restart"/>
                  <w:vAlign w:val="center"/>
                </w:tcPr>
                <w:p>
                  <w:pPr>
                    <w:jc w:val="center"/>
                    <w:rPr>
                      <w:color w:val="auto"/>
                      <w:szCs w:val="21"/>
                      <w:u w:val="none"/>
                    </w:rPr>
                  </w:pPr>
                  <w:r>
                    <w:rPr>
                      <w:rFonts w:hint="eastAsia"/>
                      <w:color w:val="auto"/>
                      <w:szCs w:val="21"/>
                      <w:u w:val="none"/>
                    </w:rPr>
                    <w:t>麻辣豆豉</w:t>
                  </w:r>
                </w:p>
              </w:tc>
              <w:tc>
                <w:tcPr>
                  <w:tcW w:w="982" w:type="pct"/>
                  <w:vAlign w:val="center"/>
                </w:tcPr>
                <w:p>
                  <w:pPr>
                    <w:widowControl/>
                    <w:jc w:val="center"/>
                    <w:rPr>
                      <w:color w:val="auto"/>
                      <w:kern w:val="0"/>
                      <w:szCs w:val="21"/>
                      <w:u w:val="none"/>
                    </w:rPr>
                  </w:pPr>
                  <w:r>
                    <w:rPr>
                      <w:rFonts w:hint="eastAsia"/>
                      <w:color w:val="auto"/>
                      <w:szCs w:val="21"/>
                      <w:u w:val="none"/>
                    </w:rPr>
                    <w:t>黄豆</w:t>
                  </w:r>
                </w:p>
              </w:tc>
              <w:tc>
                <w:tcPr>
                  <w:tcW w:w="1119" w:type="pct"/>
                  <w:vAlign w:val="center"/>
                </w:tcPr>
                <w:p>
                  <w:pPr>
                    <w:widowControl/>
                    <w:jc w:val="center"/>
                    <w:rPr>
                      <w:color w:val="auto"/>
                      <w:kern w:val="0"/>
                      <w:szCs w:val="21"/>
                      <w:u w:val="none"/>
                    </w:rPr>
                  </w:pPr>
                  <w:r>
                    <w:rPr>
                      <w:color w:val="auto"/>
                      <w:szCs w:val="21"/>
                      <w:u w:val="none"/>
                    </w:rPr>
                    <w:t>2670</w:t>
                  </w:r>
                </w:p>
              </w:tc>
              <w:tc>
                <w:tcPr>
                  <w:tcW w:w="978" w:type="pct"/>
                  <w:vAlign w:val="center"/>
                </w:tcPr>
                <w:p>
                  <w:pPr>
                    <w:jc w:val="center"/>
                    <w:rPr>
                      <w:color w:val="auto"/>
                      <w:szCs w:val="21"/>
                      <w:u w:val="none"/>
                    </w:rPr>
                  </w:pPr>
                  <w:r>
                    <w:rPr>
                      <w:rFonts w:hint="eastAsia"/>
                      <w:color w:val="auto"/>
                      <w:szCs w:val="21"/>
                      <w:u w:val="none"/>
                    </w:rPr>
                    <w:t>豆豉</w:t>
                  </w:r>
                </w:p>
              </w:tc>
              <w:tc>
                <w:tcPr>
                  <w:tcW w:w="1291" w:type="pct"/>
                </w:tcPr>
                <w:p>
                  <w:pPr>
                    <w:jc w:val="center"/>
                    <w:rPr>
                      <w:color w:val="auto"/>
                      <w:szCs w:val="21"/>
                      <w:u w:val="none"/>
                    </w:rPr>
                  </w:pPr>
                  <w:r>
                    <w:rPr>
                      <w:color w:val="auto"/>
                      <w:szCs w:val="21"/>
                      <w:u w:val="none"/>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食盐</w:t>
                  </w:r>
                </w:p>
              </w:tc>
              <w:tc>
                <w:tcPr>
                  <w:tcW w:w="1119" w:type="pct"/>
                  <w:vAlign w:val="center"/>
                </w:tcPr>
                <w:p>
                  <w:pPr>
                    <w:widowControl/>
                    <w:jc w:val="center"/>
                    <w:rPr>
                      <w:color w:val="auto"/>
                      <w:kern w:val="0"/>
                      <w:szCs w:val="21"/>
                      <w:u w:val="none"/>
                    </w:rPr>
                  </w:pPr>
                  <w:r>
                    <w:rPr>
                      <w:color w:val="auto"/>
                      <w:szCs w:val="21"/>
                      <w:u w:val="none"/>
                    </w:rPr>
                    <w:t>305</w:t>
                  </w:r>
                </w:p>
              </w:tc>
              <w:tc>
                <w:tcPr>
                  <w:tcW w:w="978" w:type="pct"/>
                  <w:vAlign w:val="center"/>
                </w:tcPr>
                <w:p>
                  <w:pPr>
                    <w:jc w:val="center"/>
                    <w:rPr>
                      <w:rFonts w:hint="eastAsia"/>
                      <w:color w:val="auto"/>
                      <w:szCs w:val="21"/>
                      <w:u w:val="none"/>
                    </w:rPr>
                  </w:pPr>
                  <w:r>
                    <w:rPr>
                      <w:rFonts w:hint="eastAsia"/>
                      <w:color w:val="auto"/>
                      <w:szCs w:val="21"/>
                      <w:u w:val="none"/>
                    </w:rPr>
                    <w:t>不合格原料</w:t>
                  </w:r>
                </w:p>
              </w:tc>
              <w:tc>
                <w:tcPr>
                  <w:tcW w:w="1291" w:type="pct"/>
                  <w:vAlign w:val="center"/>
                </w:tcPr>
                <w:p>
                  <w:pPr>
                    <w:jc w:val="center"/>
                    <w:rPr>
                      <w:color w:val="auto"/>
                      <w:szCs w:val="21"/>
                      <w:u w:val="none"/>
                    </w:rPr>
                  </w:pPr>
                  <w:r>
                    <w:rPr>
                      <w:color w:val="auto"/>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干辣椒</w:t>
                  </w:r>
                </w:p>
              </w:tc>
              <w:tc>
                <w:tcPr>
                  <w:tcW w:w="1119" w:type="pct"/>
                  <w:vAlign w:val="center"/>
                </w:tcPr>
                <w:p>
                  <w:pPr>
                    <w:widowControl/>
                    <w:jc w:val="center"/>
                    <w:rPr>
                      <w:rFonts w:hint="eastAsia"/>
                      <w:color w:val="auto"/>
                      <w:kern w:val="0"/>
                      <w:szCs w:val="21"/>
                      <w:u w:val="none"/>
                    </w:rPr>
                  </w:pPr>
                  <w:r>
                    <w:rPr>
                      <w:color w:val="auto"/>
                      <w:szCs w:val="21"/>
                      <w:u w:val="none"/>
                    </w:rPr>
                    <w:t>57</w:t>
                  </w:r>
                  <w:r>
                    <w:rPr>
                      <w:rFonts w:hint="eastAsia"/>
                      <w:color w:val="auto"/>
                      <w:szCs w:val="21"/>
                      <w:u w:val="none"/>
                    </w:rPr>
                    <w:t>7</w:t>
                  </w:r>
                </w:p>
              </w:tc>
              <w:tc>
                <w:tcPr>
                  <w:tcW w:w="978" w:type="pct"/>
                  <w:vAlign w:val="center"/>
                </w:tcPr>
                <w:p>
                  <w:pPr>
                    <w:jc w:val="center"/>
                    <w:rPr>
                      <w:color w:val="auto"/>
                      <w:szCs w:val="21"/>
                      <w:u w:val="none"/>
                    </w:rPr>
                  </w:pPr>
                  <w:r>
                    <w:rPr>
                      <w:rFonts w:hint="eastAsia"/>
                      <w:color w:val="auto"/>
                      <w:szCs w:val="21"/>
                      <w:u w:val="none"/>
                    </w:rPr>
                    <w:t>不合格产品</w:t>
                  </w:r>
                </w:p>
              </w:tc>
              <w:tc>
                <w:tcPr>
                  <w:tcW w:w="1291" w:type="pct"/>
                  <w:vAlign w:val="center"/>
                </w:tcPr>
                <w:p>
                  <w:pPr>
                    <w:jc w:val="center"/>
                    <w:rPr>
                      <w:color w:val="auto"/>
                      <w:szCs w:val="21"/>
                      <w:u w:val="none"/>
                    </w:rPr>
                  </w:pPr>
                  <w:r>
                    <w:rPr>
                      <w:rFonts w:hint="eastAsia"/>
                      <w:color w:val="auto"/>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菌种</w:t>
                  </w:r>
                </w:p>
              </w:tc>
              <w:tc>
                <w:tcPr>
                  <w:tcW w:w="1119" w:type="pct"/>
                  <w:vAlign w:val="center"/>
                </w:tcPr>
                <w:p>
                  <w:pPr>
                    <w:widowControl/>
                    <w:jc w:val="center"/>
                    <w:rPr>
                      <w:color w:val="auto"/>
                      <w:kern w:val="0"/>
                      <w:szCs w:val="21"/>
                      <w:u w:val="none"/>
                    </w:rPr>
                  </w:pPr>
                  <w:r>
                    <w:rPr>
                      <w:color w:val="auto"/>
                      <w:szCs w:val="21"/>
                      <w:u w:val="none"/>
                    </w:rPr>
                    <w:t>8</w:t>
                  </w:r>
                </w:p>
              </w:tc>
              <w:tc>
                <w:tcPr>
                  <w:tcW w:w="978" w:type="pct"/>
                  <w:vAlign w:val="center"/>
                </w:tcPr>
                <w:p>
                  <w:pPr>
                    <w:jc w:val="center"/>
                    <w:rPr>
                      <w:color w:val="auto"/>
                      <w:szCs w:val="21"/>
                      <w:u w:val="none"/>
                    </w:rPr>
                  </w:pPr>
                  <w:r>
                    <w:rPr>
                      <w:rFonts w:hint="eastAsia"/>
                      <w:color w:val="auto"/>
                      <w:szCs w:val="21"/>
                      <w:u w:val="none"/>
                    </w:rPr>
                    <w:t>废水</w:t>
                  </w:r>
                </w:p>
              </w:tc>
              <w:tc>
                <w:tcPr>
                  <w:tcW w:w="1291" w:type="pct"/>
                  <w:vAlign w:val="center"/>
                </w:tcPr>
                <w:p>
                  <w:pPr>
                    <w:jc w:val="center"/>
                    <w:rPr>
                      <w:color w:val="auto"/>
                      <w:szCs w:val="21"/>
                      <w:u w:val="none"/>
                    </w:rPr>
                  </w:pPr>
                  <w:r>
                    <w:rPr>
                      <w:color w:val="auto"/>
                      <w:szCs w:val="21"/>
                      <w:highlight w:val="none"/>
                      <w:u w:val="none"/>
                    </w:rPr>
                    <w:t>3</w:t>
                  </w:r>
                  <w:r>
                    <w:rPr>
                      <w:rFonts w:hint="eastAsia"/>
                      <w:color w:val="auto"/>
                      <w:szCs w:val="21"/>
                      <w:highlight w:val="none"/>
                      <w:u w:val="none"/>
                      <w:lang w:val="en-US" w:eastAsia="zh-CN"/>
                    </w:rPr>
                    <w:t>81</w:t>
                  </w:r>
                  <w:r>
                    <w:rPr>
                      <w:color w:val="auto"/>
                      <w:szCs w:val="21"/>
                      <w:highlight w:val="none"/>
                      <w:u w:val="none"/>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食用植物油</w:t>
                  </w:r>
                </w:p>
              </w:tc>
              <w:tc>
                <w:tcPr>
                  <w:tcW w:w="1119" w:type="pct"/>
                  <w:vAlign w:val="center"/>
                </w:tcPr>
                <w:p>
                  <w:pPr>
                    <w:widowControl/>
                    <w:jc w:val="center"/>
                    <w:rPr>
                      <w:color w:val="auto"/>
                      <w:kern w:val="0"/>
                      <w:szCs w:val="21"/>
                      <w:u w:val="none"/>
                    </w:rPr>
                  </w:pPr>
                  <w:r>
                    <w:rPr>
                      <w:color w:val="auto"/>
                      <w:szCs w:val="21"/>
                      <w:u w:val="none"/>
                    </w:rPr>
                    <w:t>1144</w:t>
                  </w:r>
                </w:p>
              </w:tc>
              <w:tc>
                <w:tcPr>
                  <w:tcW w:w="978" w:type="pct"/>
                  <w:vAlign w:val="center"/>
                </w:tcPr>
                <w:p>
                  <w:pPr>
                    <w:jc w:val="center"/>
                    <w:rPr>
                      <w:color w:val="auto"/>
                      <w:szCs w:val="21"/>
                      <w:u w:val="none"/>
                    </w:rPr>
                  </w:pPr>
                  <w:r>
                    <w:rPr>
                      <w:rFonts w:hint="eastAsia"/>
                      <w:color w:val="auto"/>
                      <w:szCs w:val="21"/>
                      <w:u w:val="none"/>
                    </w:rPr>
                    <w:t>蒸发损耗水</w:t>
                  </w:r>
                </w:p>
              </w:tc>
              <w:tc>
                <w:tcPr>
                  <w:tcW w:w="1291" w:type="pct"/>
                  <w:vAlign w:val="center"/>
                </w:tcPr>
                <w:p>
                  <w:pPr>
                    <w:jc w:val="center"/>
                    <w:rPr>
                      <w:color w:val="auto"/>
                      <w:szCs w:val="21"/>
                      <w:u w:val="none"/>
                    </w:rPr>
                  </w:pPr>
                  <w:r>
                    <w:rPr>
                      <w:color w:val="auto"/>
                      <w:szCs w:val="21"/>
                      <w:u w:val="none"/>
                    </w:rPr>
                    <w:t>1</w:t>
                  </w:r>
                  <w:r>
                    <w:rPr>
                      <w:rFonts w:hint="eastAsia"/>
                      <w:color w:val="auto"/>
                      <w:szCs w:val="21"/>
                      <w:u w:val="none"/>
                      <w:lang w:val="en-US" w:eastAsia="zh-CN"/>
                    </w:rPr>
                    <w:t>90</w:t>
                  </w:r>
                  <w:r>
                    <w:rPr>
                      <w:color w:val="auto"/>
                      <w:szCs w:val="21"/>
                      <w:u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白砂糖</w:t>
                  </w:r>
                </w:p>
              </w:tc>
              <w:tc>
                <w:tcPr>
                  <w:tcW w:w="1119" w:type="pct"/>
                  <w:vAlign w:val="center"/>
                </w:tcPr>
                <w:p>
                  <w:pPr>
                    <w:widowControl/>
                    <w:jc w:val="center"/>
                    <w:rPr>
                      <w:color w:val="auto"/>
                      <w:kern w:val="0"/>
                      <w:szCs w:val="21"/>
                      <w:u w:val="none"/>
                    </w:rPr>
                  </w:pPr>
                  <w:r>
                    <w:rPr>
                      <w:color w:val="auto"/>
                      <w:szCs w:val="21"/>
                      <w:u w:val="none"/>
                    </w:rPr>
                    <w:t>76</w:t>
                  </w:r>
                </w:p>
              </w:tc>
              <w:tc>
                <w:tcPr>
                  <w:tcW w:w="978"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调味料</w:t>
                  </w:r>
                </w:p>
              </w:tc>
              <w:tc>
                <w:tcPr>
                  <w:tcW w:w="1119" w:type="pct"/>
                  <w:vAlign w:val="center"/>
                </w:tcPr>
                <w:p>
                  <w:pPr>
                    <w:widowControl/>
                    <w:jc w:val="center"/>
                    <w:rPr>
                      <w:color w:val="auto"/>
                      <w:kern w:val="0"/>
                      <w:szCs w:val="21"/>
                      <w:u w:val="none"/>
                    </w:rPr>
                  </w:pPr>
                  <w:r>
                    <w:rPr>
                      <w:color w:val="auto"/>
                      <w:szCs w:val="21"/>
                      <w:u w:val="none"/>
                    </w:rPr>
                    <w:t>76</w:t>
                  </w:r>
                </w:p>
              </w:tc>
              <w:tc>
                <w:tcPr>
                  <w:tcW w:w="978"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rFonts w:hint="eastAsia"/>
                      <w:color w:val="auto"/>
                      <w:kern w:val="0"/>
                      <w:szCs w:val="21"/>
                      <w:u w:val="none"/>
                    </w:rPr>
                  </w:pPr>
                  <w:r>
                    <w:rPr>
                      <w:rFonts w:hint="eastAsia"/>
                      <w:color w:val="auto"/>
                      <w:szCs w:val="21"/>
                      <w:u w:val="none"/>
                    </w:rPr>
                    <w:t>添加剂</w:t>
                  </w:r>
                </w:p>
              </w:tc>
              <w:tc>
                <w:tcPr>
                  <w:tcW w:w="1119" w:type="pct"/>
                  <w:vAlign w:val="center"/>
                </w:tcPr>
                <w:p>
                  <w:pPr>
                    <w:widowControl/>
                    <w:jc w:val="center"/>
                    <w:rPr>
                      <w:rFonts w:hint="eastAsia"/>
                      <w:color w:val="auto"/>
                      <w:szCs w:val="21"/>
                      <w:u w:val="none"/>
                    </w:rPr>
                  </w:pPr>
                  <w:r>
                    <w:rPr>
                      <w:color w:val="auto"/>
                      <w:szCs w:val="21"/>
                      <w:u w:val="none"/>
                    </w:rPr>
                    <w:t>4</w:t>
                  </w:r>
                </w:p>
              </w:tc>
              <w:tc>
                <w:tcPr>
                  <w:tcW w:w="978"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rFonts w:hint="eastAsia"/>
                      <w:color w:val="auto"/>
                      <w:kern w:val="0"/>
                      <w:szCs w:val="21"/>
                      <w:u w:val="none"/>
                    </w:rPr>
                  </w:pPr>
                  <w:r>
                    <w:rPr>
                      <w:rFonts w:hint="eastAsia"/>
                      <w:color w:val="auto"/>
                      <w:szCs w:val="21"/>
                      <w:u w:val="none"/>
                    </w:rPr>
                    <w:t>生产用水</w:t>
                  </w:r>
                </w:p>
              </w:tc>
              <w:tc>
                <w:tcPr>
                  <w:tcW w:w="1119" w:type="pct"/>
                  <w:vAlign w:val="center"/>
                </w:tcPr>
                <w:p>
                  <w:pPr>
                    <w:widowControl/>
                    <w:jc w:val="center"/>
                    <w:rPr>
                      <w:rFonts w:hint="eastAsia"/>
                      <w:color w:val="auto"/>
                      <w:szCs w:val="21"/>
                      <w:u w:val="none"/>
                    </w:rPr>
                  </w:pPr>
                  <w:r>
                    <w:rPr>
                      <w:color w:val="auto"/>
                      <w:szCs w:val="21"/>
                      <w:u w:val="none"/>
                    </w:rPr>
                    <w:t>53500</w:t>
                  </w:r>
                </w:p>
              </w:tc>
              <w:tc>
                <w:tcPr>
                  <w:tcW w:w="978"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rFonts w:hint="default" w:eastAsia="宋体"/>
                      <w:color w:val="auto"/>
                      <w:szCs w:val="21"/>
                      <w:u w:val="none"/>
                      <w:lang w:val="en-US" w:eastAsia="zh-CN"/>
                    </w:rPr>
                  </w:pPr>
                  <w:r>
                    <w:rPr>
                      <w:rFonts w:hint="eastAsia"/>
                      <w:color w:val="auto"/>
                      <w:kern w:val="0"/>
                      <w:szCs w:val="21"/>
                      <w:highlight w:val="none"/>
                      <w:u w:val="none"/>
                      <w:lang w:val="en-US" w:eastAsia="zh-CN"/>
                    </w:rPr>
                    <w:t>蒸煮用</w:t>
                  </w:r>
                  <w:r>
                    <w:rPr>
                      <w:rFonts w:hint="eastAsia"/>
                      <w:color w:val="auto"/>
                      <w:szCs w:val="21"/>
                      <w:highlight w:val="none"/>
                      <w:u w:val="none"/>
                      <w:lang w:val="en-US" w:eastAsia="zh-CN"/>
                    </w:rPr>
                    <w:t>蒸汽</w:t>
                  </w:r>
                </w:p>
              </w:tc>
              <w:tc>
                <w:tcPr>
                  <w:tcW w:w="1119" w:type="pct"/>
                  <w:vAlign w:val="center"/>
                </w:tcPr>
                <w:p>
                  <w:pPr>
                    <w:widowControl/>
                    <w:jc w:val="center"/>
                    <w:rPr>
                      <w:rFonts w:hint="default" w:eastAsia="宋体"/>
                      <w:color w:val="auto"/>
                      <w:szCs w:val="21"/>
                      <w:u w:val="none"/>
                      <w:lang w:val="en-US" w:eastAsia="zh-CN"/>
                    </w:rPr>
                  </w:pPr>
                  <w:r>
                    <w:rPr>
                      <w:rFonts w:hint="eastAsia"/>
                      <w:color w:val="auto"/>
                      <w:szCs w:val="21"/>
                      <w:u w:val="none"/>
                      <w:lang w:val="en-US" w:eastAsia="zh-CN"/>
                    </w:rPr>
                    <w:t>4800</w:t>
                  </w:r>
                </w:p>
              </w:tc>
              <w:tc>
                <w:tcPr>
                  <w:tcW w:w="978"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合计</w:t>
                  </w:r>
                </w:p>
              </w:tc>
              <w:tc>
                <w:tcPr>
                  <w:tcW w:w="1119" w:type="pct"/>
                  <w:vAlign w:val="center"/>
                </w:tcPr>
                <w:p>
                  <w:pPr>
                    <w:widowControl/>
                    <w:jc w:val="center"/>
                    <w:rPr>
                      <w:rFonts w:hint="default" w:eastAsia="宋体"/>
                      <w:color w:val="auto"/>
                      <w:kern w:val="0"/>
                      <w:szCs w:val="21"/>
                      <w:u w:val="none"/>
                      <w:lang w:val="en-US" w:eastAsia="zh-CN"/>
                    </w:rPr>
                  </w:pPr>
                  <w:r>
                    <w:rPr>
                      <w:rFonts w:hint="eastAsia"/>
                      <w:color w:val="auto"/>
                      <w:szCs w:val="21"/>
                      <w:u w:val="none"/>
                      <w:lang w:val="en-US" w:eastAsia="zh-CN"/>
                    </w:rPr>
                    <w:t>63160</w:t>
                  </w:r>
                </w:p>
              </w:tc>
              <w:tc>
                <w:tcPr>
                  <w:tcW w:w="978" w:type="pct"/>
                  <w:vAlign w:val="center"/>
                </w:tcPr>
                <w:p>
                  <w:pPr>
                    <w:jc w:val="center"/>
                    <w:rPr>
                      <w:color w:val="auto"/>
                      <w:szCs w:val="21"/>
                      <w:u w:val="none"/>
                    </w:rPr>
                  </w:pPr>
                  <w:r>
                    <w:rPr>
                      <w:rFonts w:hint="eastAsia"/>
                      <w:color w:val="auto"/>
                      <w:szCs w:val="21"/>
                      <w:u w:val="none"/>
                    </w:rPr>
                    <w:t>合计</w:t>
                  </w:r>
                </w:p>
              </w:tc>
              <w:tc>
                <w:tcPr>
                  <w:tcW w:w="1291"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63160</w:t>
                  </w:r>
                </w:p>
              </w:tc>
            </w:tr>
          </w:tbl>
          <w:p>
            <w:pPr>
              <w:spacing w:line="360" w:lineRule="auto"/>
              <w:ind w:firstLine="432" w:firstLineChars="180"/>
              <w:rPr>
                <w:color w:val="auto"/>
                <w:sz w:val="24"/>
                <w:u w:val="none"/>
              </w:rPr>
            </w:pPr>
            <w:r>
              <w:rPr>
                <w:rFonts w:hint="eastAsia"/>
                <w:color w:val="auto"/>
                <w:sz w:val="24"/>
                <w:u w:val="none"/>
              </w:rPr>
              <w:t>（2）腐乳生产物料平衡</w:t>
            </w:r>
          </w:p>
          <w:p>
            <w:pPr>
              <w:spacing w:line="360" w:lineRule="auto"/>
              <w:jc w:val="center"/>
              <w:rPr>
                <w:rFonts w:hint="eastAsia"/>
                <w:b/>
                <w:bCs/>
                <w:color w:val="auto"/>
                <w:sz w:val="24"/>
                <w:u w:val="none"/>
              </w:rPr>
            </w:pPr>
            <w:r>
              <w:rPr>
                <w:rFonts w:hint="eastAsia"/>
                <w:b/>
                <w:bCs/>
                <w:color w:val="auto"/>
                <w:sz w:val="24"/>
                <w:u w:val="none"/>
              </w:rPr>
              <w:t>表2.4-4 腐乳生产物料平衡表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4"/>
              <w:gridCol w:w="1645"/>
              <w:gridCol w:w="1873"/>
              <w:gridCol w:w="1637"/>
              <w:gridCol w:w="2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restart"/>
                  <w:vAlign w:val="center"/>
                </w:tcPr>
                <w:p>
                  <w:pPr>
                    <w:jc w:val="center"/>
                    <w:rPr>
                      <w:b/>
                      <w:color w:val="auto"/>
                      <w:szCs w:val="21"/>
                      <w:u w:val="none"/>
                    </w:rPr>
                  </w:pPr>
                  <w:r>
                    <w:rPr>
                      <w:rFonts w:hint="eastAsia"/>
                      <w:b/>
                      <w:color w:val="auto"/>
                      <w:szCs w:val="21"/>
                      <w:u w:val="none"/>
                    </w:rPr>
                    <w:t>产品</w:t>
                  </w:r>
                </w:p>
              </w:tc>
              <w:tc>
                <w:tcPr>
                  <w:tcW w:w="2100" w:type="pct"/>
                  <w:gridSpan w:val="2"/>
                  <w:vAlign w:val="center"/>
                </w:tcPr>
                <w:p>
                  <w:pPr>
                    <w:jc w:val="center"/>
                    <w:rPr>
                      <w:b/>
                      <w:color w:val="auto"/>
                      <w:szCs w:val="21"/>
                      <w:u w:val="none"/>
                    </w:rPr>
                  </w:pPr>
                  <w:r>
                    <w:rPr>
                      <w:rFonts w:hint="eastAsia"/>
                      <w:b/>
                      <w:color w:val="auto"/>
                      <w:szCs w:val="21"/>
                      <w:u w:val="none"/>
                    </w:rPr>
                    <w:t>输入</w:t>
                  </w:r>
                </w:p>
              </w:tc>
              <w:tc>
                <w:tcPr>
                  <w:tcW w:w="2269" w:type="pct"/>
                  <w:gridSpan w:val="2"/>
                  <w:vAlign w:val="center"/>
                </w:tcPr>
                <w:p>
                  <w:pPr>
                    <w:jc w:val="center"/>
                    <w:rPr>
                      <w:b/>
                      <w:color w:val="auto"/>
                      <w:szCs w:val="21"/>
                      <w:u w:val="none"/>
                    </w:rPr>
                  </w:pPr>
                  <w:r>
                    <w:rPr>
                      <w:rFonts w:hint="eastAsia"/>
                      <w:b/>
                      <w:color w:val="auto"/>
                      <w:szCs w:val="21"/>
                      <w:u w:val="none"/>
                    </w:rPr>
                    <w:t>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rFonts w:hint="eastAsia"/>
                      <w:b/>
                      <w:color w:val="auto"/>
                      <w:szCs w:val="21"/>
                      <w:u w:val="none"/>
                    </w:rPr>
                  </w:pPr>
                </w:p>
              </w:tc>
              <w:tc>
                <w:tcPr>
                  <w:tcW w:w="982" w:type="pct"/>
                  <w:vAlign w:val="center"/>
                </w:tcPr>
                <w:p>
                  <w:pPr>
                    <w:jc w:val="center"/>
                    <w:rPr>
                      <w:rFonts w:hint="eastAsia"/>
                      <w:b/>
                      <w:color w:val="auto"/>
                      <w:szCs w:val="21"/>
                      <w:u w:val="none"/>
                    </w:rPr>
                  </w:pPr>
                  <w:r>
                    <w:rPr>
                      <w:rFonts w:hint="eastAsia"/>
                      <w:b/>
                      <w:color w:val="auto"/>
                      <w:szCs w:val="21"/>
                      <w:u w:val="none"/>
                    </w:rPr>
                    <w:t>原料</w:t>
                  </w:r>
                  <w:r>
                    <w:rPr>
                      <w:b/>
                      <w:color w:val="auto"/>
                      <w:szCs w:val="21"/>
                      <w:u w:val="none"/>
                    </w:rPr>
                    <w:t>名称</w:t>
                  </w:r>
                </w:p>
              </w:tc>
              <w:tc>
                <w:tcPr>
                  <w:tcW w:w="1118" w:type="pct"/>
                  <w:vAlign w:val="center"/>
                </w:tcPr>
                <w:p>
                  <w:pPr>
                    <w:jc w:val="center"/>
                    <w:rPr>
                      <w:b/>
                      <w:color w:val="auto"/>
                      <w:szCs w:val="21"/>
                      <w:u w:val="none"/>
                    </w:rPr>
                  </w:pPr>
                  <w:r>
                    <w:rPr>
                      <w:rFonts w:hint="eastAsia"/>
                      <w:b/>
                      <w:color w:val="auto"/>
                      <w:szCs w:val="21"/>
                      <w:u w:val="none"/>
                    </w:rPr>
                    <w:t>年用量（t/a）</w:t>
                  </w:r>
                </w:p>
              </w:tc>
              <w:tc>
                <w:tcPr>
                  <w:tcW w:w="977" w:type="pct"/>
                  <w:vAlign w:val="center"/>
                </w:tcPr>
                <w:p>
                  <w:pPr>
                    <w:jc w:val="center"/>
                    <w:rPr>
                      <w:rFonts w:hint="eastAsia"/>
                      <w:b/>
                      <w:color w:val="auto"/>
                      <w:szCs w:val="21"/>
                      <w:u w:val="none"/>
                    </w:rPr>
                  </w:pPr>
                  <w:r>
                    <w:rPr>
                      <w:rFonts w:hint="eastAsia"/>
                      <w:b/>
                      <w:color w:val="auto"/>
                      <w:szCs w:val="21"/>
                      <w:u w:val="none"/>
                    </w:rPr>
                    <w:t>名称</w:t>
                  </w:r>
                </w:p>
              </w:tc>
              <w:tc>
                <w:tcPr>
                  <w:tcW w:w="1291" w:type="pct"/>
                </w:tcPr>
                <w:p>
                  <w:pPr>
                    <w:jc w:val="center"/>
                    <w:rPr>
                      <w:rFonts w:hint="eastAsia"/>
                      <w:b/>
                      <w:color w:val="auto"/>
                      <w:szCs w:val="21"/>
                      <w:u w:val="none"/>
                    </w:rPr>
                  </w:pPr>
                  <w:r>
                    <w:rPr>
                      <w:rFonts w:hint="eastAsia"/>
                      <w:b/>
                      <w:color w:val="auto"/>
                      <w:szCs w:val="21"/>
                      <w:u w:val="none"/>
                    </w:rPr>
                    <w:t>产生量（t/a）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restart"/>
                  <w:vAlign w:val="center"/>
                </w:tcPr>
                <w:p>
                  <w:pPr>
                    <w:jc w:val="center"/>
                    <w:rPr>
                      <w:color w:val="auto"/>
                      <w:szCs w:val="21"/>
                      <w:u w:val="none"/>
                    </w:rPr>
                  </w:pPr>
                  <w:r>
                    <w:rPr>
                      <w:rFonts w:hint="eastAsia"/>
                      <w:color w:val="auto"/>
                      <w:szCs w:val="21"/>
                      <w:u w:val="none"/>
                    </w:rPr>
                    <w:t>腐乳</w:t>
                  </w:r>
                </w:p>
              </w:tc>
              <w:tc>
                <w:tcPr>
                  <w:tcW w:w="982" w:type="pct"/>
                  <w:vAlign w:val="center"/>
                </w:tcPr>
                <w:p>
                  <w:pPr>
                    <w:widowControl/>
                    <w:jc w:val="center"/>
                    <w:rPr>
                      <w:color w:val="auto"/>
                      <w:kern w:val="0"/>
                      <w:szCs w:val="21"/>
                      <w:u w:val="none"/>
                    </w:rPr>
                  </w:pPr>
                  <w:r>
                    <w:rPr>
                      <w:rFonts w:hint="eastAsia"/>
                      <w:color w:val="auto"/>
                      <w:szCs w:val="21"/>
                      <w:u w:val="none"/>
                    </w:rPr>
                    <w:t>黄豆</w:t>
                  </w:r>
                </w:p>
              </w:tc>
              <w:tc>
                <w:tcPr>
                  <w:tcW w:w="1118" w:type="pct"/>
                  <w:vAlign w:val="center"/>
                </w:tcPr>
                <w:p>
                  <w:pPr>
                    <w:widowControl/>
                    <w:jc w:val="center"/>
                    <w:rPr>
                      <w:color w:val="auto"/>
                      <w:kern w:val="0"/>
                      <w:szCs w:val="21"/>
                      <w:u w:val="none"/>
                    </w:rPr>
                  </w:pPr>
                  <w:r>
                    <w:rPr>
                      <w:color w:val="auto"/>
                      <w:szCs w:val="21"/>
                      <w:u w:val="none"/>
                    </w:rPr>
                    <w:t>223</w:t>
                  </w:r>
                </w:p>
              </w:tc>
              <w:tc>
                <w:tcPr>
                  <w:tcW w:w="977" w:type="pct"/>
                  <w:vAlign w:val="center"/>
                </w:tcPr>
                <w:p>
                  <w:pPr>
                    <w:jc w:val="center"/>
                    <w:rPr>
                      <w:rFonts w:hint="eastAsia"/>
                      <w:color w:val="auto"/>
                      <w:szCs w:val="21"/>
                      <w:u w:val="none"/>
                    </w:rPr>
                  </w:pPr>
                  <w:r>
                    <w:rPr>
                      <w:rFonts w:hint="eastAsia"/>
                      <w:color w:val="auto"/>
                      <w:szCs w:val="21"/>
                      <w:u w:val="none"/>
                    </w:rPr>
                    <w:t>腐乳</w:t>
                  </w:r>
                </w:p>
              </w:tc>
              <w:tc>
                <w:tcPr>
                  <w:tcW w:w="1291" w:type="pct"/>
                </w:tcPr>
                <w:p>
                  <w:pPr>
                    <w:jc w:val="center"/>
                    <w:rPr>
                      <w:color w:val="auto"/>
                      <w:szCs w:val="21"/>
                      <w:u w:val="none"/>
                    </w:rPr>
                  </w:pPr>
                  <w:r>
                    <w:rPr>
                      <w:color w:val="auto"/>
                      <w:szCs w:val="21"/>
                      <w:u w:val="none"/>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食盐</w:t>
                  </w:r>
                </w:p>
              </w:tc>
              <w:tc>
                <w:tcPr>
                  <w:tcW w:w="1118" w:type="pct"/>
                  <w:vAlign w:val="center"/>
                </w:tcPr>
                <w:p>
                  <w:pPr>
                    <w:widowControl/>
                    <w:jc w:val="center"/>
                    <w:rPr>
                      <w:color w:val="auto"/>
                      <w:kern w:val="0"/>
                      <w:szCs w:val="21"/>
                      <w:u w:val="none"/>
                    </w:rPr>
                  </w:pPr>
                  <w:r>
                    <w:rPr>
                      <w:color w:val="auto"/>
                      <w:szCs w:val="21"/>
                      <w:u w:val="none"/>
                    </w:rPr>
                    <w:t>149</w:t>
                  </w:r>
                </w:p>
              </w:tc>
              <w:tc>
                <w:tcPr>
                  <w:tcW w:w="977" w:type="pct"/>
                  <w:vAlign w:val="center"/>
                </w:tcPr>
                <w:p>
                  <w:pPr>
                    <w:jc w:val="center"/>
                    <w:rPr>
                      <w:rFonts w:hint="eastAsia"/>
                      <w:color w:val="auto"/>
                      <w:szCs w:val="21"/>
                      <w:u w:val="none"/>
                    </w:rPr>
                  </w:pPr>
                  <w:r>
                    <w:rPr>
                      <w:rFonts w:hint="eastAsia"/>
                      <w:color w:val="auto"/>
                      <w:szCs w:val="21"/>
                      <w:u w:val="none"/>
                    </w:rPr>
                    <w:t>豆渣及边角料</w:t>
                  </w:r>
                </w:p>
              </w:tc>
              <w:tc>
                <w:tcPr>
                  <w:tcW w:w="1291" w:type="pct"/>
                  <w:vAlign w:val="center"/>
                </w:tcPr>
                <w:p>
                  <w:pPr>
                    <w:jc w:val="center"/>
                    <w:rPr>
                      <w:rFonts w:hint="eastAsia"/>
                      <w:color w:val="auto"/>
                      <w:szCs w:val="21"/>
                      <w:u w:val="none"/>
                    </w:rPr>
                  </w:pPr>
                  <w:r>
                    <w:rPr>
                      <w:color w:val="auto"/>
                      <w:szCs w:val="21"/>
                      <w:u w:val="none"/>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干辣椒</w:t>
                  </w:r>
                </w:p>
              </w:tc>
              <w:tc>
                <w:tcPr>
                  <w:tcW w:w="1118" w:type="pct"/>
                  <w:vAlign w:val="center"/>
                </w:tcPr>
                <w:p>
                  <w:pPr>
                    <w:widowControl/>
                    <w:jc w:val="center"/>
                    <w:rPr>
                      <w:color w:val="auto"/>
                      <w:kern w:val="0"/>
                      <w:szCs w:val="21"/>
                      <w:u w:val="none"/>
                    </w:rPr>
                  </w:pPr>
                  <w:r>
                    <w:rPr>
                      <w:color w:val="auto"/>
                      <w:szCs w:val="21"/>
                      <w:u w:val="none"/>
                    </w:rPr>
                    <w:t>22</w:t>
                  </w:r>
                </w:p>
              </w:tc>
              <w:tc>
                <w:tcPr>
                  <w:tcW w:w="977" w:type="pct"/>
                  <w:vAlign w:val="center"/>
                </w:tcPr>
                <w:p>
                  <w:pPr>
                    <w:jc w:val="center"/>
                    <w:rPr>
                      <w:color w:val="auto"/>
                      <w:szCs w:val="21"/>
                      <w:u w:val="none"/>
                    </w:rPr>
                  </w:pPr>
                  <w:r>
                    <w:rPr>
                      <w:rFonts w:hint="eastAsia"/>
                      <w:color w:val="auto"/>
                      <w:szCs w:val="21"/>
                      <w:u w:val="none"/>
                    </w:rPr>
                    <w:t>不合格原料</w:t>
                  </w:r>
                </w:p>
              </w:tc>
              <w:tc>
                <w:tcPr>
                  <w:tcW w:w="1291" w:type="pct"/>
                  <w:vAlign w:val="center"/>
                </w:tcPr>
                <w:p>
                  <w:pPr>
                    <w:jc w:val="center"/>
                    <w:rPr>
                      <w:rFonts w:hint="eastAsia"/>
                      <w:color w:val="auto"/>
                      <w:szCs w:val="21"/>
                      <w:u w:val="none"/>
                    </w:rPr>
                  </w:pPr>
                  <w:r>
                    <w:rPr>
                      <w:rFonts w:hint="eastAsia"/>
                      <w:color w:val="auto"/>
                      <w:szCs w:val="21"/>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白酒</w:t>
                  </w:r>
                </w:p>
              </w:tc>
              <w:tc>
                <w:tcPr>
                  <w:tcW w:w="1118" w:type="pct"/>
                  <w:vAlign w:val="center"/>
                </w:tcPr>
                <w:p>
                  <w:pPr>
                    <w:widowControl/>
                    <w:jc w:val="center"/>
                    <w:rPr>
                      <w:color w:val="auto"/>
                      <w:kern w:val="0"/>
                      <w:szCs w:val="21"/>
                      <w:u w:val="none"/>
                    </w:rPr>
                  </w:pPr>
                  <w:r>
                    <w:rPr>
                      <w:color w:val="auto"/>
                      <w:szCs w:val="21"/>
                      <w:u w:val="none"/>
                    </w:rPr>
                    <w:t>149</w:t>
                  </w:r>
                </w:p>
              </w:tc>
              <w:tc>
                <w:tcPr>
                  <w:tcW w:w="977" w:type="pct"/>
                  <w:vAlign w:val="center"/>
                </w:tcPr>
                <w:p>
                  <w:pPr>
                    <w:jc w:val="center"/>
                    <w:rPr>
                      <w:color w:val="auto"/>
                      <w:szCs w:val="21"/>
                      <w:u w:val="none"/>
                    </w:rPr>
                  </w:pPr>
                  <w:r>
                    <w:rPr>
                      <w:rFonts w:hint="eastAsia"/>
                      <w:color w:val="auto"/>
                      <w:szCs w:val="21"/>
                      <w:u w:val="none"/>
                    </w:rPr>
                    <w:t>不合格产品</w:t>
                  </w:r>
                </w:p>
              </w:tc>
              <w:tc>
                <w:tcPr>
                  <w:tcW w:w="1291" w:type="pct"/>
                  <w:vAlign w:val="center"/>
                </w:tcPr>
                <w:p>
                  <w:pPr>
                    <w:jc w:val="center"/>
                    <w:rPr>
                      <w:rFonts w:hint="eastAsia"/>
                      <w:color w:val="auto"/>
                      <w:szCs w:val="21"/>
                      <w:u w:val="none"/>
                    </w:rPr>
                  </w:pPr>
                  <w:r>
                    <w:rPr>
                      <w:rFonts w:hint="eastAsia"/>
                      <w:color w:val="auto"/>
                      <w:szCs w:val="21"/>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菌种</w:t>
                  </w:r>
                </w:p>
              </w:tc>
              <w:tc>
                <w:tcPr>
                  <w:tcW w:w="1118" w:type="pct"/>
                  <w:vAlign w:val="center"/>
                </w:tcPr>
                <w:p>
                  <w:pPr>
                    <w:widowControl/>
                    <w:jc w:val="center"/>
                    <w:rPr>
                      <w:color w:val="auto"/>
                      <w:kern w:val="0"/>
                      <w:szCs w:val="21"/>
                      <w:u w:val="none"/>
                    </w:rPr>
                  </w:pPr>
                  <w:r>
                    <w:rPr>
                      <w:color w:val="auto"/>
                      <w:szCs w:val="21"/>
                      <w:u w:val="none"/>
                    </w:rPr>
                    <w:t>3</w:t>
                  </w:r>
                </w:p>
              </w:tc>
              <w:tc>
                <w:tcPr>
                  <w:tcW w:w="977" w:type="pct"/>
                  <w:vAlign w:val="center"/>
                </w:tcPr>
                <w:p>
                  <w:pPr>
                    <w:jc w:val="center"/>
                    <w:rPr>
                      <w:color w:val="auto"/>
                      <w:szCs w:val="21"/>
                      <w:u w:val="none"/>
                    </w:rPr>
                  </w:pPr>
                  <w:r>
                    <w:rPr>
                      <w:rFonts w:hint="eastAsia"/>
                      <w:color w:val="auto"/>
                      <w:szCs w:val="21"/>
                      <w:u w:val="none"/>
                    </w:rPr>
                    <w:t>废水</w:t>
                  </w:r>
                </w:p>
              </w:tc>
              <w:tc>
                <w:tcPr>
                  <w:tcW w:w="1291" w:type="pct"/>
                  <w:vAlign w:val="center"/>
                </w:tcPr>
                <w:p>
                  <w:pPr>
                    <w:jc w:val="center"/>
                    <w:rPr>
                      <w:rFonts w:hint="eastAsia"/>
                      <w:color w:val="auto"/>
                      <w:szCs w:val="21"/>
                      <w:u w:val="none"/>
                    </w:rPr>
                  </w:pPr>
                  <w:r>
                    <w:rPr>
                      <w:rFonts w:hint="eastAsia"/>
                      <w:color w:val="auto"/>
                      <w:szCs w:val="21"/>
                      <w:highlight w:val="none"/>
                      <w:u w:val="none"/>
                      <w:lang w:val="en-US" w:eastAsia="zh-CN"/>
                    </w:rPr>
                    <w:t>51</w:t>
                  </w:r>
                  <w:r>
                    <w:rPr>
                      <w:color w:val="auto"/>
                      <w:szCs w:val="21"/>
                      <w:highlight w:val="none"/>
                      <w:u w:val="none"/>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白砂糖</w:t>
                  </w:r>
                </w:p>
              </w:tc>
              <w:tc>
                <w:tcPr>
                  <w:tcW w:w="1118" w:type="pct"/>
                  <w:vAlign w:val="center"/>
                </w:tcPr>
                <w:p>
                  <w:pPr>
                    <w:widowControl/>
                    <w:jc w:val="center"/>
                    <w:rPr>
                      <w:color w:val="auto"/>
                      <w:kern w:val="0"/>
                      <w:szCs w:val="21"/>
                      <w:u w:val="none"/>
                    </w:rPr>
                  </w:pPr>
                  <w:r>
                    <w:rPr>
                      <w:color w:val="auto"/>
                      <w:szCs w:val="21"/>
                      <w:u w:val="none"/>
                    </w:rPr>
                    <w:t>37</w:t>
                  </w:r>
                </w:p>
              </w:tc>
              <w:tc>
                <w:tcPr>
                  <w:tcW w:w="977" w:type="pct"/>
                  <w:vAlign w:val="center"/>
                </w:tcPr>
                <w:p>
                  <w:pPr>
                    <w:jc w:val="center"/>
                    <w:rPr>
                      <w:color w:val="auto"/>
                      <w:szCs w:val="21"/>
                      <w:u w:val="none"/>
                    </w:rPr>
                  </w:pPr>
                  <w:r>
                    <w:rPr>
                      <w:rFonts w:hint="eastAsia"/>
                      <w:color w:val="auto"/>
                      <w:szCs w:val="21"/>
                      <w:u w:val="none"/>
                    </w:rPr>
                    <w:t>蒸发损耗水</w:t>
                  </w:r>
                </w:p>
              </w:tc>
              <w:tc>
                <w:tcPr>
                  <w:tcW w:w="1291"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rFonts w:hint="eastAsia"/>
                      <w:color w:val="auto"/>
                      <w:szCs w:val="21"/>
                      <w:u w:val="none"/>
                    </w:rPr>
                  </w:pPr>
                  <w:r>
                    <w:rPr>
                      <w:rFonts w:hint="eastAsia"/>
                      <w:color w:val="auto"/>
                      <w:szCs w:val="21"/>
                      <w:u w:val="none"/>
                    </w:rPr>
                    <w:t>石膏</w:t>
                  </w:r>
                </w:p>
              </w:tc>
              <w:tc>
                <w:tcPr>
                  <w:tcW w:w="1118" w:type="pct"/>
                  <w:vAlign w:val="center"/>
                </w:tcPr>
                <w:p>
                  <w:pPr>
                    <w:widowControl/>
                    <w:jc w:val="center"/>
                    <w:rPr>
                      <w:rFonts w:hint="eastAsia"/>
                      <w:color w:val="auto"/>
                      <w:szCs w:val="21"/>
                      <w:u w:val="none"/>
                    </w:rPr>
                  </w:pPr>
                  <w:r>
                    <w:rPr>
                      <w:rFonts w:hint="eastAsia"/>
                      <w:color w:val="auto"/>
                      <w:szCs w:val="21"/>
                      <w:u w:val="none"/>
                    </w:rPr>
                    <w:t>0.2</w:t>
                  </w:r>
                </w:p>
              </w:tc>
              <w:tc>
                <w:tcPr>
                  <w:tcW w:w="977" w:type="pct"/>
                  <w:vAlign w:val="center"/>
                </w:tcPr>
                <w:p>
                  <w:pPr>
                    <w:jc w:val="center"/>
                    <w:rPr>
                      <w:rFonts w:hint="eastAsia"/>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食用植物油</w:t>
                  </w:r>
                </w:p>
              </w:tc>
              <w:tc>
                <w:tcPr>
                  <w:tcW w:w="1118" w:type="pct"/>
                  <w:vAlign w:val="center"/>
                </w:tcPr>
                <w:p>
                  <w:pPr>
                    <w:widowControl/>
                    <w:jc w:val="center"/>
                    <w:rPr>
                      <w:color w:val="auto"/>
                      <w:kern w:val="0"/>
                      <w:szCs w:val="21"/>
                      <w:u w:val="none"/>
                    </w:rPr>
                  </w:pPr>
                  <w:r>
                    <w:rPr>
                      <w:color w:val="auto"/>
                      <w:szCs w:val="21"/>
                      <w:u w:val="none"/>
                    </w:rPr>
                    <w:t>89</w:t>
                  </w:r>
                </w:p>
              </w:tc>
              <w:tc>
                <w:tcPr>
                  <w:tcW w:w="977"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rFonts w:hint="eastAsia"/>
                      <w:color w:val="auto"/>
                      <w:kern w:val="0"/>
                      <w:szCs w:val="21"/>
                      <w:u w:val="none"/>
                    </w:rPr>
                  </w:pPr>
                  <w:r>
                    <w:rPr>
                      <w:rFonts w:hint="eastAsia"/>
                      <w:color w:val="auto"/>
                      <w:szCs w:val="21"/>
                      <w:u w:val="none"/>
                    </w:rPr>
                    <w:t>调味料</w:t>
                  </w:r>
                </w:p>
              </w:tc>
              <w:tc>
                <w:tcPr>
                  <w:tcW w:w="1118" w:type="pct"/>
                  <w:vAlign w:val="center"/>
                </w:tcPr>
                <w:p>
                  <w:pPr>
                    <w:widowControl/>
                    <w:jc w:val="center"/>
                    <w:rPr>
                      <w:rFonts w:hint="eastAsia"/>
                      <w:color w:val="auto"/>
                      <w:szCs w:val="21"/>
                      <w:u w:val="none"/>
                    </w:rPr>
                  </w:pPr>
                  <w:r>
                    <w:rPr>
                      <w:color w:val="auto"/>
                      <w:szCs w:val="21"/>
                      <w:u w:val="none"/>
                    </w:rPr>
                    <w:t>7</w:t>
                  </w:r>
                </w:p>
              </w:tc>
              <w:tc>
                <w:tcPr>
                  <w:tcW w:w="977"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rFonts w:hint="eastAsia"/>
                      <w:color w:val="auto"/>
                      <w:kern w:val="0"/>
                      <w:szCs w:val="21"/>
                      <w:u w:val="none"/>
                    </w:rPr>
                  </w:pPr>
                  <w:r>
                    <w:rPr>
                      <w:rFonts w:hint="eastAsia"/>
                      <w:color w:val="auto"/>
                      <w:szCs w:val="21"/>
                      <w:u w:val="none"/>
                    </w:rPr>
                    <w:t>添加剂</w:t>
                  </w:r>
                </w:p>
              </w:tc>
              <w:tc>
                <w:tcPr>
                  <w:tcW w:w="1118" w:type="pct"/>
                  <w:vAlign w:val="center"/>
                </w:tcPr>
                <w:p>
                  <w:pPr>
                    <w:widowControl/>
                    <w:jc w:val="center"/>
                    <w:rPr>
                      <w:rFonts w:hint="eastAsia"/>
                      <w:color w:val="auto"/>
                      <w:szCs w:val="21"/>
                      <w:u w:val="none"/>
                    </w:rPr>
                  </w:pPr>
                  <w:r>
                    <w:rPr>
                      <w:rFonts w:hint="eastAsia"/>
                      <w:color w:val="auto"/>
                      <w:szCs w:val="21"/>
                      <w:u w:val="none"/>
                    </w:rPr>
                    <w:t>0.8</w:t>
                  </w:r>
                </w:p>
              </w:tc>
              <w:tc>
                <w:tcPr>
                  <w:tcW w:w="977"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rFonts w:hint="eastAsia"/>
                      <w:color w:val="auto"/>
                      <w:kern w:val="0"/>
                      <w:szCs w:val="21"/>
                      <w:u w:val="none"/>
                    </w:rPr>
                  </w:pPr>
                  <w:r>
                    <w:rPr>
                      <w:rFonts w:hint="eastAsia"/>
                      <w:color w:val="auto"/>
                      <w:szCs w:val="21"/>
                      <w:u w:val="none"/>
                    </w:rPr>
                    <w:t>生产用水</w:t>
                  </w:r>
                </w:p>
              </w:tc>
              <w:tc>
                <w:tcPr>
                  <w:tcW w:w="1118" w:type="pct"/>
                  <w:vAlign w:val="center"/>
                </w:tcPr>
                <w:p>
                  <w:pPr>
                    <w:widowControl/>
                    <w:jc w:val="center"/>
                    <w:rPr>
                      <w:rFonts w:hint="eastAsia"/>
                      <w:color w:val="auto"/>
                      <w:szCs w:val="21"/>
                      <w:u w:val="none"/>
                    </w:rPr>
                  </w:pPr>
                  <w:r>
                    <w:rPr>
                      <w:color w:val="auto"/>
                      <w:szCs w:val="21"/>
                      <w:u w:val="none"/>
                    </w:rPr>
                    <w:t>8900</w:t>
                  </w:r>
                </w:p>
              </w:tc>
              <w:tc>
                <w:tcPr>
                  <w:tcW w:w="977" w:type="pct"/>
                  <w:vAlign w:val="center"/>
                </w:tcPr>
                <w:p>
                  <w:pPr>
                    <w:jc w:val="center"/>
                    <w:rPr>
                      <w:rFonts w:hint="eastAsia"/>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rFonts w:hint="eastAsia" w:eastAsia="宋体"/>
                      <w:color w:val="auto"/>
                      <w:szCs w:val="21"/>
                      <w:u w:val="none"/>
                      <w:lang w:val="en-US" w:eastAsia="zh-CN"/>
                    </w:rPr>
                  </w:pPr>
                  <w:r>
                    <w:rPr>
                      <w:rFonts w:hint="eastAsia"/>
                      <w:color w:val="auto"/>
                      <w:kern w:val="0"/>
                      <w:szCs w:val="21"/>
                      <w:highlight w:val="none"/>
                      <w:u w:val="none"/>
                      <w:lang w:val="en-US" w:eastAsia="zh-CN"/>
                    </w:rPr>
                    <w:t>蒸煮用</w:t>
                  </w:r>
                  <w:r>
                    <w:rPr>
                      <w:rFonts w:hint="eastAsia"/>
                      <w:color w:val="auto"/>
                      <w:szCs w:val="21"/>
                      <w:highlight w:val="none"/>
                      <w:u w:val="none"/>
                      <w:lang w:val="en-US" w:eastAsia="zh-CN"/>
                    </w:rPr>
                    <w:t>蒸汽</w:t>
                  </w:r>
                </w:p>
              </w:tc>
              <w:tc>
                <w:tcPr>
                  <w:tcW w:w="1118" w:type="pct"/>
                  <w:vAlign w:val="center"/>
                </w:tcPr>
                <w:p>
                  <w:pPr>
                    <w:widowControl/>
                    <w:jc w:val="center"/>
                    <w:rPr>
                      <w:rFonts w:hint="default" w:eastAsia="宋体"/>
                      <w:color w:val="auto"/>
                      <w:szCs w:val="21"/>
                      <w:u w:val="none"/>
                      <w:lang w:val="en-US" w:eastAsia="zh-CN"/>
                    </w:rPr>
                  </w:pPr>
                  <w:r>
                    <w:rPr>
                      <w:rFonts w:hint="eastAsia"/>
                      <w:color w:val="auto"/>
                      <w:szCs w:val="21"/>
                      <w:u w:val="none"/>
                      <w:lang w:val="en-US" w:eastAsia="zh-CN"/>
                    </w:rPr>
                    <w:t>800</w:t>
                  </w:r>
                </w:p>
              </w:tc>
              <w:tc>
                <w:tcPr>
                  <w:tcW w:w="977" w:type="pct"/>
                  <w:vAlign w:val="center"/>
                </w:tcPr>
                <w:p>
                  <w:pPr>
                    <w:jc w:val="center"/>
                    <w:rPr>
                      <w:rFonts w:hint="eastAsia"/>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kern w:val="0"/>
                      <w:szCs w:val="21"/>
                      <w:u w:val="none"/>
                    </w:rPr>
                    <w:t>合计</w:t>
                  </w:r>
                </w:p>
              </w:tc>
              <w:tc>
                <w:tcPr>
                  <w:tcW w:w="1118" w:type="pct"/>
                  <w:vAlign w:val="center"/>
                </w:tcPr>
                <w:p>
                  <w:pPr>
                    <w:widowControl/>
                    <w:jc w:val="center"/>
                    <w:rPr>
                      <w:rFonts w:hint="default" w:eastAsia="宋体"/>
                      <w:color w:val="auto"/>
                      <w:kern w:val="0"/>
                      <w:szCs w:val="21"/>
                      <w:u w:val="none"/>
                      <w:lang w:val="en-US" w:eastAsia="zh-CN"/>
                    </w:rPr>
                  </w:pPr>
                  <w:r>
                    <w:rPr>
                      <w:rFonts w:hint="eastAsia"/>
                      <w:color w:val="auto"/>
                      <w:kern w:val="0"/>
                      <w:szCs w:val="21"/>
                      <w:u w:val="none"/>
                      <w:lang w:val="en-US" w:eastAsia="zh-CN"/>
                    </w:rPr>
                    <w:t>10380</w:t>
                  </w:r>
                </w:p>
              </w:tc>
              <w:tc>
                <w:tcPr>
                  <w:tcW w:w="977" w:type="pct"/>
                  <w:vAlign w:val="center"/>
                </w:tcPr>
                <w:p>
                  <w:pPr>
                    <w:jc w:val="center"/>
                    <w:rPr>
                      <w:color w:val="auto"/>
                      <w:szCs w:val="21"/>
                      <w:u w:val="none"/>
                    </w:rPr>
                  </w:pPr>
                  <w:r>
                    <w:rPr>
                      <w:rFonts w:hint="eastAsia"/>
                      <w:color w:val="auto"/>
                      <w:szCs w:val="21"/>
                      <w:u w:val="none"/>
                    </w:rPr>
                    <w:t>合计</w:t>
                  </w:r>
                </w:p>
              </w:tc>
              <w:tc>
                <w:tcPr>
                  <w:tcW w:w="1291" w:type="pct"/>
                  <w:vAlign w:val="center"/>
                </w:tcPr>
                <w:p>
                  <w:pPr>
                    <w:jc w:val="center"/>
                    <w:rPr>
                      <w:color w:val="auto"/>
                      <w:szCs w:val="21"/>
                      <w:u w:val="none"/>
                    </w:rPr>
                  </w:pPr>
                  <w:r>
                    <w:rPr>
                      <w:rFonts w:hint="eastAsia"/>
                      <w:color w:val="auto"/>
                      <w:kern w:val="0"/>
                      <w:szCs w:val="21"/>
                      <w:u w:val="none"/>
                      <w:lang w:val="en-US" w:eastAsia="zh-CN"/>
                    </w:rPr>
                    <w:t>10380</w:t>
                  </w:r>
                </w:p>
              </w:tc>
            </w:tr>
          </w:tbl>
          <w:p>
            <w:pPr>
              <w:spacing w:line="360" w:lineRule="auto"/>
              <w:ind w:firstLine="432" w:firstLineChars="180"/>
              <w:rPr>
                <w:rFonts w:hint="eastAsia"/>
                <w:color w:val="auto"/>
                <w:sz w:val="24"/>
                <w:u w:val="none"/>
              </w:rPr>
            </w:pPr>
          </w:p>
          <w:p>
            <w:pPr>
              <w:spacing w:line="360" w:lineRule="auto"/>
              <w:ind w:firstLine="432" w:firstLineChars="180"/>
              <w:rPr>
                <w:color w:val="auto"/>
                <w:sz w:val="24"/>
                <w:u w:val="none"/>
              </w:rPr>
            </w:pPr>
            <w:r>
              <w:rPr>
                <w:rFonts w:hint="eastAsia"/>
                <w:color w:val="auto"/>
                <w:sz w:val="24"/>
                <w:u w:val="none"/>
              </w:rPr>
              <w:t>（3）剁辣椒生产物料平衡</w:t>
            </w:r>
          </w:p>
          <w:p>
            <w:pPr>
              <w:spacing w:line="360" w:lineRule="auto"/>
              <w:jc w:val="center"/>
              <w:rPr>
                <w:rFonts w:hint="eastAsia"/>
                <w:b/>
                <w:bCs/>
                <w:color w:val="auto"/>
                <w:sz w:val="24"/>
                <w:u w:val="none"/>
              </w:rPr>
            </w:pPr>
            <w:r>
              <w:rPr>
                <w:rFonts w:hint="eastAsia"/>
                <w:b/>
                <w:bCs/>
                <w:color w:val="auto"/>
                <w:sz w:val="24"/>
                <w:u w:val="none"/>
              </w:rPr>
              <w:t>表2.4-5 剁辣椒生产物料平衡表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4"/>
              <w:gridCol w:w="1645"/>
              <w:gridCol w:w="1873"/>
              <w:gridCol w:w="1637"/>
              <w:gridCol w:w="2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restart"/>
                  <w:vAlign w:val="center"/>
                </w:tcPr>
                <w:p>
                  <w:pPr>
                    <w:jc w:val="center"/>
                    <w:rPr>
                      <w:b/>
                      <w:color w:val="auto"/>
                      <w:szCs w:val="21"/>
                      <w:u w:val="none"/>
                    </w:rPr>
                  </w:pPr>
                  <w:r>
                    <w:rPr>
                      <w:rFonts w:hint="eastAsia"/>
                      <w:b/>
                      <w:color w:val="auto"/>
                      <w:szCs w:val="21"/>
                      <w:u w:val="none"/>
                    </w:rPr>
                    <w:t>产品</w:t>
                  </w:r>
                </w:p>
              </w:tc>
              <w:tc>
                <w:tcPr>
                  <w:tcW w:w="2100" w:type="pct"/>
                  <w:gridSpan w:val="2"/>
                  <w:vAlign w:val="center"/>
                </w:tcPr>
                <w:p>
                  <w:pPr>
                    <w:jc w:val="center"/>
                    <w:rPr>
                      <w:b/>
                      <w:color w:val="auto"/>
                      <w:szCs w:val="21"/>
                      <w:u w:val="none"/>
                    </w:rPr>
                  </w:pPr>
                  <w:r>
                    <w:rPr>
                      <w:rFonts w:hint="eastAsia"/>
                      <w:b/>
                      <w:color w:val="auto"/>
                      <w:szCs w:val="21"/>
                      <w:u w:val="none"/>
                    </w:rPr>
                    <w:t>输入</w:t>
                  </w:r>
                </w:p>
              </w:tc>
              <w:tc>
                <w:tcPr>
                  <w:tcW w:w="2269" w:type="pct"/>
                  <w:gridSpan w:val="2"/>
                  <w:vAlign w:val="center"/>
                </w:tcPr>
                <w:p>
                  <w:pPr>
                    <w:jc w:val="center"/>
                    <w:rPr>
                      <w:b/>
                      <w:color w:val="auto"/>
                      <w:szCs w:val="21"/>
                      <w:u w:val="none"/>
                    </w:rPr>
                  </w:pPr>
                  <w:r>
                    <w:rPr>
                      <w:rFonts w:hint="eastAsia"/>
                      <w:b/>
                      <w:color w:val="auto"/>
                      <w:szCs w:val="21"/>
                      <w:u w:val="none"/>
                    </w:rPr>
                    <w:t>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rFonts w:hint="eastAsia"/>
                      <w:b/>
                      <w:color w:val="auto"/>
                      <w:szCs w:val="21"/>
                      <w:u w:val="none"/>
                    </w:rPr>
                  </w:pPr>
                </w:p>
              </w:tc>
              <w:tc>
                <w:tcPr>
                  <w:tcW w:w="982" w:type="pct"/>
                  <w:vAlign w:val="center"/>
                </w:tcPr>
                <w:p>
                  <w:pPr>
                    <w:jc w:val="center"/>
                    <w:rPr>
                      <w:rFonts w:hint="eastAsia"/>
                      <w:b/>
                      <w:color w:val="auto"/>
                      <w:szCs w:val="21"/>
                      <w:u w:val="none"/>
                    </w:rPr>
                  </w:pPr>
                  <w:r>
                    <w:rPr>
                      <w:rFonts w:hint="eastAsia"/>
                      <w:b/>
                      <w:color w:val="auto"/>
                      <w:szCs w:val="21"/>
                      <w:u w:val="none"/>
                    </w:rPr>
                    <w:t>原料</w:t>
                  </w:r>
                  <w:r>
                    <w:rPr>
                      <w:b/>
                      <w:color w:val="auto"/>
                      <w:szCs w:val="21"/>
                      <w:u w:val="none"/>
                    </w:rPr>
                    <w:t>名称</w:t>
                  </w:r>
                </w:p>
              </w:tc>
              <w:tc>
                <w:tcPr>
                  <w:tcW w:w="1118" w:type="pct"/>
                  <w:vAlign w:val="center"/>
                </w:tcPr>
                <w:p>
                  <w:pPr>
                    <w:jc w:val="center"/>
                    <w:rPr>
                      <w:b/>
                      <w:color w:val="auto"/>
                      <w:szCs w:val="21"/>
                      <w:u w:val="none"/>
                    </w:rPr>
                  </w:pPr>
                  <w:r>
                    <w:rPr>
                      <w:rFonts w:hint="eastAsia"/>
                      <w:b/>
                      <w:color w:val="auto"/>
                      <w:szCs w:val="21"/>
                      <w:u w:val="none"/>
                    </w:rPr>
                    <w:t>年用量（t/a）</w:t>
                  </w:r>
                </w:p>
              </w:tc>
              <w:tc>
                <w:tcPr>
                  <w:tcW w:w="977" w:type="pct"/>
                  <w:vAlign w:val="center"/>
                </w:tcPr>
                <w:p>
                  <w:pPr>
                    <w:jc w:val="center"/>
                    <w:rPr>
                      <w:rFonts w:hint="eastAsia"/>
                      <w:b/>
                      <w:color w:val="auto"/>
                      <w:szCs w:val="21"/>
                      <w:u w:val="none"/>
                    </w:rPr>
                  </w:pPr>
                  <w:r>
                    <w:rPr>
                      <w:rFonts w:hint="eastAsia"/>
                      <w:b/>
                      <w:color w:val="auto"/>
                      <w:szCs w:val="21"/>
                      <w:u w:val="none"/>
                    </w:rPr>
                    <w:t>名称</w:t>
                  </w:r>
                </w:p>
              </w:tc>
              <w:tc>
                <w:tcPr>
                  <w:tcW w:w="1291" w:type="pct"/>
                  <w:vAlign w:val="center"/>
                </w:tcPr>
                <w:p>
                  <w:pPr>
                    <w:jc w:val="center"/>
                    <w:rPr>
                      <w:rFonts w:hint="eastAsia"/>
                      <w:b/>
                      <w:color w:val="auto"/>
                      <w:szCs w:val="21"/>
                      <w:u w:val="none"/>
                    </w:rPr>
                  </w:pPr>
                  <w:r>
                    <w:rPr>
                      <w:rFonts w:hint="eastAsia"/>
                      <w:b/>
                      <w:color w:val="auto"/>
                      <w:szCs w:val="21"/>
                      <w:u w:val="none"/>
                    </w:rPr>
                    <w:t>产生量（t/a）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restart"/>
                  <w:vAlign w:val="center"/>
                </w:tcPr>
                <w:p>
                  <w:pPr>
                    <w:jc w:val="center"/>
                    <w:rPr>
                      <w:color w:val="auto"/>
                      <w:szCs w:val="21"/>
                      <w:u w:val="none"/>
                    </w:rPr>
                  </w:pPr>
                  <w:r>
                    <w:rPr>
                      <w:rFonts w:hint="eastAsia"/>
                      <w:color w:val="auto"/>
                      <w:szCs w:val="21"/>
                      <w:u w:val="none"/>
                    </w:rPr>
                    <w:t>剁辣椒</w:t>
                  </w:r>
                </w:p>
              </w:tc>
              <w:tc>
                <w:tcPr>
                  <w:tcW w:w="982" w:type="pct"/>
                  <w:vAlign w:val="center"/>
                </w:tcPr>
                <w:p>
                  <w:pPr>
                    <w:widowControl/>
                    <w:jc w:val="center"/>
                    <w:rPr>
                      <w:color w:val="auto"/>
                      <w:kern w:val="0"/>
                      <w:szCs w:val="21"/>
                      <w:u w:val="none"/>
                    </w:rPr>
                  </w:pPr>
                  <w:r>
                    <w:rPr>
                      <w:rFonts w:hint="eastAsia"/>
                      <w:color w:val="auto"/>
                      <w:szCs w:val="21"/>
                      <w:u w:val="none"/>
                    </w:rPr>
                    <w:t>半成品腌制辣椒</w:t>
                  </w:r>
                </w:p>
              </w:tc>
              <w:tc>
                <w:tcPr>
                  <w:tcW w:w="1118" w:type="pct"/>
                  <w:vAlign w:val="center"/>
                </w:tcPr>
                <w:p>
                  <w:pPr>
                    <w:widowControl/>
                    <w:jc w:val="center"/>
                    <w:rPr>
                      <w:color w:val="auto"/>
                      <w:kern w:val="0"/>
                      <w:szCs w:val="21"/>
                      <w:u w:val="none"/>
                    </w:rPr>
                  </w:pPr>
                  <w:r>
                    <w:rPr>
                      <w:color w:val="auto"/>
                      <w:szCs w:val="21"/>
                      <w:u w:val="none"/>
                    </w:rPr>
                    <w:t>2821</w:t>
                  </w:r>
                </w:p>
              </w:tc>
              <w:tc>
                <w:tcPr>
                  <w:tcW w:w="977" w:type="pct"/>
                  <w:vAlign w:val="center"/>
                </w:tcPr>
                <w:p>
                  <w:pPr>
                    <w:jc w:val="center"/>
                    <w:rPr>
                      <w:color w:val="auto"/>
                      <w:szCs w:val="21"/>
                      <w:u w:val="none"/>
                    </w:rPr>
                  </w:pPr>
                  <w:r>
                    <w:rPr>
                      <w:rFonts w:hint="eastAsia"/>
                      <w:color w:val="auto"/>
                      <w:szCs w:val="21"/>
                      <w:u w:val="none"/>
                    </w:rPr>
                    <w:t>剁辣椒</w:t>
                  </w:r>
                </w:p>
              </w:tc>
              <w:tc>
                <w:tcPr>
                  <w:tcW w:w="1291" w:type="pct"/>
                  <w:vAlign w:val="center"/>
                </w:tcPr>
                <w:p>
                  <w:pPr>
                    <w:jc w:val="center"/>
                    <w:rPr>
                      <w:rFonts w:hint="eastAsia"/>
                      <w:color w:val="auto"/>
                      <w:szCs w:val="21"/>
                      <w:u w:val="none"/>
                    </w:rPr>
                  </w:pPr>
                  <w:r>
                    <w:rPr>
                      <w:color w:val="auto"/>
                      <w:szCs w:val="21"/>
                      <w:u w:val="none"/>
                    </w:rPr>
                    <w:t>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生姜</w:t>
                  </w:r>
                </w:p>
              </w:tc>
              <w:tc>
                <w:tcPr>
                  <w:tcW w:w="1118" w:type="pct"/>
                  <w:vAlign w:val="center"/>
                </w:tcPr>
                <w:p>
                  <w:pPr>
                    <w:widowControl/>
                    <w:jc w:val="center"/>
                    <w:rPr>
                      <w:color w:val="auto"/>
                      <w:kern w:val="0"/>
                      <w:szCs w:val="21"/>
                      <w:u w:val="none"/>
                    </w:rPr>
                  </w:pPr>
                  <w:r>
                    <w:rPr>
                      <w:color w:val="auto"/>
                      <w:szCs w:val="21"/>
                      <w:u w:val="none"/>
                    </w:rPr>
                    <w:t>115</w:t>
                  </w:r>
                </w:p>
              </w:tc>
              <w:tc>
                <w:tcPr>
                  <w:tcW w:w="977" w:type="pct"/>
                  <w:vAlign w:val="center"/>
                </w:tcPr>
                <w:p>
                  <w:pPr>
                    <w:jc w:val="center"/>
                    <w:rPr>
                      <w:rFonts w:hint="eastAsia"/>
                      <w:color w:val="auto"/>
                      <w:szCs w:val="21"/>
                      <w:u w:val="none"/>
                    </w:rPr>
                  </w:pPr>
                  <w:r>
                    <w:rPr>
                      <w:rFonts w:hint="eastAsia"/>
                      <w:color w:val="auto"/>
                      <w:szCs w:val="21"/>
                      <w:u w:val="none"/>
                    </w:rPr>
                    <w:t>不合格原料</w:t>
                  </w:r>
                </w:p>
              </w:tc>
              <w:tc>
                <w:tcPr>
                  <w:tcW w:w="1291" w:type="pct"/>
                  <w:vAlign w:val="center"/>
                </w:tcPr>
                <w:p>
                  <w:pPr>
                    <w:jc w:val="center"/>
                    <w:rPr>
                      <w:rFonts w:hint="eastAsia"/>
                      <w:color w:val="auto"/>
                      <w:szCs w:val="21"/>
                      <w:u w:val="none"/>
                    </w:rPr>
                  </w:pPr>
                  <w:r>
                    <w:rPr>
                      <w:color w:val="auto"/>
                      <w:szCs w:val="21"/>
                      <w:u w:val="none"/>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大蒜</w:t>
                  </w:r>
                </w:p>
              </w:tc>
              <w:tc>
                <w:tcPr>
                  <w:tcW w:w="1118" w:type="pct"/>
                  <w:vAlign w:val="center"/>
                </w:tcPr>
                <w:p>
                  <w:pPr>
                    <w:widowControl/>
                    <w:jc w:val="center"/>
                    <w:rPr>
                      <w:color w:val="auto"/>
                      <w:kern w:val="0"/>
                      <w:szCs w:val="21"/>
                      <w:u w:val="none"/>
                    </w:rPr>
                  </w:pPr>
                  <w:r>
                    <w:rPr>
                      <w:color w:val="auto"/>
                      <w:szCs w:val="21"/>
                      <w:u w:val="none"/>
                    </w:rPr>
                    <w:t>115</w:t>
                  </w:r>
                </w:p>
              </w:tc>
              <w:tc>
                <w:tcPr>
                  <w:tcW w:w="977" w:type="pct"/>
                  <w:vAlign w:val="center"/>
                </w:tcPr>
                <w:p>
                  <w:pPr>
                    <w:jc w:val="center"/>
                    <w:rPr>
                      <w:color w:val="auto"/>
                      <w:szCs w:val="21"/>
                      <w:u w:val="none"/>
                    </w:rPr>
                  </w:pPr>
                  <w:r>
                    <w:rPr>
                      <w:rFonts w:hint="eastAsia"/>
                      <w:color w:val="auto"/>
                      <w:szCs w:val="21"/>
                      <w:u w:val="none"/>
                    </w:rPr>
                    <w:t>不合格产品</w:t>
                  </w:r>
                </w:p>
              </w:tc>
              <w:tc>
                <w:tcPr>
                  <w:tcW w:w="1291" w:type="pct"/>
                  <w:vAlign w:val="center"/>
                </w:tcPr>
                <w:p>
                  <w:pPr>
                    <w:jc w:val="center"/>
                    <w:rPr>
                      <w:rFonts w:hint="eastAsia"/>
                      <w:color w:val="auto"/>
                      <w:szCs w:val="21"/>
                      <w:u w:val="none"/>
                    </w:rPr>
                  </w:pPr>
                  <w:r>
                    <w:rPr>
                      <w:color w:val="auto"/>
                      <w:szCs w:val="21"/>
                      <w:u w:val="none"/>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食用盐</w:t>
                  </w:r>
                </w:p>
              </w:tc>
              <w:tc>
                <w:tcPr>
                  <w:tcW w:w="1118" w:type="pct"/>
                  <w:vAlign w:val="center"/>
                </w:tcPr>
                <w:p>
                  <w:pPr>
                    <w:widowControl/>
                    <w:jc w:val="center"/>
                    <w:rPr>
                      <w:color w:val="auto"/>
                      <w:kern w:val="0"/>
                      <w:szCs w:val="21"/>
                      <w:u w:val="none"/>
                    </w:rPr>
                  </w:pPr>
                  <w:r>
                    <w:rPr>
                      <w:color w:val="auto"/>
                      <w:szCs w:val="21"/>
                      <w:u w:val="none"/>
                    </w:rPr>
                    <w:t>115</w:t>
                  </w:r>
                </w:p>
              </w:tc>
              <w:tc>
                <w:tcPr>
                  <w:tcW w:w="977" w:type="pct"/>
                  <w:vAlign w:val="center"/>
                </w:tcPr>
                <w:p>
                  <w:pPr>
                    <w:jc w:val="center"/>
                    <w:rPr>
                      <w:color w:val="auto"/>
                      <w:szCs w:val="21"/>
                      <w:u w:val="none"/>
                    </w:rPr>
                  </w:pPr>
                  <w:r>
                    <w:rPr>
                      <w:rFonts w:hint="eastAsia"/>
                      <w:color w:val="auto"/>
                      <w:szCs w:val="21"/>
                      <w:u w:val="none"/>
                    </w:rPr>
                    <w:t>废水</w:t>
                  </w:r>
                </w:p>
              </w:tc>
              <w:tc>
                <w:tcPr>
                  <w:tcW w:w="1291" w:type="pct"/>
                  <w:vAlign w:val="center"/>
                </w:tcPr>
                <w:p>
                  <w:pPr>
                    <w:jc w:val="center"/>
                    <w:rPr>
                      <w:color w:val="auto"/>
                      <w:szCs w:val="21"/>
                      <w:u w:val="none"/>
                    </w:rPr>
                  </w:pPr>
                  <w:r>
                    <w:rPr>
                      <w:color w:val="auto"/>
                      <w:szCs w:val="21"/>
                      <w:u w:val="none"/>
                    </w:rPr>
                    <w:t>22000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味精</w:t>
                  </w:r>
                </w:p>
              </w:tc>
              <w:tc>
                <w:tcPr>
                  <w:tcW w:w="1118" w:type="pct"/>
                  <w:vAlign w:val="center"/>
                </w:tcPr>
                <w:p>
                  <w:pPr>
                    <w:widowControl/>
                    <w:jc w:val="center"/>
                    <w:rPr>
                      <w:color w:val="auto"/>
                      <w:kern w:val="0"/>
                      <w:szCs w:val="21"/>
                      <w:u w:val="none"/>
                    </w:rPr>
                  </w:pPr>
                  <w:r>
                    <w:rPr>
                      <w:color w:val="auto"/>
                      <w:szCs w:val="21"/>
                      <w:u w:val="none"/>
                    </w:rPr>
                    <w:t>56</w:t>
                  </w:r>
                </w:p>
              </w:tc>
              <w:tc>
                <w:tcPr>
                  <w:tcW w:w="977" w:type="pct"/>
                  <w:vAlign w:val="center"/>
                </w:tcPr>
                <w:p>
                  <w:pPr>
                    <w:jc w:val="center"/>
                    <w:rPr>
                      <w:color w:val="auto"/>
                      <w:szCs w:val="21"/>
                      <w:u w:val="none"/>
                    </w:rPr>
                  </w:pPr>
                  <w:r>
                    <w:rPr>
                      <w:rFonts w:hint="eastAsia"/>
                      <w:color w:val="auto"/>
                      <w:szCs w:val="21"/>
                      <w:u w:val="none"/>
                    </w:rPr>
                    <w:t>蒸发损耗水</w:t>
                  </w:r>
                </w:p>
              </w:tc>
              <w:tc>
                <w:tcPr>
                  <w:tcW w:w="1291"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13200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调味料</w:t>
                  </w:r>
                </w:p>
              </w:tc>
              <w:tc>
                <w:tcPr>
                  <w:tcW w:w="1118" w:type="pct"/>
                  <w:vAlign w:val="center"/>
                </w:tcPr>
                <w:p>
                  <w:pPr>
                    <w:widowControl/>
                    <w:jc w:val="center"/>
                    <w:rPr>
                      <w:color w:val="auto"/>
                      <w:kern w:val="0"/>
                      <w:szCs w:val="21"/>
                      <w:u w:val="none"/>
                    </w:rPr>
                  </w:pPr>
                  <w:r>
                    <w:rPr>
                      <w:color w:val="auto"/>
                      <w:szCs w:val="21"/>
                      <w:u w:val="none"/>
                    </w:rPr>
                    <w:t>56</w:t>
                  </w:r>
                </w:p>
              </w:tc>
              <w:tc>
                <w:tcPr>
                  <w:tcW w:w="977"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添加剂</w:t>
                  </w:r>
                </w:p>
              </w:tc>
              <w:tc>
                <w:tcPr>
                  <w:tcW w:w="1118" w:type="pct"/>
                  <w:vAlign w:val="center"/>
                </w:tcPr>
                <w:p>
                  <w:pPr>
                    <w:widowControl/>
                    <w:jc w:val="center"/>
                    <w:rPr>
                      <w:color w:val="auto"/>
                      <w:kern w:val="0"/>
                      <w:szCs w:val="21"/>
                      <w:u w:val="none"/>
                    </w:rPr>
                  </w:pPr>
                  <w:r>
                    <w:rPr>
                      <w:color w:val="auto"/>
                      <w:szCs w:val="21"/>
                      <w:u w:val="none"/>
                    </w:rPr>
                    <w:t>3.6</w:t>
                  </w:r>
                </w:p>
              </w:tc>
              <w:tc>
                <w:tcPr>
                  <w:tcW w:w="977"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rFonts w:hint="eastAsia" w:eastAsia="宋体"/>
                      <w:color w:val="auto"/>
                      <w:szCs w:val="21"/>
                      <w:u w:val="none"/>
                      <w:lang w:val="en-US" w:eastAsia="zh-CN"/>
                    </w:rPr>
                  </w:pPr>
                  <w:r>
                    <w:rPr>
                      <w:rFonts w:hint="eastAsia"/>
                      <w:color w:val="auto"/>
                      <w:szCs w:val="21"/>
                      <w:u w:val="none"/>
                      <w:lang w:val="en-US" w:eastAsia="zh-CN"/>
                    </w:rPr>
                    <w:t>纯水</w:t>
                  </w:r>
                </w:p>
              </w:tc>
              <w:tc>
                <w:tcPr>
                  <w:tcW w:w="1118" w:type="pct"/>
                  <w:vAlign w:val="center"/>
                </w:tcPr>
                <w:p>
                  <w:pPr>
                    <w:widowControl/>
                    <w:jc w:val="center"/>
                    <w:rPr>
                      <w:rFonts w:hint="default" w:eastAsia="宋体"/>
                      <w:color w:val="auto"/>
                      <w:szCs w:val="21"/>
                      <w:u w:val="none"/>
                      <w:lang w:val="en-US" w:eastAsia="zh-CN"/>
                    </w:rPr>
                  </w:pPr>
                  <w:r>
                    <w:rPr>
                      <w:rFonts w:hint="eastAsia"/>
                      <w:color w:val="auto"/>
                      <w:szCs w:val="21"/>
                      <w:u w:val="none"/>
                      <w:lang w:val="en-US" w:eastAsia="zh-CN"/>
                    </w:rPr>
                    <w:t>1125</w:t>
                  </w:r>
                </w:p>
              </w:tc>
              <w:tc>
                <w:tcPr>
                  <w:tcW w:w="977"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rFonts w:hint="eastAsia" w:eastAsia="宋体"/>
                      <w:color w:val="auto"/>
                      <w:kern w:val="0"/>
                      <w:szCs w:val="21"/>
                      <w:u w:val="none"/>
                      <w:lang w:eastAsia="zh-CN"/>
                    </w:rPr>
                  </w:pPr>
                  <w:r>
                    <w:rPr>
                      <w:rFonts w:hint="eastAsia"/>
                      <w:color w:val="auto"/>
                      <w:szCs w:val="21"/>
                      <w:u w:val="none"/>
                      <w:lang w:val="en-US" w:eastAsia="zh-CN"/>
                    </w:rPr>
                    <w:t>自来水</w:t>
                  </w:r>
                </w:p>
              </w:tc>
              <w:tc>
                <w:tcPr>
                  <w:tcW w:w="1118" w:type="pct"/>
                  <w:vAlign w:val="center"/>
                </w:tcPr>
                <w:p>
                  <w:pPr>
                    <w:widowControl/>
                    <w:jc w:val="center"/>
                    <w:rPr>
                      <w:rFonts w:hint="eastAsia"/>
                      <w:color w:val="auto"/>
                      <w:sz w:val="22"/>
                      <w:szCs w:val="22"/>
                      <w:u w:val="none"/>
                    </w:rPr>
                  </w:pPr>
                  <w:r>
                    <w:rPr>
                      <w:color w:val="auto"/>
                      <w:sz w:val="22"/>
                      <w:szCs w:val="22"/>
                      <w:u w:val="none"/>
                    </w:rPr>
                    <w:t>35200</w:t>
                  </w:r>
                </w:p>
              </w:tc>
              <w:tc>
                <w:tcPr>
                  <w:tcW w:w="977"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rFonts w:hint="eastAsia"/>
                      <w:color w:val="auto"/>
                      <w:kern w:val="0"/>
                      <w:szCs w:val="21"/>
                      <w:u w:val="none"/>
                    </w:rPr>
                  </w:pPr>
                  <w:r>
                    <w:rPr>
                      <w:rFonts w:hint="eastAsia"/>
                      <w:color w:val="auto"/>
                      <w:szCs w:val="21"/>
                      <w:u w:val="none"/>
                    </w:rPr>
                    <w:t>合计</w:t>
                  </w:r>
                </w:p>
              </w:tc>
              <w:tc>
                <w:tcPr>
                  <w:tcW w:w="1118" w:type="pct"/>
                  <w:shd w:val="clear" w:color="auto" w:fill="auto"/>
                  <w:vAlign w:val="center"/>
                </w:tcPr>
                <w:p>
                  <w:pPr>
                    <w:widowControl/>
                    <w:jc w:val="center"/>
                    <w:rPr>
                      <w:rFonts w:hint="eastAsia"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39606.6</w:t>
                  </w:r>
                </w:p>
              </w:tc>
              <w:tc>
                <w:tcPr>
                  <w:tcW w:w="977" w:type="pct"/>
                  <w:vAlign w:val="center"/>
                </w:tcPr>
                <w:p>
                  <w:pPr>
                    <w:widowControl/>
                    <w:jc w:val="center"/>
                    <w:rPr>
                      <w:rFonts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合计</w:t>
                  </w:r>
                </w:p>
              </w:tc>
              <w:tc>
                <w:tcPr>
                  <w:tcW w:w="1291" w:type="pct"/>
                  <w:shd w:val="clear" w:color="auto" w:fill="auto"/>
                  <w:vAlign w:val="center"/>
                </w:tcPr>
                <w:p>
                  <w:pPr>
                    <w:widowControl/>
                    <w:jc w:val="center"/>
                    <w:rPr>
                      <w:rFonts w:hint="eastAsia"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39606.6</w:t>
                  </w:r>
                </w:p>
              </w:tc>
            </w:tr>
          </w:tbl>
          <w:p>
            <w:pPr>
              <w:spacing w:line="360" w:lineRule="auto"/>
              <w:ind w:firstLine="432" w:firstLineChars="180"/>
              <w:rPr>
                <w:color w:val="auto"/>
                <w:sz w:val="24"/>
                <w:u w:val="none"/>
              </w:rPr>
            </w:pPr>
            <w:r>
              <w:rPr>
                <w:rFonts w:hint="eastAsia"/>
                <w:color w:val="auto"/>
                <w:sz w:val="24"/>
                <w:u w:val="none"/>
              </w:rPr>
              <w:t>（</w:t>
            </w:r>
            <w:r>
              <w:rPr>
                <w:rFonts w:hint="eastAsia"/>
                <w:color w:val="auto"/>
                <w:sz w:val="24"/>
                <w:u w:val="none"/>
                <w:lang w:val="en-US" w:eastAsia="zh-CN"/>
              </w:rPr>
              <w:t>4</w:t>
            </w:r>
            <w:r>
              <w:rPr>
                <w:rFonts w:hint="eastAsia"/>
                <w:color w:val="auto"/>
                <w:sz w:val="24"/>
                <w:u w:val="none"/>
              </w:rPr>
              <w:t>）油辣椒生产物料平衡</w:t>
            </w:r>
          </w:p>
          <w:p>
            <w:pPr>
              <w:spacing w:line="360" w:lineRule="auto"/>
              <w:jc w:val="center"/>
              <w:rPr>
                <w:rFonts w:hint="eastAsia"/>
                <w:b/>
                <w:bCs/>
                <w:color w:val="auto"/>
                <w:sz w:val="24"/>
                <w:u w:val="none"/>
              </w:rPr>
            </w:pPr>
            <w:r>
              <w:rPr>
                <w:rFonts w:hint="eastAsia"/>
                <w:b/>
                <w:bCs/>
                <w:color w:val="auto"/>
                <w:sz w:val="24"/>
                <w:u w:val="none"/>
              </w:rPr>
              <w:t>表2.4-6 油辣椒生产物料平衡表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4"/>
              <w:gridCol w:w="1645"/>
              <w:gridCol w:w="1873"/>
              <w:gridCol w:w="1637"/>
              <w:gridCol w:w="2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restart"/>
                  <w:vAlign w:val="center"/>
                </w:tcPr>
                <w:p>
                  <w:pPr>
                    <w:jc w:val="center"/>
                    <w:rPr>
                      <w:b/>
                      <w:color w:val="auto"/>
                      <w:szCs w:val="21"/>
                      <w:u w:val="none"/>
                    </w:rPr>
                  </w:pPr>
                  <w:r>
                    <w:rPr>
                      <w:rFonts w:hint="eastAsia"/>
                      <w:b/>
                      <w:color w:val="auto"/>
                      <w:szCs w:val="21"/>
                      <w:u w:val="none"/>
                    </w:rPr>
                    <w:t>产品</w:t>
                  </w:r>
                </w:p>
              </w:tc>
              <w:tc>
                <w:tcPr>
                  <w:tcW w:w="2100" w:type="pct"/>
                  <w:gridSpan w:val="2"/>
                  <w:vAlign w:val="center"/>
                </w:tcPr>
                <w:p>
                  <w:pPr>
                    <w:jc w:val="center"/>
                    <w:rPr>
                      <w:b/>
                      <w:color w:val="auto"/>
                      <w:szCs w:val="21"/>
                      <w:u w:val="none"/>
                    </w:rPr>
                  </w:pPr>
                  <w:r>
                    <w:rPr>
                      <w:rFonts w:hint="eastAsia"/>
                      <w:b/>
                      <w:color w:val="auto"/>
                      <w:szCs w:val="21"/>
                      <w:u w:val="none"/>
                    </w:rPr>
                    <w:t>输入</w:t>
                  </w:r>
                </w:p>
              </w:tc>
              <w:tc>
                <w:tcPr>
                  <w:tcW w:w="2269" w:type="pct"/>
                  <w:gridSpan w:val="2"/>
                  <w:vAlign w:val="center"/>
                </w:tcPr>
                <w:p>
                  <w:pPr>
                    <w:jc w:val="center"/>
                    <w:rPr>
                      <w:b/>
                      <w:color w:val="auto"/>
                      <w:szCs w:val="21"/>
                      <w:u w:val="none"/>
                    </w:rPr>
                  </w:pPr>
                  <w:r>
                    <w:rPr>
                      <w:rFonts w:hint="eastAsia"/>
                      <w:b/>
                      <w:color w:val="auto"/>
                      <w:szCs w:val="21"/>
                      <w:u w:val="none"/>
                    </w:rPr>
                    <w:t>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rFonts w:hint="eastAsia"/>
                      <w:b/>
                      <w:color w:val="auto"/>
                      <w:szCs w:val="21"/>
                      <w:u w:val="none"/>
                    </w:rPr>
                  </w:pPr>
                </w:p>
              </w:tc>
              <w:tc>
                <w:tcPr>
                  <w:tcW w:w="982" w:type="pct"/>
                  <w:vAlign w:val="center"/>
                </w:tcPr>
                <w:p>
                  <w:pPr>
                    <w:jc w:val="center"/>
                    <w:rPr>
                      <w:rFonts w:hint="eastAsia"/>
                      <w:b/>
                      <w:color w:val="auto"/>
                      <w:szCs w:val="21"/>
                      <w:u w:val="none"/>
                    </w:rPr>
                  </w:pPr>
                  <w:r>
                    <w:rPr>
                      <w:rFonts w:hint="eastAsia"/>
                      <w:b/>
                      <w:color w:val="auto"/>
                      <w:szCs w:val="21"/>
                      <w:u w:val="none"/>
                    </w:rPr>
                    <w:t>原料</w:t>
                  </w:r>
                  <w:r>
                    <w:rPr>
                      <w:b/>
                      <w:color w:val="auto"/>
                      <w:szCs w:val="21"/>
                      <w:u w:val="none"/>
                    </w:rPr>
                    <w:t>名称</w:t>
                  </w:r>
                </w:p>
              </w:tc>
              <w:tc>
                <w:tcPr>
                  <w:tcW w:w="1118" w:type="pct"/>
                  <w:vAlign w:val="center"/>
                </w:tcPr>
                <w:p>
                  <w:pPr>
                    <w:jc w:val="center"/>
                    <w:rPr>
                      <w:b/>
                      <w:color w:val="auto"/>
                      <w:szCs w:val="21"/>
                      <w:u w:val="none"/>
                    </w:rPr>
                  </w:pPr>
                  <w:r>
                    <w:rPr>
                      <w:rFonts w:hint="eastAsia"/>
                      <w:b/>
                      <w:color w:val="auto"/>
                      <w:szCs w:val="21"/>
                      <w:u w:val="none"/>
                    </w:rPr>
                    <w:t>年用量（t/a）</w:t>
                  </w:r>
                </w:p>
              </w:tc>
              <w:tc>
                <w:tcPr>
                  <w:tcW w:w="977" w:type="pct"/>
                  <w:vAlign w:val="center"/>
                </w:tcPr>
                <w:p>
                  <w:pPr>
                    <w:jc w:val="center"/>
                    <w:rPr>
                      <w:rFonts w:hint="eastAsia"/>
                      <w:b/>
                      <w:color w:val="auto"/>
                      <w:szCs w:val="21"/>
                      <w:u w:val="none"/>
                    </w:rPr>
                  </w:pPr>
                  <w:r>
                    <w:rPr>
                      <w:rFonts w:hint="eastAsia"/>
                      <w:b/>
                      <w:color w:val="auto"/>
                      <w:szCs w:val="21"/>
                      <w:u w:val="none"/>
                    </w:rPr>
                    <w:t>名称</w:t>
                  </w:r>
                </w:p>
              </w:tc>
              <w:tc>
                <w:tcPr>
                  <w:tcW w:w="1291" w:type="pct"/>
                  <w:vAlign w:val="center"/>
                </w:tcPr>
                <w:p>
                  <w:pPr>
                    <w:jc w:val="center"/>
                    <w:rPr>
                      <w:rFonts w:hint="eastAsia"/>
                      <w:b/>
                      <w:color w:val="auto"/>
                      <w:szCs w:val="21"/>
                      <w:u w:val="none"/>
                    </w:rPr>
                  </w:pPr>
                  <w:r>
                    <w:rPr>
                      <w:rFonts w:hint="eastAsia"/>
                      <w:b/>
                      <w:color w:val="auto"/>
                      <w:szCs w:val="21"/>
                      <w:u w:val="none"/>
                    </w:rPr>
                    <w:t>产生量（t/a）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restart"/>
                  <w:vAlign w:val="center"/>
                </w:tcPr>
                <w:p>
                  <w:pPr>
                    <w:jc w:val="center"/>
                    <w:rPr>
                      <w:color w:val="auto"/>
                      <w:szCs w:val="21"/>
                      <w:u w:val="none"/>
                    </w:rPr>
                  </w:pPr>
                  <w:r>
                    <w:rPr>
                      <w:rFonts w:hint="eastAsia"/>
                      <w:color w:val="auto"/>
                      <w:szCs w:val="21"/>
                      <w:u w:val="none"/>
                    </w:rPr>
                    <w:t>油辣椒</w:t>
                  </w:r>
                </w:p>
              </w:tc>
              <w:tc>
                <w:tcPr>
                  <w:tcW w:w="982" w:type="pct"/>
                  <w:vAlign w:val="center"/>
                </w:tcPr>
                <w:p>
                  <w:pPr>
                    <w:widowControl/>
                    <w:jc w:val="center"/>
                    <w:rPr>
                      <w:color w:val="auto"/>
                      <w:kern w:val="0"/>
                      <w:szCs w:val="21"/>
                      <w:u w:val="none"/>
                    </w:rPr>
                  </w:pPr>
                  <w:r>
                    <w:rPr>
                      <w:rFonts w:hint="eastAsia"/>
                      <w:color w:val="auto"/>
                      <w:szCs w:val="21"/>
                      <w:u w:val="none"/>
                    </w:rPr>
                    <w:t>半成品腌制辣椒</w:t>
                  </w:r>
                </w:p>
              </w:tc>
              <w:tc>
                <w:tcPr>
                  <w:tcW w:w="1118" w:type="pct"/>
                  <w:vAlign w:val="center"/>
                </w:tcPr>
                <w:p>
                  <w:pPr>
                    <w:keepNext w:val="0"/>
                    <w:keepLines w:val="0"/>
                    <w:widowControl/>
                    <w:suppressLineNumbers w:val="0"/>
                    <w:jc w:val="center"/>
                    <w:textAlignment w:val="center"/>
                    <w:rPr>
                      <w:color w:val="auto"/>
                      <w:kern w:val="0"/>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r>
                    <w:rPr>
                      <w:rFonts w:hint="eastAsia" w:ascii="Times New Roman" w:hAnsi="Times New Roman" w:eastAsia="宋体" w:cs="Times New Roman"/>
                      <w:i w:val="0"/>
                      <w:iCs w:val="0"/>
                      <w:color w:val="auto"/>
                      <w:kern w:val="0"/>
                      <w:sz w:val="21"/>
                      <w:szCs w:val="21"/>
                      <w:u w:val="none"/>
                      <w:lang w:val="en-US" w:eastAsia="zh-CN" w:bidi="ar"/>
                    </w:rPr>
                    <w:t>11</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977" w:type="pct"/>
                  <w:vAlign w:val="center"/>
                </w:tcPr>
                <w:p>
                  <w:pPr>
                    <w:jc w:val="center"/>
                    <w:rPr>
                      <w:color w:val="auto"/>
                      <w:szCs w:val="21"/>
                      <w:u w:val="none"/>
                    </w:rPr>
                  </w:pPr>
                  <w:r>
                    <w:rPr>
                      <w:rFonts w:hint="eastAsia"/>
                      <w:color w:val="auto"/>
                      <w:szCs w:val="21"/>
                      <w:u w:val="none"/>
                    </w:rPr>
                    <w:t>油辣椒</w:t>
                  </w:r>
                </w:p>
              </w:tc>
              <w:tc>
                <w:tcPr>
                  <w:tcW w:w="1291" w:type="pct"/>
                  <w:vAlign w:val="center"/>
                </w:tcPr>
                <w:p>
                  <w:pPr>
                    <w:jc w:val="center"/>
                    <w:rPr>
                      <w:rFonts w:hint="eastAsia"/>
                      <w:color w:val="auto"/>
                      <w:szCs w:val="21"/>
                      <w:u w:val="none"/>
                    </w:rPr>
                  </w:pPr>
                  <w:r>
                    <w:rPr>
                      <w:rFonts w:hint="eastAsia"/>
                      <w:color w:val="auto"/>
                      <w:szCs w:val="21"/>
                      <w:u w:val="none"/>
                    </w:rPr>
                    <w:t>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生姜</w:t>
                  </w:r>
                </w:p>
              </w:tc>
              <w:tc>
                <w:tcPr>
                  <w:tcW w:w="1118" w:type="pct"/>
                  <w:vAlign w:val="center"/>
                </w:tcPr>
                <w:p>
                  <w:pPr>
                    <w:keepNext w:val="0"/>
                    <w:keepLines w:val="0"/>
                    <w:widowControl/>
                    <w:suppressLineNumbers w:val="0"/>
                    <w:jc w:val="center"/>
                    <w:textAlignment w:val="center"/>
                    <w:rPr>
                      <w:color w:val="auto"/>
                      <w:kern w:val="0"/>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32 </w:t>
                  </w:r>
                </w:p>
              </w:tc>
              <w:tc>
                <w:tcPr>
                  <w:tcW w:w="977" w:type="pct"/>
                  <w:vAlign w:val="center"/>
                </w:tcPr>
                <w:p>
                  <w:pPr>
                    <w:jc w:val="center"/>
                    <w:rPr>
                      <w:rFonts w:hint="eastAsia"/>
                      <w:color w:val="auto"/>
                      <w:szCs w:val="21"/>
                      <w:u w:val="none"/>
                    </w:rPr>
                  </w:pPr>
                  <w:r>
                    <w:rPr>
                      <w:rFonts w:hint="eastAsia"/>
                      <w:color w:val="auto"/>
                      <w:szCs w:val="21"/>
                      <w:u w:val="none"/>
                    </w:rPr>
                    <w:t>不合格原料</w:t>
                  </w:r>
                </w:p>
              </w:tc>
              <w:tc>
                <w:tcPr>
                  <w:tcW w:w="1291" w:type="pct"/>
                  <w:vAlign w:val="center"/>
                </w:tcPr>
                <w:p>
                  <w:pPr>
                    <w:jc w:val="center"/>
                    <w:rPr>
                      <w:rFonts w:hint="eastAsia"/>
                      <w:color w:val="auto"/>
                      <w:szCs w:val="21"/>
                      <w:u w:val="none"/>
                    </w:rPr>
                  </w:pPr>
                  <w:r>
                    <w:rPr>
                      <w:rFonts w:hint="eastAsia"/>
                      <w:color w:val="auto"/>
                      <w:szCs w:val="21"/>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大蒜</w:t>
                  </w:r>
                </w:p>
              </w:tc>
              <w:tc>
                <w:tcPr>
                  <w:tcW w:w="1118" w:type="pct"/>
                  <w:vAlign w:val="center"/>
                </w:tcPr>
                <w:p>
                  <w:pPr>
                    <w:keepNext w:val="0"/>
                    <w:keepLines w:val="0"/>
                    <w:widowControl/>
                    <w:suppressLineNumbers w:val="0"/>
                    <w:jc w:val="center"/>
                    <w:textAlignment w:val="center"/>
                    <w:rPr>
                      <w:color w:val="auto"/>
                      <w:kern w:val="0"/>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32 </w:t>
                  </w:r>
                </w:p>
              </w:tc>
              <w:tc>
                <w:tcPr>
                  <w:tcW w:w="977" w:type="pct"/>
                  <w:vAlign w:val="center"/>
                </w:tcPr>
                <w:p>
                  <w:pPr>
                    <w:jc w:val="center"/>
                    <w:rPr>
                      <w:color w:val="auto"/>
                      <w:szCs w:val="21"/>
                      <w:u w:val="none"/>
                    </w:rPr>
                  </w:pPr>
                  <w:r>
                    <w:rPr>
                      <w:rFonts w:hint="eastAsia"/>
                      <w:color w:val="auto"/>
                      <w:szCs w:val="21"/>
                      <w:u w:val="none"/>
                    </w:rPr>
                    <w:t>不合格产品</w:t>
                  </w:r>
                </w:p>
              </w:tc>
              <w:tc>
                <w:tcPr>
                  <w:tcW w:w="1291" w:type="pct"/>
                  <w:vAlign w:val="center"/>
                </w:tcPr>
                <w:p>
                  <w:pPr>
                    <w:jc w:val="center"/>
                    <w:rPr>
                      <w:rFonts w:hint="eastAsia"/>
                      <w:color w:val="auto"/>
                      <w:szCs w:val="21"/>
                      <w:u w:val="none"/>
                    </w:rPr>
                  </w:pPr>
                  <w:r>
                    <w:rPr>
                      <w:rFonts w:hint="eastAsia"/>
                      <w:color w:val="auto"/>
                      <w:szCs w:val="21"/>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食用盐</w:t>
                  </w:r>
                </w:p>
              </w:tc>
              <w:tc>
                <w:tcPr>
                  <w:tcW w:w="1118" w:type="pct"/>
                  <w:vAlign w:val="center"/>
                </w:tcPr>
                <w:p>
                  <w:pPr>
                    <w:keepNext w:val="0"/>
                    <w:keepLines w:val="0"/>
                    <w:widowControl/>
                    <w:suppressLineNumbers w:val="0"/>
                    <w:jc w:val="center"/>
                    <w:textAlignment w:val="center"/>
                    <w:rPr>
                      <w:color w:val="auto"/>
                      <w:kern w:val="0"/>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32 </w:t>
                  </w:r>
                </w:p>
              </w:tc>
              <w:tc>
                <w:tcPr>
                  <w:tcW w:w="977" w:type="pct"/>
                  <w:vAlign w:val="center"/>
                </w:tcPr>
                <w:p>
                  <w:pPr>
                    <w:jc w:val="center"/>
                    <w:rPr>
                      <w:color w:val="auto"/>
                      <w:szCs w:val="21"/>
                      <w:u w:val="none"/>
                    </w:rPr>
                  </w:pPr>
                  <w:r>
                    <w:rPr>
                      <w:rFonts w:hint="eastAsia"/>
                      <w:color w:val="auto"/>
                      <w:szCs w:val="21"/>
                      <w:u w:val="none"/>
                    </w:rPr>
                    <w:t>废水</w:t>
                  </w:r>
                </w:p>
              </w:tc>
              <w:tc>
                <w:tcPr>
                  <w:tcW w:w="1291" w:type="pct"/>
                  <w:vAlign w:val="center"/>
                </w:tcPr>
                <w:p>
                  <w:pPr>
                    <w:jc w:val="center"/>
                    <w:rPr>
                      <w:rFonts w:hint="default" w:eastAsia="宋体"/>
                      <w:color w:val="auto"/>
                      <w:szCs w:val="21"/>
                      <w:u w:val="none"/>
                      <w:lang w:val="en-US" w:eastAsia="zh-CN"/>
                    </w:rPr>
                  </w:pPr>
                  <w:r>
                    <w:rPr>
                      <w:rFonts w:hint="eastAsia"/>
                      <w:color w:val="auto"/>
                      <w:szCs w:val="21"/>
                      <w:highlight w:val="none"/>
                      <w:u w:val="none"/>
                      <w:lang w:val="en-US" w:eastAsia="zh-CN"/>
                    </w:rPr>
                    <w:t>6112.5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味精</w:t>
                  </w:r>
                </w:p>
              </w:tc>
              <w:tc>
                <w:tcPr>
                  <w:tcW w:w="1118" w:type="pct"/>
                  <w:vAlign w:val="center"/>
                </w:tcPr>
                <w:p>
                  <w:pPr>
                    <w:keepNext w:val="0"/>
                    <w:keepLines w:val="0"/>
                    <w:widowControl/>
                    <w:suppressLineNumbers w:val="0"/>
                    <w:jc w:val="center"/>
                    <w:textAlignment w:val="center"/>
                    <w:rPr>
                      <w:color w:val="auto"/>
                      <w:kern w:val="0"/>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16 </w:t>
                  </w:r>
                </w:p>
              </w:tc>
              <w:tc>
                <w:tcPr>
                  <w:tcW w:w="977"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蒸发损耗水</w:t>
                  </w:r>
                </w:p>
              </w:tc>
              <w:tc>
                <w:tcPr>
                  <w:tcW w:w="1291" w:type="pct"/>
                  <w:shd w:val="clear" w:color="auto" w:fill="auto"/>
                  <w:vAlign w:val="center"/>
                </w:tcPr>
                <w:p>
                  <w:pPr>
                    <w:jc w:val="center"/>
                    <w:rPr>
                      <w:rFonts w:hint="eastAsia"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3912.5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调味料</w:t>
                  </w:r>
                </w:p>
              </w:tc>
              <w:tc>
                <w:tcPr>
                  <w:tcW w:w="1118" w:type="pct"/>
                  <w:vAlign w:val="center"/>
                </w:tcPr>
                <w:p>
                  <w:pPr>
                    <w:keepNext w:val="0"/>
                    <w:keepLines w:val="0"/>
                    <w:widowControl/>
                    <w:suppressLineNumbers w:val="0"/>
                    <w:jc w:val="center"/>
                    <w:textAlignment w:val="center"/>
                    <w:rPr>
                      <w:color w:val="auto"/>
                      <w:kern w:val="0"/>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16 </w:t>
                  </w:r>
                </w:p>
              </w:tc>
              <w:tc>
                <w:tcPr>
                  <w:tcW w:w="977" w:type="pct"/>
                  <w:vAlign w:val="center"/>
                </w:tcPr>
                <w:p>
                  <w:pPr>
                    <w:jc w:val="center"/>
                    <w:rPr>
                      <w:rFonts w:ascii="Times New Roman" w:hAnsi="Times New Roman" w:eastAsia="宋体" w:cs="Times New Roman"/>
                      <w:color w:val="auto"/>
                      <w:szCs w:val="21"/>
                      <w:u w:val="none"/>
                    </w:rPr>
                  </w:pPr>
                </w:p>
              </w:tc>
              <w:tc>
                <w:tcPr>
                  <w:tcW w:w="1291" w:type="pct"/>
                  <w:vAlign w:val="center"/>
                </w:tcPr>
                <w:p>
                  <w:pPr>
                    <w:jc w:val="center"/>
                    <w:rPr>
                      <w:rFonts w:ascii="Times New Roman" w:hAnsi="Times New Roman" w:eastAsia="宋体" w:cs="Times New Roman"/>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szCs w:val="21"/>
                      <w:u w:val="none"/>
                    </w:rPr>
                    <w:t>添加剂</w:t>
                  </w:r>
                </w:p>
              </w:tc>
              <w:tc>
                <w:tcPr>
                  <w:tcW w:w="1118" w:type="pct"/>
                  <w:vAlign w:val="center"/>
                </w:tcPr>
                <w:p>
                  <w:pPr>
                    <w:keepNext w:val="0"/>
                    <w:keepLines w:val="0"/>
                    <w:widowControl/>
                    <w:suppressLineNumbers w:val="0"/>
                    <w:jc w:val="center"/>
                    <w:textAlignment w:val="center"/>
                    <w:rPr>
                      <w:color w:val="auto"/>
                      <w:kern w:val="0"/>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 </w:t>
                  </w:r>
                </w:p>
              </w:tc>
              <w:tc>
                <w:tcPr>
                  <w:tcW w:w="977"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rFonts w:hint="eastAsia"/>
                      <w:color w:val="auto"/>
                      <w:kern w:val="0"/>
                      <w:szCs w:val="21"/>
                      <w:u w:val="none"/>
                    </w:rPr>
                  </w:pPr>
                  <w:r>
                    <w:rPr>
                      <w:rFonts w:hint="eastAsia"/>
                      <w:color w:val="auto"/>
                      <w:sz w:val="22"/>
                      <w:szCs w:val="22"/>
                      <w:u w:val="none"/>
                    </w:rPr>
                    <w:t>食用植物油</w:t>
                  </w:r>
                </w:p>
              </w:tc>
              <w:tc>
                <w:tcPr>
                  <w:tcW w:w="1118" w:type="pct"/>
                  <w:vAlign w:val="center"/>
                </w:tcPr>
                <w:p>
                  <w:pPr>
                    <w:keepNext w:val="0"/>
                    <w:keepLines w:val="0"/>
                    <w:widowControl/>
                    <w:suppressLineNumbers w:val="0"/>
                    <w:jc w:val="center"/>
                    <w:textAlignment w:val="center"/>
                    <w:rPr>
                      <w:rFonts w:hint="eastAsia"/>
                      <w:color w:val="auto"/>
                      <w:sz w:val="22"/>
                      <w:szCs w:val="22"/>
                      <w:u w:val="none"/>
                    </w:rPr>
                  </w:pPr>
                  <w:r>
                    <w:rPr>
                      <w:rFonts w:hint="default" w:ascii="Times New Roman" w:hAnsi="Times New Roman" w:eastAsia="宋体" w:cs="Times New Roman"/>
                      <w:i w:val="0"/>
                      <w:iCs w:val="0"/>
                      <w:color w:val="auto"/>
                      <w:kern w:val="0"/>
                      <w:sz w:val="21"/>
                      <w:szCs w:val="21"/>
                      <w:u w:val="none"/>
                      <w:lang w:val="en-US" w:eastAsia="zh-CN" w:bidi="ar"/>
                    </w:rPr>
                    <w:t xml:space="preserve">162 </w:t>
                  </w:r>
                </w:p>
              </w:tc>
              <w:tc>
                <w:tcPr>
                  <w:tcW w:w="977"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rFonts w:hint="eastAsia"/>
                      <w:color w:val="auto"/>
                      <w:kern w:val="0"/>
                      <w:szCs w:val="21"/>
                      <w:u w:val="none"/>
                    </w:rPr>
                  </w:pPr>
                  <w:r>
                    <w:rPr>
                      <w:rFonts w:hint="eastAsia"/>
                      <w:color w:val="auto"/>
                      <w:kern w:val="0"/>
                      <w:szCs w:val="21"/>
                      <w:u w:val="none"/>
                    </w:rPr>
                    <w:t>生产用水</w:t>
                  </w:r>
                </w:p>
              </w:tc>
              <w:tc>
                <w:tcPr>
                  <w:tcW w:w="1118" w:type="pct"/>
                  <w:vAlign w:val="center"/>
                </w:tcPr>
                <w:p>
                  <w:pPr>
                    <w:widowControl/>
                    <w:jc w:val="center"/>
                    <w:rPr>
                      <w:rFonts w:hint="eastAsia"/>
                      <w:color w:val="auto"/>
                      <w:sz w:val="22"/>
                      <w:szCs w:val="22"/>
                      <w:u w:val="none"/>
                    </w:rPr>
                  </w:pPr>
                  <w:r>
                    <w:rPr>
                      <w:rFonts w:hint="eastAsia"/>
                      <w:color w:val="auto"/>
                      <w:sz w:val="22"/>
                      <w:szCs w:val="22"/>
                      <w:u w:val="none"/>
                    </w:rPr>
                    <w:t>8800</w:t>
                  </w:r>
                </w:p>
              </w:tc>
              <w:tc>
                <w:tcPr>
                  <w:tcW w:w="977"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rFonts w:hint="eastAsia" w:eastAsia="宋体"/>
                      <w:color w:val="auto"/>
                      <w:kern w:val="0"/>
                      <w:szCs w:val="21"/>
                      <w:u w:val="none"/>
                      <w:lang w:val="en-US" w:eastAsia="zh-CN"/>
                    </w:rPr>
                  </w:pPr>
                  <w:r>
                    <w:rPr>
                      <w:rFonts w:hint="eastAsia"/>
                      <w:color w:val="auto"/>
                      <w:kern w:val="0"/>
                      <w:szCs w:val="21"/>
                      <w:highlight w:val="none"/>
                      <w:u w:val="none"/>
                      <w:lang w:val="en-US" w:eastAsia="zh-CN"/>
                    </w:rPr>
                    <w:t>蒸煮用蒸汽</w:t>
                  </w:r>
                </w:p>
              </w:tc>
              <w:tc>
                <w:tcPr>
                  <w:tcW w:w="1118" w:type="pct"/>
                  <w:vAlign w:val="center"/>
                </w:tcPr>
                <w:p>
                  <w:pPr>
                    <w:widowControl/>
                    <w:jc w:val="center"/>
                    <w:rPr>
                      <w:rFonts w:hint="default" w:eastAsia="宋体"/>
                      <w:color w:val="auto"/>
                      <w:sz w:val="22"/>
                      <w:szCs w:val="22"/>
                      <w:u w:val="none"/>
                      <w:lang w:val="en-US" w:eastAsia="zh-CN"/>
                    </w:rPr>
                  </w:pPr>
                  <w:r>
                    <w:rPr>
                      <w:rFonts w:hint="eastAsia"/>
                      <w:color w:val="auto"/>
                      <w:sz w:val="22"/>
                      <w:szCs w:val="22"/>
                      <w:u w:val="none"/>
                      <w:lang w:val="en-US" w:eastAsia="zh-CN"/>
                    </w:rPr>
                    <w:t>1225</w:t>
                  </w:r>
                </w:p>
              </w:tc>
              <w:tc>
                <w:tcPr>
                  <w:tcW w:w="977" w:type="pct"/>
                  <w:vAlign w:val="center"/>
                </w:tcPr>
                <w:p>
                  <w:pPr>
                    <w:jc w:val="center"/>
                    <w:rPr>
                      <w:color w:val="auto"/>
                      <w:szCs w:val="21"/>
                      <w:u w:val="none"/>
                    </w:rPr>
                  </w:pPr>
                </w:p>
              </w:tc>
              <w:tc>
                <w:tcPr>
                  <w:tcW w:w="1291" w:type="pct"/>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kern w:val="0"/>
                      <w:szCs w:val="21"/>
                      <w:u w:val="none"/>
                    </w:rPr>
                    <w:t>合计</w:t>
                  </w:r>
                </w:p>
              </w:tc>
              <w:tc>
                <w:tcPr>
                  <w:tcW w:w="1118" w:type="pct"/>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11127</w:t>
                  </w:r>
                </w:p>
              </w:tc>
              <w:tc>
                <w:tcPr>
                  <w:tcW w:w="977" w:type="pct"/>
                  <w:vAlign w:val="center"/>
                </w:tcPr>
                <w:p>
                  <w:pPr>
                    <w:jc w:val="center"/>
                    <w:rPr>
                      <w:color w:val="auto"/>
                      <w:szCs w:val="21"/>
                      <w:u w:val="none"/>
                    </w:rPr>
                  </w:pPr>
                  <w:r>
                    <w:rPr>
                      <w:rFonts w:hint="eastAsia"/>
                      <w:color w:val="auto"/>
                      <w:szCs w:val="21"/>
                      <w:u w:val="none"/>
                    </w:rPr>
                    <w:t>合计</w:t>
                  </w:r>
                </w:p>
              </w:tc>
              <w:tc>
                <w:tcPr>
                  <w:tcW w:w="1291" w:type="pct"/>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11127</w:t>
                  </w:r>
                </w:p>
              </w:tc>
            </w:tr>
          </w:tbl>
          <w:p>
            <w:pPr>
              <w:spacing w:line="360" w:lineRule="auto"/>
              <w:ind w:firstLine="432" w:firstLineChars="180"/>
              <w:rPr>
                <w:rFonts w:hint="eastAsia"/>
                <w:color w:val="auto"/>
                <w:sz w:val="24"/>
                <w:u w:val="none"/>
              </w:rPr>
            </w:pPr>
          </w:p>
          <w:p>
            <w:pPr>
              <w:spacing w:line="360" w:lineRule="auto"/>
              <w:ind w:firstLine="432" w:firstLineChars="180"/>
              <w:rPr>
                <w:rFonts w:hint="eastAsia"/>
                <w:color w:val="auto"/>
                <w:sz w:val="24"/>
                <w:u w:val="none"/>
              </w:rPr>
            </w:pPr>
          </w:p>
          <w:p>
            <w:pPr>
              <w:spacing w:line="360" w:lineRule="auto"/>
              <w:ind w:firstLine="432" w:firstLineChars="180"/>
              <w:rPr>
                <w:rFonts w:hint="eastAsia"/>
                <w:color w:val="auto"/>
                <w:sz w:val="24"/>
                <w:u w:val="none"/>
              </w:rPr>
            </w:pPr>
          </w:p>
          <w:p>
            <w:pPr>
              <w:spacing w:line="360" w:lineRule="auto"/>
              <w:ind w:firstLine="432" w:firstLineChars="180"/>
              <w:rPr>
                <w:rFonts w:hint="eastAsia"/>
                <w:color w:val="auto"/>
                <w:sz w:val="24"/>
                <w:u w:val="none"/>
              </w:rPr>
            </w:pPr>
          </w:p>
          <w:p>
            <w:pPr>
              <w:spacing w:line="360" w:lineRule="auto"/>
              <w:ind w:firstLine="432" w:firstLineChars="180"/>
              <w:rPr>
                <w:color w:val="auto"/>
                <w:sz w:val="24"/>
                <w:u w:val="none"/>
              </w:rPr>
            </w:pPr>
            <w:r>
              <w:rPr>
                <w:rFonts w:hint="eastAsia"/>
                <w:color w:val="auto"/>
                <w:sz w:val="24"/>
                <w:u w:val="none"/>
              </w:rPr>
              <w:t>（</w:t>
            </w:r>
            <w:r>
              <w:rPr>
                <w:rFonts w:hint="eastAsia"/>
                <w:color w:val="auto"/>
                <w:sz w:val="24"/>
                <w:u w:val="none"/>
                <w:lang w:val="en-US" w:eastAsia="zh-CN"/>
              </w:rPr>
              <w:t>5</w:t>
            </w:r>
            <w:r>
              <w:rPr>
                <w:rFonts w:hint="eastAsia"/>
                <w:color w:val="auto"/>
                <w:sz w:val="24"/>
                <w:u w:val="none"/>
              </w:rPr>
              <w:t>）下饭菜生产物料平衡</w:t>
            </w:r>
          </w:p>
          <w:p>
            <w:pPr>
              <w:spacing w:line="360" w:lineRule="auto"/>
              <w:jc w:val="center"/>
              <w:rPr>
                <w:rFonts w:hint="eastAsia"/>
                <w:b/>
                <w:bCs/>
                <w:color w:val="auto"/>
                <w:sz w:val="24"/>
                <w:u w:val="none"/>
              </w:rPr>
            </w:pPr>
            <w:r>
              <w:rPr>
                <w:rFonts w:hint="eastAsia"/>
                <w:b/>
                <w:bCs/>
                <w:color w:val="auto"/>
                <w:sz w:val="24"/>
                <w:u w:val="none"/>
              </w:rPr>
              <w:t>表2.4-7 下饭菜生产物料平衡表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4"/>
              <w:gridCol w:w="1645"/>
              <w:gridCol w:w="1873"/>
              <w:gridCol w:w="1637"/>
              <w:gridCol w:w="2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restart"/>
                  <w:vAlign w:val="center"/>
                </w:tcPr>
                <w:p>
                  <w:pPr>
                    <w:jc w:val="center"/>
                    <w:rPr>
                      <w:b/>
                      <w:color w:val="auto"/>
                      <w:szCs w:val="21"/>
                      <w:u w:val="none"/>
                    </w:rPr>
                  </w:pPr>
                  <w:r>
                    <w:rPr>
                      <w:rFonts w:hint="eastAsia"/>
                      <w:b/>
                      <w:color w:val="auto"/>
                      <w:szCs w:val="21"/>
                      <w:u w:val="none"/>
                    </w:rPr>
                    <w:t>产品</w:t>
                  </w:r>
                </w:p>
              </w:tc>
              <w:tc>
                <w:tcPr>
                  <w:tcW w:w="2100" w:type="pct"/>
                  <w:gridSpan w:val="2"/>
                  <w:vAlign w:val="center"/>
                </w:tcPr>
                <w:p>
                  <w:pPr>
                    <w:jc w:val="center"/>
                    <w:rPr>
                      <w:b/>
                      <w:color w:val="auto"/>
                      <w:szCs w:val="21"/>
                      <w:u w:val="none"/>
                    </w:rPr>
                  </w:pPr>
                  <w:r>
                    <w:rPr>
                      <w:rFonts w:hint="eastAsia"/>
                      <w:b/>
                      <w:color w:val="auto"/>
                      <w:szCs w:val="21"/>
                      <w:u w:val="none"/>
                    </w:rPr>
                    <w:t>输入</w:t>
                  </w:r>
                </w:p>
              </w:tc>
              <w:tc>
                <w:tcPr>
                  <w:tcW w:w="2269" w:type="pct"/>
                  <w:gridSpan w:val="2"/>
                  <w:vAlign w:val="center"/>
                </w:tcPr>
                <w:p>
                  <w:pPr>
                    <w:jc w:val="center"/>
                    <w:rPr>
                      <w:b/>
                      <w:color w:val="auto"/>
                      <w:szCs w:val="21"/>
                      <w:u w:val="none"/>
                    </w:rPr>
                  </w:pPr>
                  <w:r>
                    <w:rPr>
                      <w:rFonts w:hint="eastAsia"/>
                      <w:b/>
                      <w:color w:val="auto"/>
                      <w:szCs w:val="21"/>
                      <w:u w:val="none"/>
                    </w:rPr>
                    <w:t>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rFonts w:hint="eastAsia"/>
                      <w:b/>
                      <w:color w:val="auto"/>
                      <w:szCs w:val="21"/>
                      <w:u w:val="none"/>
                    </w:rPr>
                  </w:pPr>
                </w:p>
              </w:tc>
              <w:tc>
                <w:tcPr>
                  <w:tcW w:w="982" w:type="pct"/>
                  <w:vAlign w:val="center"/>
                </w:tcPr>
                <w:p>
                  <w:pPr>
                    <w:jc w:val="center"/>
                    <w:rPr>
                      <w:rFonts w:hint="eastAsia"/>
                      <w:b/>
                      <w:color w:val="auto"/>
                      <w:szCs w:val="21"/>
                      <w:u w:val="none"/>
                    </w:rPr>
                  </w:pPr>
                  <w:r>
                    <w:rPr>
                      <w:rFonts w:hint="eastAsia"/>
                      <w:b/>
                      <w:color w:val="auto"/>
                      <w:szCs w:val="21"/>
                      <w:u w:val="none"/>
                    </w:rPr>
                    <w:t>原料</w:t>
                  </w:r>
                  <w:r>
                    <w:rPr>
                      <w:b/>
                      <w:color w:val="auto"/>
                      <w:szCs w:val="21"/>
                      <w:u w:val="none"/>
                    </w:rPr>
                    <w:t>名称</w:t>
                  </w:r>
                </w:p>
              </w:tc>
              <w:tc>
                <w:tcPr>
                  <w:tcW w:w="1118" w:type="pct"/>
                  <w:vAlign w:val="center"/>
                </w:tcPr>
                <w:p>
                  <w:pPr>
                    <w:jc w:val="center"/>
                    <w:rPr>
                      <w:b/>
                      <w:color w:val="auto"/>
                      <w:szCs w:val="21"/>
                      <w:u w:val="none"/>
                    </w:rPr>
                  </w:pPr>
                  <w:r>
                    <w:rPr>
                      <w:rFonts w:hint="eastAsia"/>
                      <w:b/>
                      <w:color w:val="auto"/>
                      <w:szCs w:val="21"/>
                      <w:u w:val="none"/>
                    </w:rPr>
                    <w:t>年用量（t/a）</w:t>
                  </w:r>
                </w:p>
              </w:tc>
              <w:tc>
                <w:tcPr>
                  <w:tcW w:w="977" w:type="pct"/>
                  <w:vAlign w:val="center"/>
                </w:tcPr>
                <w:p>
                  <w:pPr>
                    <w:jc w:val="center"/>
                    <w:rPr>
                      <w:rFonts w:hint="eastAsia"/>
                      <w:b/>
                      <w:color w:val="auto"/>
                      <w:szCs w:val="21"/>
                      <w:u w:val="none"/>
                    </w:rPr>
                  </w:pPr>
                  <w:r>
                    <w:rPr>
                      <w:rFonts w:hint="eastAsia"/>
                      <w:b/>
                      <w:color w:val="auto"/>
                      <w:szCs w:val="21"/>
                      <w:u w:val="none"/>
                    </w:rPr>
                    <w:t>名称</w:t>
                  </w:r>
                </w:p>
              </w:tc>
              <w:tc>
                <w:tcPr>
                  <w:tcW w:w="1291" w:type="pct"/>
                  <w:vAlign w:val="center"/>
                </w:tcPr>
                <w:p>
                  <w:pPr>
                    <w:jc w:val="center"/>
                    <w:rPr>
                      <w:rFonts w:hint="eastAsia"/>
                      <w:b/>
                      <w:color w:val="auto"/>
                      <w:szCs w:val="21"/>
                      <w:u w:val="none"/>
                    </w:rPr>
                  </w:pPr>
                  <w:r>
                    <w:rPr>
                      <w:rFonts w:hint="eastAsia"/>
                      <w:b/>
                      <w:color w:val="auto"/>
                      <w:szCs w:val="21"/>
                      <w:u w:val="none"/>
                    </w:rPr>
                    <w:t>产生量（t/a）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restart"/>
                  <w:vAlign w:val="center"/>
                </w:tcPr>
                <w:p>
                  <w:pPr>
                    <w:jc w:val="center"/>
                    <w:rPr>
                      <w:color w:val="auto"/>
                      <w:szCs w:val="21"/>
                      <w:u w:val="none"/>
                    </w:rPr>
                  </w:pPr>
                  <w:r>
                    <w:rPr>
                      <w:rFonts w:hint="eastAsia"/>
                      <w:color w:val="auto"/>
                      <w:szCs w:val="21"/>
                      <w:u w:val="none"/>
                    </w:rPr>
                    <w:t>下饭菜</w:t>
                  </w:r>
                </w:p>
              </w:tc>
              <w:tc>
                <w:tcPr>
                  <w:tcW w:w="98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半成品腌制菜</w:t>
                  </w:r>
                </w:p>
              </w:tc>
              <w:tc>
                <w:tcPr>
                  <w:tcW w:w="111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278</w:t>
                  </w:r>
                </w:p>
              </w:tc>
              <w:tc>
                <w:tcPr>
                  <w:tcW w:w="977"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下饭菜</w:t>
                  </w:r>
                </w:p>
              </w:tc>
              <w:tc>
                <w:tcPr>
                  <w:tcW w:w="1291"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半成品腌制辣椒</w:t>
                  </w:r>
                </w:p>
              </w:tc>
              <w:tc>
                <w:tcPr>
                  <w:tcW w:w="111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185</w:t>
                  </w:r>
                </w:p>
              </w:tc>
              <w:tc>
                <w:tcPr>
                  <w:tcW w:w="977"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不合格原料</w:t>
                  </w:r>
                </w:p>
              </w:tc>
              <w:tc>
                <w:tcPr>
                  <w:tcW w:w="1291"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生姜</w:t>
                  </w:r>
                </w:p>
              </w:tc>
              <w:tc>
                <w:tcPr>
                  <w:tcW w:w="111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19</w:t>
                  </w:r>
                </w:p>
              </w:tc>
              <w:tc>
                <w:tcPr>
                  <w:tcW w:w="977"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不合格产品</w:t>
                  </w:r>
                </w:p>
              </w:tc>
              <w:tc>
                <w:tcPr>
                  <w:tcW w:w="1291"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大蒜</w:t>
                  </w:r>
                </w:p>
              </w:tc>
              <w:tc>
                <w:tcPr>
                  <w:tcW w:w="111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19</w:t>
                  </w:r>
                </w:p>
              </w:tc>
              <w:tc>
                <w:tcPr>
                  <w:tcW w:w="977"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废水</w:t>
                  </w:r>
                </w:p>
              </w:tc>
              <w:tc>
                <w:tcPr>
                  <w:tcW w:w="1291" w:type="pct"/>
                  <w:vAlign w:val="center"/>
                </w:tcPr>
                <w:p>
                  <w:pPr>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3887.5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食用盐</w:t>
                  </w:r>
                </w:p>
              </w:tc>
              <w:tc>
                <w:tcPr>
                  <w:tcW w:w="111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19</w:t>
                  </w:r>
                </w:p>
              </w:tc>
              <w:tc>
                <w:tcPr>
                  <w:tcW w:w="977"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蒸发损耗水</w:t>
                  </w:r>
                </w:p>
              </w:tc>
              <w:tc>
                <w:tcPr>
                  <w:tcW w:w="1291" w:type="pct"/>
                  <w:shd w:val="clear" w:color="auto" w:fill="auto"/>
                  <w:vAlign w:val="center"/>
                </w:tcPr>
                <w:p>
                  <w:pPr>
                    <w:jc w:val="center"/>
                    <w:rPr>
                      <w:rFonts w:hint="eastAsia"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2487.5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味精</w:t>
                  </w:r>
                </w:p>
              </w:tc>
              <w:tc>
                <w:tcPr>
                  <w:tcW w:w="111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9</w:t>
                  </w:r>
                </w:p>
              </w:tc>
              <w:tc>
                <w:tcPr>
                  <w:tcW w:w="977" w:type="pct"/>
                  <w:vAlign w:val="center"/>
                </w:tcPr>
                <w:p>
                  <w:pPr>
                    <w:jc w:val="center"/>
                    <w:rPr>
                      <w:rFonts w:hint="eastAsia" w:ascii="Times New Roman" w:hAnsi="Times New Roman" w:eastAsia="宋体" w:cs="Times New Roman"/>
                      <w:color w:val="auto"/>
                      <w:szCs w:val="21"/>
                      <w:u w:val="none"/>
                    </w:rPr>
                  </w:pPr>
                </w:p>
              </w:tc>
              <w:tc>
                <w:tcPr>
                  <w:tcW w:w="1291" w:type="pct"/>
                  <w:vAlign w:val="center"/>
                </w:tcPr>
                <w:p>
                  <w:pPr>
                    <w:jc w:val="center"/>
                    <w:rPr>
                      <w:rFonts w:hint="eastAsia" w:ascii="Times New Roman" w:hAnsi="Times New Roman" w:eastAsia="宋体" w:cs="Times New Roman"/>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调味料</w:t>
                  </w:r>
                </w:p>
              </w:tc>
              <w:tc>
                <w:tcPr>
                  <w:tcW w:w="111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9</w:t>
                  </w:r>
                </w:p>
              </w:tc>
              <w:tc>
                <w:tcPr>
                  <w:tcW w:w="977" w:type="pct"/>
                  <w:vAlign w:val="center"/>
                </w:tcPr>
                <w:p>
                  <w:pPr>
                    <w:jc w:val="center"/>
                    <w:rPr>
                      <w:rFonts w:hint="eastAsia" w:ascii="Times New Roman" w:hAnsi="Times New Roman" w:eastAsia="宋体" w:cs="Times New Roman"/>
                      <w:color w:val="auto"/>
                      <w:szCs w:val="21"/>
                      <w:u w:val="none"/>
                    </w:rPr>
                  </w:pPr>
                </w:p>
              </w:tc>
              <w:tc>
                <w:tcPr>
                  <w:tcW w:w="1291" w:type="pct"/>
                  <w:vAlign w:val="center"/>
                </w:tcPr>
                <w:p>
                  <w:pPr>
                    <w:jc w:val="center"/>
                    <w:rPr>
                      <w:rFonts w:hint="eastAsia" w:ascii="Times New Roman" w:hAnsi="Times New Roman" w:eastAsia="宋体" w:cs="Times New Roman"/>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添加剂</w:t>
                  </w:r>
                </w:p>
              </w:tc>
              <w:tc>
                <w:tcPr>
                  <w:tcW w:w="111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0.4</w:t>
                  </w:r>
                </w:p>
              </w:tc>
              <w:tc>
                <w:tcPr>
                  <w:tcW w:w="977" w:type="pct"/>
                  <w:vAlign w:val="center"/>
                </w:tcPr>
                <w:p>
                  <w:pPr>
                    <w:jc w:val="center"/>
                    <w:rPr>
                      <w:rFonts w:hint="eastAsia" w:ascii="Times New Roman" w:hAnsi="Times New Roman" w:eastAsia="宋体" w:cs="Times New Roman"/>
                      <w:color w:val="auto"/>
                      <w:szCs w:val="21"/>
                      <w:u w:val="none"/>
                    </w:rPr>
                  </w:pPr>
                </w:p>
              </w:tc>
              <w:tc>
                <w:tcPr>
                  <w:tcW w:w="1291" w:type="pct"/>
                  <w:vAlign w:val="center"/>
                </w:tcPr>
                <w:p>
                  <w:pPr>
                    <w:jc w:val="center"/>
                    <w:rPr>
                      <w:rFonts w:hint="eastAsia" w:ascii="Times New Roman" w:hAnsi="Times New Roman" w:eastAsia="宋体" w:cs="Times New Roman"/>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食用油</w:t>
                  </w:r>
                </w:p>
              </w:tc>
              <w:tc>
                <w:tcPr>
                  <w:tcW w:w="111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93</w:t>
                  </w:r>
                </w:p>
              </w:tc>
              <w:tc>
                <w:tcPr>
                  <w:tcW w:w="977" w:type="pct"/>
                  <w:vAlign w:val="center"/>
                </w:tcPr>
                <w:p>
                  <w:pPr>
                    <w:jc w:val="center"/>
                    <w:rPr>
                      <w:rFonts w:hint="eastAsia" w:ascii="Times New Roman" w:hAnsi="Times New Roman" w:eastAsia="宋体" w:cs="Times New Roman"/>
                      <w:color w:val="auto"/>
                      <w:szCs w:val="21"/>
                      <w:u w:val="none"/>
                    </w:rPr>
                  </w:pPr>
                </w:p>
              </w:tc>
              <w:tc>
                <w:tcPr>
                  <w:tcW w:w="1291" w:type="pct"/>
                  <w:vAlign w:val="center"/>
                </w:tcPr>
                <w:p>
                  <w:pPr>
                    <w:jc w:val="center"/>
                    <w:rPr>
                      <w:rFonts w:hint="eastAsia" w:ascii="Times New Roman" w:hAnsi="Times New Roman" w:eastAsia="宋体" w:cs="Times New Roman"/>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肉制品（鸡肉、牛肉、小鱼仔）</w:t>
                  </w:r>
                </w:p>
              </w:tc>
              <w:tc>
                <w:tcPr>
                  <w:tcW w:w="1118" w:type="pct"/>
                  <w:vAlign w:val="center"/>
                </w:tcPr>
                <w:p>
                  <w:pPr>
                    <w:jc w:val="center"/>
                    <w:rPr>
                      <w:rFonts w:hint="eastAsia"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70</w:t>
                  </w:r>
                </w:p>
              </w:tc>
              <w:tc>
                <w:tcPr>
                  <w:tcW w:w="977" w:type="pct"/>
                  <w:vAlign w:val="center"/>
                </w:tcPr>
                <w:p>
                  <w:pPr>
                    <w:jc w:val="center"/>
                    <w:rPr>
                      <w:rFonts w:hint="eastAsia" w:ascii="Times New Roman" w:hAnsi="Times New Roman" w:eastAsia="宋体" w:cs="Times New Roman"/>
                      <w:color w:val="auto"/>
                      <w:szCs w:val="21"/>
                      <w:u w:val="none"/>
                    </w:rPr>
                  </w:pPr>
                </w:p>
              </w:tc>
              <w:tc>
                <w:tcPr>
                  <w:tcW w:w="1291" w:type="pct"/>
                  <w:vAlign w:val="center"/>
                </w:tcPr>
                <w:p>
                  <w:pPr>
                    <w:jc w:val="center"/>
                    <w:rPr>
                      <w:rFonts w:hint="eastAsia" w:ascii="Times New Roman" w:hAnsi="Times New Roman" w:eastAsia="宋体" w:cs="Times New Roman"/>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生产用水</w:t>
                  </w:r>
                </w:p>
              </w:tc>
              <w:tc>
                <w:tcPr>
                  <w:tcW w:w="1118" w:type="pct"/>
                  <w:vAlign w:val="center"/>
                </w:tcPr>
                <w:p>
                  <w:pPr>
                    <w:jc w:val="center"/>
                    <w:rPr>
                      <w:rFonts w:hint="eastAsia" w:ascii="Times New Roman" w:hAnsi="Times New Roman" w:eastAsia="宋体" w:cs="Times New Roman"/>
                      <w:color w:val="auto"/>
                      <w:szCs w:val="21"/>
                      <w:u w:val="none"/>
                    </w:rPr>
                  </w:pPr>
                  <w:r>
                    <w:rPr>
                      <w:rFonts w:hint="eastAsia" w:ascii="Times New Roman" w:hAnsi="Times New Roman" w:eastAsia="宋体" w:cs="Times New Roman"/>
                      <w:color w:val="auto"/>
                      <w:szCs w:val="21"/>
                      <w:u w:val="none"/>
                    </w:rPr>
                    <w:t>5600</w:t>
                  </w:r>
                </w:p>
              </w:tc>
              <w:tc>
                <w:tcPr>
                  <w:tcW w:w="977" w:type="pct"/>
                  <w:vAlign w:val="center"/>
                </w:tcPr>
                <w:p>
                  <w:pPr>
                    <w:jc w:val="center"/>
                    <w:rPr>
                      <w:rFonts w:hint="eastAsia" w:ascii="Times New Roman" w:hAnsi="Times New Roman" w:eastAsia="宋体" w:cs="Times New Roman"/>
                      <w:color w:val="auto"/>
                      <w:szCs w:val="21"/>
                      <w:u w:val="none"/>
                    </w:rPr>
                  </w:pPr>
                </w:p>
              </w:tc>
              <w:tc>
                <w:tcPr>
                  <w:tcW w:w="1291" w:type="pct"/>
                  <w:vAlign w:val="center"/>
                </w:tcPr>
                <w:p>
                  <w:pPr>
                    <w:jc w:val="center"/>
                    <w:rPr>
                      <w:rFonts w:hint="eastAsia" w:ascii="Times New Roman" w:hAnsi="Times New Roman" w:eastAsia="宋体" w:cs="Times New Roman"/>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蒸煮用蒸汽</w:t>
                  </w:r>
                </w:p>
              </w:tc>
              <w:tc>
                <w:tcPr>
                  <w:tcW w:w="1118" w:type="pct"/>
                  <w:vAlign w:val="center"/>
                </w:tcPr>
                <w:p>
                  <w:pPr>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775</w:t>
                  </w:r>
                </w:p>
              </w:tc>
              <w:tc>
                <w:tcPr>
                  <w:tcW w:w="977" w:type="pct"/>
                  <w:vAlign w:val="center"/>
                </w:tcPr>
                <w:p>
                  <w:pPr>
                    <w:jc w:val="center"/>
                    <w:rPr>
                      <w:rFonts w:hint="eastAsia" w:ascii="Times New Roman" w:hAnsi="Times New Roman" w:eastAsia="宋体" w:cs="Times New Roman"/>
                      <w:color w:val="auto"/>
                      <w:szCs w:val="21"/>
                      <w:u w:val="none"/>
                    </w:rPr>
                  </w:pPr>
                </w:p>
              </w:tc>
              <w:tc>
                <w:tcPr>
                  <w:tcW w:w="1291" w:type="pct"/>
                  <w:vAlign w:val="center"/>
                </w:tcPr>
                <w:p>
                  <w:pPr>
                    <w:jc w:val="center"/>
                    <w:rPr>
                      <w:rFonts w:hint="eastAsia" w:ascii="Times New Roman" w:hAnsi="Times New Roman" w:eastAsia="宋体" w:cs="Times New Roman"/>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kern w:val="0"/>
                      <w:szCs w:val="21"/>
                      <w:u w:val="none"/>
                    </w:rPr>
                    <w:t>合计</w:t>
                  </w:r>
                </w:p>
              </w:tc>
              <w:tc>
                <w:tcPr>
                  <w:tcW w:w="1118" w:type="pct"/>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7076.4</w:t>
                  </w:r>
                </w:p>
              </w:tc>
              <w:tc>
                <w:tcPr>
                  <w:tcW w:w="977" w:type="pct"/>
                  <w:vAlign w:val="center"/>
                </w:tcPr>
                <w:p>
                  <w:pPr>
                    <w:jc w:val="center"/>
                    <w:rPr>
                      <w:color w:val="auto"/>
                      <w:szCs w:val="21"/>
                      <w:u w:val="none"/>
                    </w:rPr>
                  </w:pPr>
                  <w:r>
                    <w:rPr>
                      <w:rFonts w:hint="eastAsia"/>
                      <w:color w:val="auto"/>
                      <w:szCs w:val="21"/>
                      <w:u w:val="none"/>
                    </w:rPr>
                    <w:t>合计</w:t>
                  </w:r>
                </w:p>
              </w:tc>
              <w:tc>
                <w:tcPr>
                  <w:tcW w:w="1291" w:type="pct"/>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7076.4</w:t>
                  </w:r>
                </w:p>
              </w:tc>
            </w:tr>
          </w:tbl>
          <w:p>
            <w:pPr>
              <w:spacing w:line="360" w:lineRule="auto"/>
              <w:ind w:firstLine="432" w:firstLineChars="180"/>
              <w:rPr>
                <w:color w:val="auto"/>
                <w:sz w:val="24"/>
                <w:u w:val="none"/>
              </w:rPr>
            </w:pPr>
            <w:r>
              <w:rPr>
                <w:rFonts w:hint="eastAsia"/>
                <w:color w:val="auto"/>
                <w:sz w:val="24"/>
                <w:u w:val="none"/>
              </w:rPr>
              <w:t>（</w:t>
            </w:r>
            <w:r>
              <w:rPr>
                <w:rFonts w:hint="eastAsia"/>
                <w:color w:val="auto"/>
                <w:sz w:val="24"/>
                <w:u w:val="none"/>
                <w:lang w:val="en-US" w:eastAsia="zh-CN"/>
              </w:rPr>
              <w:t>6</w:t>
            </w:r>
            <w:r>
              <w:rPr>
                <w:rFonts w:hint="eastAsia"/>
                <w:color w:val="auto"/>
                <w:sz w:val="24"/>
                <w:u w:val="none"/>
              </w:rPr>
              <w:t>）分装食用油生产物料平衡</w:t>
            </w:r>
          </w:p>
          <w:p>
            <w:pPr>
              <w:spacing w:line="360" w:lineRule="auto"/>
              <w:jc w:val="center"/>
              <w:rPr>
                <w:rFonts w:hint="eastAsia"/>
                <w:b/>
                <w:bCs/>
                <w:color w:val="auto"/>
                <w:sz w:val="24"/>
                <w:u w:val="none"/>
              </w:rPr>
            </w:pPr>
            <w:r>
              <w:rPr>
                <w:rFonts w:hint="eastAsia"/>
                <w:b/>
                <w:bCs/>
                <w:color w:val="auto"/>
                <w:sz w:val="24"/>
                <w:u w:val="none"/>
              </w:rPr>
              <w:t>表2.4-8 分装食用油生产物料平衡表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1645"/>
              <w:gridCol w:w="1874"/>
              <w:gridCol w:w="1638"/>
              <w:gridCol w:w="2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restart"/>
                  <w:vAlign w:val="center"/>
                </w:tcPr>
                <w:p>
                  <w:pPr>
                    <w:jc w:val="center"/>
                    <w:rPr>
                      <w:b/>
                      <w:color w:val="auto"/>
                      <w:szCs w:val="21"/>
                      <w:u w:val="none"/>
                    </w:rPr>
                  </w:pPr>
                  <w:r>
                    <w:rPr>
                      <w:rFonts w:hint="eastAsia"/>
                      <w:b/>
                      <w:color w:val="auto"/>
                      <w:szCs w:val="21"/>
                      <w:u w:val="none"/>
                    </w:rPr>
                    <w:t>产品</w:t>
                  </w:r>
                </w:p>
              </w:tc>
              <w:tc>
                <w:tcPr>
                  <w:tcW w:w="2101" w:type="pct"/>
                  <w:gridSpan w:val="2"/>
                  <w:vAlign w:val="center"/>
                </w:tcPr>
                <w:p>
                  <w:pPr>
                    <w:jc w:val="center"/>
                    <w:rPr>
                      <w:b/>
                      <w:color w:val="auto"/>
                      <w:szCs w:val="21"/>
                      <w:u w:val="none"/>
                    </w:rPr>
                  </w:pPr>
                  <w:r>
                    <w:rPr>
                      <w:rFonts w:hint="eastAsia"/>
                      <w:b/>
                      <w:color w:val="auto"/>
                      <w:szCs w:val="21"/>
                      <w:u w:val="none"/>
                    </w:rPr>
                    <w:t>输入</w:t>
                  </w:r>
                </w:p>
              </w:tc>
              <w:tc>
                <w:tcPr>
                  <w:tcW w:w="2269" w:type="pct"/>
                  <w:gridSpan w:val="2"/>
                  <w:vAlign w:val="center"/>
                </w:tcPr>
                <w:p>
                  <w:pPr>
                    <w:jc w:val="center"/>
                    <w:rPr>
                      <w:b/>
                      <w:color w:val="auto"/>
                      <w:szCs w:val="21"/>
                      <w:u w:val="none"/>
                    </w:rPr>
                  </w:pPr>
                  <w:r>
                    <w:rPr>
                      <w:rFonts w:hint="eastAsia"/>
                      <w:b/>
                      <w:color w:val="auto"/>
                      <w:szCs w:val="21"/>
                      <w:u w:val="none"/>
                    </w:rPr>
                    <w:t>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rFonts w:hint="eastAsia"/>
                      <w:b/>
                      <w:color w:val="auto"/>
                      <w:szCs w:val="21"/>
                      <w:u w:val="none"/>
                    </w:rPr>
                  </w:pPr>
                </w:p>
              </w:tc>
              <w:tc>
                <w:tcPr>
                  <w:tcW w:w="982" w:type="pct"/>
                  <w:vAlign w:val="center"/>
                </w:tcPr>
                <w:p>
                  <w:pPr>
                    <w:jc w:val="center"/>
                    <w:rPr>
                      <w:rFonts w:hint="eastAsia"/>
                      <w:b/>
                      <w:color w:val="auto"/>
                      <w:szCs w:val="21"/>
                      <w:u w:val="none"/>
                    </w:rPr>
                  </w:pPr>
                  <w:r>
                    <w:rPr>
                      <w:rFonts w:hint="eastAsia"/>
                      <w:b/>
                      <w:color w:val="auto"/>
                      <w:szCs w:val="21"/>
                      <w:u w:val="none"/>
                    </w:rPr>
                    <w:t>原料</w:t>
                  </w:r>
                  <w:r>
                    <w:rPr>
                      <w:b/>
                      <w:color w:val="auto"/>
                      <w:szCs w:val="21"/>
                      <w:u w:val="none"/>
                    </w:rPr>
                    <w:t>名称</w:t>
                  </w:r>
                </w:p>
              </w:tc>
              <w:tc>
                <w:tcPr>
                  <w:tcW w:w="1119" w:type="pct"/>
                  <w:vAlign w:val="center"/>
                </w:tcPr>
                <w:p>
                  <w:pPr>
                    <w:jc w:val="center"/>
                    <w:rPr>
                      <w:b/>
                      <w:color w:val="auto"/>
                      <w:szCs w:val="21"/>
                      <w:u w:val="none"/>
                    </w:rPr>
                  </w:pPr>
                  <w:r>
                    <w:rPr>
                      <w:rFonts w:hint="eastAsia"/>
                      <w:b/>
                      <w:color w:val="auto"/>
                      <w:szCs w:val="21"/>
                      <w:u w:val="none"/>
                    </w:rPr>
                    <w:t>年用量（t/a）</w:t>
                  </w:r>
                </w:p>
              </w:tc>
              <w:tc>
                <w:tcPr>
                  <w:tcW w:w="978" w:type="pct"/>
                  <w:vAlign w:val="center"/>
                </w:tcPr>
                <w:p>
                  <w:pPr>
                    <w:jc w:val="center"/>
                    <w:rPr>
                      <w:rFonts w:hint="eastAsia"/>
                      <w:b/>
                      <w:color w:val="auto"/>
                      <w:szCs w:val="21"/>
                      <w:u w:val="none"/>
                    </w:rPr>
                  </w:pPr>
                  <w:r>
                    <w:rPr>
                      <w:rFonts w:hint="eastAsia"/>
                      <w:b/>
                      <w:color w:val="auto"/>
                      <w:szCs w:val="21"/>
                      <w:u w:val="none"/>
                    </w:rPr>
                    <w:t>名称</w:t>
                  </w:r>
                </w:p>
              </w:tc>
              <w:tc>
                <w:tcPr>
                  <w:tcW w:w="1291" w:type="pct"/>
                  <w:vAlign w:val="center"/>
                </w:tcPr>
                <w:p>
                  <w:pPr>
                    <w:jc w:val="center"/>
                    <w:rPr>
                      <w:rFonts w:hint="eastAsia"/>
                      <w:b/>
                      <w:color w:val="auto"/>
                      <w:szCs w:val="21"/>
                      <w:u w:val="none"/>
                    </w:rPr>
                  </w:pPr>
                  <w:r>
                    <w:rPr>
                      <w:rFonts w:hint="eastAsia"/>
                      <w:b/>
                      <w:color w:val="auto"/>
                      <w:szCs w:val="21"/>
                      <w:u w:val="none"/>
                    </w:rPr>
                    <w:t>产生量（t/a）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restart"/>
                  <w:vAlign w:val="center"/>
                </w:tcPr>
                <w:p>
                  <w:pPr>
                    <w:jc w:val="center"/>
                    <w:rPr>
                      <w:color w:val="auto"/>
                      <w:szCs w:val="21"/>
                      <w:u w:val="none"/>
                    </w:rPr>
                  </w:pPr>
                  <w:r>
                    <w:rPr>
                      <w:rFonts w:hint="eastAsia"/>
                      <w:color w:val="auto"/>
                      <w:szCs w:val="21"/>
                      <w:u w:val="none"/>
                    </w:rPr>
                    <w:t>分装食用油</w:t>
                  </w:r>
                </w:p>
              </w:tc>
              <w:tc>
                <w:tcPr>
                  <w:tcW w:w="982" w:type="pct"/>
                  <w:vAlign w:val="center"/>
                </w:tcPr>
                <w:p>
                  <w:pPr>
                    <w:widowControl/>
                    <w:jc w:val="center"/>
                    <w:rPr>
                      <w:rFonts w:hint="eastAsia"/>
                      <w:color w:val="auto"/>
                      <w:kern w:val="0"/>
                      <w:szCs w:val="21"/>
                      <w:u w:val="none"/>
                    </w:rPr>
                  </w:pPr>
                  <w:r>
                    <w:rPr>
                      <w:rFonts w:hint="eastAsia"/>
                      <w:color w:val="auto"/>
                      <w:kern w:val="0"/>
                      <w:szCs w:val="21"/>
                      <w:u w:val="none"/>
                    </w:rPr>
                    <w:t>食用植物油</w:t>
                  </w:r>
                </w:p>
              </w:tc>
              <w:tc>
                <w:tcPr>
                  <w:tcW w:w="1119" w:type="pct"/>
                  <w:vAlign w:val="center"/>
                </w:tcPr>
                <w:p>
                  <w:pPr>
                    <w:widowControl/>
                    <w:jc w:val="center"/>
                    <w:rPr>
                      <w:rFonts w:hint="eastAsia"/>
                      <w:color w:val="auto"/>
                      <w:kern w:val="0"/>
                      <w:szCs w:val="21"/>
                      <w:u w:val="none"/>
                    </w:rPr>
                  </w:pPr>
                  <w:r>
                    <w:rPr>
                      <w:rFonts w:hint="eastAsia"/>
                      <w:color w:val="auto"/>
                      <w:kern w:val="0"/>
                      <w:szCs w:val="21"/>
                      <w:u w:val="none"/>
                    </w:rPr>
                    <w:t>7682</w:t>
                  </w:r>
                </w:p>
              </w:tc>
              <w:tc>
                <w:tcPr>
                  <w:tcW w:w="978" w:type="pct"/>
                  <w:vAlign w:val="center"/>
                </w:tcPr>
                <w:p>
                  <w:pPr>
                    <w:jc w:val="center"/>
                    <w:rPr>
                      <w:color w:val="auto"/>
                      <w:szCs w:val="21"/>
                      <w:u w:val="none"/>
                    </w:rPr>
                  </w:pPr>
                  <w:r>
                    <w:rPr>
                      <w:rFonts w:hint="eastAsia"/>
                      <w:color w:val="auto"/>
                      <w:szCs w:val="21"/>
                      <w:u w:val="none"/>
                    </w:rPr>
                    <w:t>分装植物油</w:t>
                  </w:r>
                </w:p>
              </w:tc>
              <w:tc>
                <w:tcPr>
                  <w:tcW w:w="1291" w:type="pct"/>
                  <w:vAlign w:val="center"/>
                </w:tcPr>
                <w:p>
                  <w:pPr>
                    <w:jc w:val="center"/>
                    <w:rPr>
                      <w:rFonts w:hint="eastAsia"/>
                      <w:color w:val="auto"/>
                      <w:szCs w:val="21"/>
                      <w:u w:val="none"/>
                    </w:rPr>
                  </w:pPr>
                  <w:r>
                    <w:rPr>
                      <w:rFonts w:hint="eastAsia"/>
                      <w:color w:val="auto"/>
                      <w:szCs w:val="21"/>
                      <w:u w:val="none"/>
                    </w:rPr>
                    <w:t>7680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p>
              </w:tc>
              <w:tc>
                <w:tcPr>
                  <w:tcW w:w="1119" w:type="pct"/>
                  <w:vAlign w:val="center"/>
                </w:tcPr>
                <w:p>
                  <w:pPr>
                    <w:widowControl/>
                    <w:jc w:val="center"/>
                    <w:rPr>
                      <w:color w:val="auto"/>
                      <w:kern w:val="0"/>
                      <w:szCs w:val="21"/>
                      <w:u w:val="none"/>
                    </w:rPr>
                  </w:pPr>
                </w:p>
              </w:tc>
              <w:tc>
                <w:tcPr>
                  <w:tcW w:w="978" w:type="pct"/>
                  <w:vAlign w:val="center"/>
                </w:tcPr>
                <w:p>
                  <w:pPr>
                    <w:jc w:val="center"/>
                    <w:rPr>
                      <w:rFonts w:hint="eastAsia"/>
                      <w:color w:val="auto"/>
                      <w:szCs w:val="21"/>
                      <w:u w:val="none"/>
                    </w:rPr>
                  </w:pPr>
                  <w:r>
                    <w:rPr>
                      <w:rFonts w:hint="eastAsia"/>
                      <w:color w:val="auto"/>
                      <w:szCs w:val="21"/>
                      <w:u w:val="none"/>
                    </w:rPr>
                    <w:t>清罐废油脂</w:t>
                  </w:r>
                </w:p>
              </w:tc>
              <w:tc>
                <w:tcPr>
                  <w:tcW w:w="1291" w:type="pct"/>
                  <w:vAlign w:val="center"/>
                </w:tcPr>
                <w:p>
                  <w:pPr>
                    <w:jc w:val="center"/>
                    <w:rPr>
                      <w:color w:val="auto"/>
                      <w:szCs w:val="21"/>
                      <w:u w:val="none"/>
                    </w:rPr>
                  </w:pPr>
                  <w:r>
                    <w:rPr>
                      <w:rFonts w:hint="eastAsia"/>
                      <w:color w:val="auto"/>
                      <w:szCs w:val="21"/>
                      <w:u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Merge w:val="continue"/>
                  <w:vAlign w:val="center"/>
                </w:tcPr>
                <w:p>
                  <w:pPr>
                    <w:jc w:val="center"/>
                    <w:rPr>
                      <w:color w:val="auto"/>
                      <w:szCs w:val="21"/>
                      <w:u w:val="none"/>
                    </w:rPr>
                  </w:pPr>
                </w:p>
              </w:tc>
              <w:tc>
                <w:tcPr>
                  <w:tcW w:w="982" w:type="pct"/>
                  <w:vAlign w:val="center"/>
                </w:tcPr>
                <w:p>
                  <w:pPr>
                    <w:widowControl/>
                    <w:jc w:val="center"/>
                    <w:rPr>
                      <w:color w:val="auto"/>
                      <w:kern w:val="0"/>
                      <w:szCs w:val="21"/>
                      <w:u w:val="none"/>
                    </w:rPr>
                  </w:pPr>
                  <w:r>
                    <w:rPr>
                      <w:rFonts w:hint="eastAsia"/>
                      <w:color w:val="auto"/>
                      <w:kern w:val="0"/>
                      <w:szCs w:val="21"/>
                      <w:u w:val="none"/>
                    </w:rPr>
                    <w:t>合计</w:t>
                  </w:r>
                </w:p>
              </w:tc>
              <w:tc>
                <w:tcPr>
                  <w:tcW w:w="1119" w:type="pct"/>
                  <w:vAlign w:val="center"/>
                </w:tcPr>
                <w:p>
                  <w:pPr>
                    <w:widowControl/>
                    <w:jc w:val="center"/>
                    <w:rPr>
                      <w:rFonts w:hint="eastAsia"/>
                      <w:color w:val="auto"/>
                      <w:kern w:val="0"/>
                      <w:szCs w:val="21"/>
                      <w:u w:val="none"/>
                    </w:rPr>
                  </w:pPr>
                  <w:r>
                    <w:rPr>
                      <w:rFonts w:hint="eastAsia"/>
                      <w:color w:val="auto"/>
                      <w:kern w:val="0"/>
                      <w:szCs w:val="21"/>
                      <w:u w:val="none"/>
                    </w:rPr>
                    <w:t>7682</w:t>
                  </w:r>
                </w:p>
              </w:tc>
              <w:tc>
                <w:tcPr>
                  <w:tcW w:w="978" w:type="pct"/>
                  <w:vAlign w:val="center"/>
                </w:tcPr>
                <w:p>
                  <w:pPr>
                    <w:jc w:val="center"/>
                    <w:rPr>
                      <w:color w:val="auto"/>
                      <w:szCs w:val="21"/>
                      <w:u w:val="none"/>
                    </w:rPr>
                  </w:pPr>
                  <w:r>
                    <w:rPr>
                      <w:rFonts w:hint="eastAsia"/>
                      <w:color w:val="auto"/>
                      <w:szCs w:val="21"/>
                      <w:u w:val="none"/>
                    </w:rPr>
                    <w:t>合计</w:t>
                  </w:r>
                </w:p>
              </w:tc>
              <w:tc>
                <w:tcPr>
                  <w:tcW w:w="1291" w:type="pct"/>
                  <w:vAlign w:val="center"/>
                </w:tcPr>
                <w:p>
                  <w:pPr>
                    <w:jc w:val="center"/>
                    <w:rPr>
                      <w:rFonts w:hint="eastAsia"/>
                      <w:color w:val="auto"/>
                      <w:szCs w:val="21"/>
                      <w:u w:val="none"/>
                    </w:rPr>
                  </w:pPr>
                  <w:r>
                    <w:rPr>
                      <w:rFonts w:hint="eastAsia"/>
                      <w:color w:val="auto"/>
                      <w:szCs w:val="21"/>
                      <w:u w:val="none"/>
                    </w:rPr>
                    <w:t>7682</w:t>
                  </w:r>
                </w:p>
              </w:tc>
            </w:tr>
          </w:tbl>
          <w:p>
            <w:pPr>
              <w:spacing w:line="360" w:lineRule="auto"/>
              <w:rPr>
                <w:b/>
                <w:color w:val="auto"/>
                <w:sz w:val="24"/>
                <w:u w:val="none"/>
              </w:rPr>
            </w:pPr>
            <w:r>
              <w:rPr>
                <w:rFonts w:hint="eastAsia"/>
                <w:b/>
                <w:color w:val="auto"/>
                <w:sz w:val="24"/>
                <w:u w:val="none"/>
              </w:rPr>
              <w:t xml:space="preserve">2.5 </w:t>
            </w:r>
            <w:r>
              <w:rPr>
                <w:b/>
                <w:color w:val="auto"/>
                <w:sz w:val="24"/>
                <w:u w:val="none"/>
              </w:rPr>
              <w:t>主要生产设备</w:t>
            </w:r>
          </w:p>
          <w:p>
            <w:pPr>
              <w:spacing w:line="360" w:lineRule="auto"/>
              <w:ind w:firstLine="432" w:firstLineChars="180"/>
              <w:rPr>
                <w:color w:val="auto"/>
                <w:sz w:val="24"/>
                <w:u w:val="none"/>
              </w:rPr>
            </w:pPr>
            <w:r>
              <w:rPr>
                <w:rFonts w:hint="eastAsia"/>
                <w:color w:val="auto"/>
                <w:sz w:val="24"/>
                <w:u w:val="none"/>
              </w:rPr>
              <w:t>本项目</w:t>
            </w:r>
            <w:r>
              <w:rPr>
                <w:color w:val="auto"/>
                <w:sz w:val="24"/>
                <w:u w:val="none"/>
              </w:rPr>
              <w:t>油辣椒、剁辣椒、下饭菜</w:t>
            </w:r>
            <w:r>
              <w:rPr>
                <w:rFonts w:hint="eastAsia"/>
                <w:color w:val="auto"/>
                <w:sz w:val="24"/>
                <w:u w:val="none"/>
              </w:rPr>
              <w:t>共用生产线设备，</w:t>
            </w:r>
            <w:r>
              <w:rPr>
                <w:color w:val="auto"/>
                <w:sz w:val="24"/>
                <w:u w:val="none"/>
              </w:rPr>
              <w:t>项目主要生产设备详见表</w:t>
            </w:r>
            <w:r>
              <w:rPr>
                <w:rFonts w:hint="eastAsia"/>
                <w:color w:val="auto"/>
                <w:sz w:val="24"/>
                <w:u w:val="none"/>
              </w:rPr>
              <w:t>2.5-1</w:t>
            </w:r>
            <w:r>
              <w:rPr>
                <w:color w:val="auto"/>
                <w:sz w:val="24"/>
                <w:u w:val="none"/>
              </w:rPr>
              <w:t>。</w:t>
            </w:r>
          </w:p>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表</w:t>
            </w:r>
            <w:r>
              <w:rPr>
                <w:rFonts w:hint="eastAsia" w:ascii="Times New Roman" w:hAnsi="Times New Roman" w:eastAsia="宋体" w:cs="Times New Roman"/>
                <w:b/>
                <w:color w:val="auto"/>
                <w:u w:val="none"/>
              </w:rPr>
              <w:t>2.5-1</w:t>
            </w:r>
            <w:r>
              <w:rPr>
                <w:rFonts w:ascii="Times New Roman" w:hAnsi="Times New Roman" w:eastAsia="宋体" w:cs="Times New Roman"/>
                <w:b/>
                <w:color w:val="auto"/>
                <w:u w:val="none"/>
              </w:rPr>
              <w:t xml:space="preserve">  主要生产设备一览表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1967"/>
              <w:gridCol w:w="2081"/>
              <w:gridCol w:w="1662"/>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tcBorders>
                    <w:top w:val="single" w:color="auto" w:sz="4" w:space="0"/>
                    <w:left w:val="single" w:color="auto" w:sz="4" w:space="0"/>
                    <w:bottom w:val="single" w:color="auto" w:sz="4" w:space="0"/>
                    <w:right w:val="single" w:color="auto" w:sz="4" w:space="0"/>
                  </w:tcBorders>
                  <w:vAlign w:val="center"/>
                </w:tcPr>
                <w:p>
                  <w:pPr>
                    <w:jc w:val="center"/>
                    <w:rPr>
                      <w:b/>
                      <w:bCs/>
                      <w:color w:val="auto"/>
                      <w:szCs w:val="21"/>
                      <w:u w:val="none"/>
                    </w:rPr>
                  </w:pPr>
                  <w:r>
                    <w:rPr>
                      <w:rFonts w:hint="eastAsia" w:ascii="宋体" w:hAnsi="宋体"/>
                      <w:b/>
                      <w:bCs/>
                      <w:color w:val="auto"/>
                      <w:szCs w:val="21"/>
                      <w:u w:val="none"/>
                    </w:rPr>
                    <w:t>产品名称</w:t>
                  </w: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bCs/>
                      <w:color w:val="auto"/>
                      <w:szCs w:val="21"/>
                      <w:u w:val="none"/>
                    </w:rPr>
                  </w:pPr>
                  <w:r>
                    <w:rPr>
                      <w:rFonts w:hint="eastAsia" w:ascii="宋体" w:hAnsi="宋体"/>
                      <w:b/>
                      <w:bCs/>
                      <w:color w:val="auto"/>
                      <w:szCs w:val="21"/>
                      <w:u w:val="none"/>
                    </w:rPr>
                    <w:t>设备名称</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bCs/>
                      <w:color w:val="auto"/>
                      <w:szCs w:val="21"/>
                      <w:u w:val="none"/>
                    </w:rPr>
                  </w:pPr>
                  <w:r>
                    <w:rPr>
                      <w:rFonts w:hint="eastAsia" w:ascii="宋体" w:hAnsi="宋体"/>
                      <w:b/>
                      <w:bCs/>
                      <w:color w:val="auto"/>
                      <w:szCs w:val="21"/>
                      <w:u w:val="none"/>
                    </w:rPr>
                    <w:t>型号</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bCs/>
                      <w:color w:val="auto"/>
                      <w:szCs w:val="21"/>
                      <w:u w:val="none"/>
                    </w:rPr>
                  </w:pPr>
                  <w:r>
                    <w:rPr>
                      <w:rFonts w:hint="eastAsia" w:ascii="宋体" w:hAnsi="宋体"/>
                      <w:b/>
                      <w:bCs/>
                      <w:color w:val="auto"/>
                      <w:szCs w:val="21"/>
                      <w:u w:val="none"/>
                    </w:rPr>
                    <w:t>数量</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bCs/>
                      <w:color w:val="auto"/>
                      <w:szCs w:val="21"/>
                      <w:u w:val="none"/>
                    </w:rPr>
                  </w:pPr>
                  <w:r>
                    <w:rPr>
                      <w:rFonts w:hint="eastAsia" w:ascii="宋体" w:hAnsi="宋体"/>
                      <w:b/>
                      <w:bCs/>
                      <w:color w:val="auto"/>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restart"/>
                  <w:tcBorders>
                    <w:top w:val="nil"/>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豆豉</w:t>
                  </w: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清洗池</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3.5×2×1m</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5</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r>
                    <w:rPr>
                      <w:rFonts w:hint="eastAsia" w:ascii="宋体" w:hAnsi="宋体"/>
                      <w:b w:val="0"/>
                      <w:bCs w:val="0"/>
                      <w:color w:val="auto"/>
                      <w:szCs w:val="21"/>
                      <w:u w:val="none"/>
                    </w:rPr>
                    <w:t>浸泡罐</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4个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旋转式蒸汽罐</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XZS--5</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3</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发酵罐</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FXG-30</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12</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卧式搅拌器</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1--LF</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不锈钢池</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2×1×0.5</w:t>
                  </w:r>
                  <w:r>
                    <w:rPr>
                      <w:rFonts w:hint="eastAsia" w:ascii="宋体" w:hAnsi="宋体"/>
                      <w:b w:val="0"/>
                      <w:bCs w:val="0"/>
                      <w:color w:val="auto"/>
                      <w:szCs w:val="21"/>
                      <w:u w:val="none"/>
                    </w:rPr>
                    <w:t>m</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4</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发酵笼</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0.8×0.6m</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600</w:t>
                  </w:r>
                  <w:r>
                    <w:rPr>
                      <w:rFonts w:hint="eastAsia" w:ascii="宋体" w:hAnsi="宋体"/>
                      <w:b w:val="0"/>
                      <w:bCs w:val="0"/>
                      <w:color w:val="auto"/>
                      <w:szCs w:val="21"/>
                      <w:u w:val="none"/>
                    </w:rPr>
                    <w:t>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发酵缸</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FXG-120</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300</w:t>
                  </w:r>
                  <w:r>
                    <w:rPr>
                      <w:rFonts w:hint="eastAsia" w:ascii="宋体" w:hAnsi="宋体"/>
                      <w:b w:val="0"/>
                      <w:bCs w:val="0"/>
                      <w:color w:val="auto"/>
                      <w:szCs w:val="21"/>
                      <w:u w:val="none"/>
                    </w:rPr>
                    <w:t>口</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r>
                    <w:rPr>
                      <w:rFonts w:hint="eastAsia"/>
                      <w:b w:val="0"/>
                      <w:bCs w:val="0"/>
                      <w:color w:val="auto"/>
                      <w:szCs w:val="21"/>
                      <w:u w:val="none"/>
                    </w:rPr>
                    <w:t>拌料机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b w:val="0"/>
                      <w:bCs w:val="0"/>
                      <w:color w:val="auto"/>
                      <w:szCs w:val="21"/>
                      <w:u w:val="none"/>
                    </w:rPr>
                    <w:t>2台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烘干机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电加热</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套</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真空封口机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TY1001</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4</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restart"/>
                  <w:tcBorders>
                    <w:top w:val="nil"/>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腐乳</w:t>
                  </w: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清洗池</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2.5×2×1m</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3</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r>
                    <w:rPr>
                      <w:rFonts w:hint="eastAsia" w:ascii="宋体" w:hAnsi="宋体"/>
                      <w:b w:val="0"/>
                      <w:bCs w:val="0"/>
                      <w:color w:val="auto"/>
                      <w:szCs w:val="21"/>
                      <w:u w:val="none"/>
                    </w:rPr>
                    <w:t>浸泡罐</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2个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磨浆机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MJJ-05</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3</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离心机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LXJ-03</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3</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r>
                    <w:rPr>
                      <w:rFonts w:hint="eastAsia" w:ascii="宋体" w:hAnsi="宋体"/>
                      <w:b w:val="0"/>
                      <w:bCs w:val="0"/>
                      <w:color w:val="auto"/>
                      <w:szCs w:val="21"/>
                      <w:u w:val="none"/>
                    </w:rPr>
                    <w:t>煮浆桶</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3个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连续冲浆机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LXC--10</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点浆桶</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DJT-1</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5</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压榨机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YZJ--2</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6</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发酵笼</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0.7×0.6m</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800</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拌料机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2台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r>
                    <w:rPr>
                      <w:rFonts w:hint="eastAsia" w:ascii="宋体" w:hAnsi="宋体"/>
                      <w:b w:val="0"/>
                      <w:bCs w:val="0"/>
                      <w:color w:val="auto"/>
                      <w:szCs w:val="21"/>
                      <w:u w:val="none"/>
                    </w:rPr>
                    <w:t>工作台</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2×1×0.7m</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6</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r>
                    <w:rPr>
                      <w:rFonts w:hint="eastAsia" w:ascii="宋体" w:hAnsi="宋体"/>
                      <w:b w:val="0"/>
                      <w:bCs w:val="0"/>
                      <w:color w:val="auto"/>
                      <w:szCs w:val="21"/>
                      <w:u w:val="none"/>
                    </w:rPr>
                    <w:t>收缩机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SSJ-32</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2</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灌装机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restart"/>
                  <w:tcBorders>
                    <w:top w:val="nil"/>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油辣椒、剁辣椒、下饭菜</w:t>
                  </w: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自动炒锅</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CG1</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lang w:val="en-US" w:eastAsia="zh-CN"/>
                    </w:rPr>
                    <w:t>1</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 w:val="0"/>
                      <w:bCs w:val="0"/>
                      <w:color w:val="auto"/>
                      <w:kern w:val="2"/>
                      <w:sz w:val="21"/>
                      <w:szCs w:val="21"/>
                      <w:u w:val="none"/>
                      <w:lang w:val="en-US" w:eastAsia="zh-CN" w:bidi="ar-SA"/>
                    </w:rPr>
                  </w:pPr>
                  <w:r>
                    <w:rPr>
                      <w:rFonts w:hint="eastAsia" w:ascii="宋体" w:hAnsi="宋体"/>
                      <w:b w:val="0"/>
                      <w:bCs w:val="0"/>
                      <w:color w:val="auto"/>
                      <w:szCs w:val="21"/>
                      <w:u w:val="none"/>
                    </w:rPr>
                    <w:t>炒锅</w:t>
                  </w:r>
                </w:p>
              </w:tc>
              <w:tc>
                <w:tcPr>
                  <w:tcW w:w="124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 w:val="0"/>
                      <w:bCs w:val="0"/>
                      <w:color w:val="auto"/>
                      <w:kern w:val="2"/>
                      <w:sz w:val="21"/>
                      <w:szCs w:val="21"/>
                      <w:u w:val="none"/>
                      <w:lang w:val="en-US" w:eastAsia="zh-CN" w:bidi="ar-SA"/>
                    </w:rPr>
                  </w:pPr>
                  <w:r>
                    <w:rPr>
                      <w:rFonts w:hint="eastAsia" w:cs="Calibri"/>
                      <w:b w:val="0"/>
                      <w:bCs w:val="0"/>
                      <w:color w:val="auto"/>
                      <w:szCs w:val="21"/>
                      <w:u w:val="none"/>
                    </w:rPr>
                    <w:t>CN787</w:t>
                  </w:r>
                </w:p>
              </w:tc>
              <w:tc>
                <w:tcPr>
                  <w:tcW w:w="99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 w:val="0"/>
                      <w:bCs w:val="0"/>
                      <w:color w:val="auto"/>
                      <w:kern w:val="2"/>
                      <w:sz w:val="21"/>
                      <w:szCs w:val="21"/>
                      <w:u w:val="none"/>
                      <w:lang w:val="en-US" w:eastAsia="zh-CN" w:bidi="ar-SA"/>
                    </w:rPr>
                  </w:pPr>
                  <w:r>
                    <w:rPr>
                      <w:rFonts w:hint="eastAsia" w:cs="Calibri"/>
                      <w:b w:val="0"/>
                      <w:bCs w:val="0"/>
                      <w:color w:val="auto"/>
                      <w:szCs w:val="21"/>
                      <w:u w:val="none"/>
                      <w:lang w:val="en-US" w:eastAsia="zh-CN"/>
                    </w:rPr>
                    <w:t>7</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 w:val="0"/>
                      <w:bCs w:val="0"/>
                      <w:color w:val="auto"/>
                      <w:kern w:val="2"/>
                      <w:sz w:val="21"/>
                      <w:szCs w:val="21"/>
                      <w:u w:val="none"/>
                      <w:lang w:val="en-US" w:eastAsia="zh-CN" w:bidi="ar-SA"/>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 w:val="0"/>
                      <w:bCs w:val="0"/>
                      <w:color w:val="auto"/>
                      <w:kern w:val="2"/>
                      <w:sz w:val="21"/>
                      <w:szCs w:val="21"/>
                      <w:u w:val="none"/>
                      <w:lang w:val="en-US" w:eastAsia="zh-CN" w:bidi="ar-SA"/>
                    </w:rPr>
                  </w:pPr>
                  <w:r>
                    <w:rPr>
                      <w:rFonts w:hint="eastAsia" w:ascii="宋体" w:hAnsi="宋体"/>
                      <w:b w:val="0"/>
                      <w:bCs w:val="0"/>
                      <w:color w:val="auto"/>
                      <w:szCs w:val="21"/>
                      <w:u w:val="none"/>
                    </w:rPr>
                    <w:t>变频切菜机</w:t>
                  </w:r>
                </w:p>
              </w:tc>
              <w:tc>
                <w:tcPr>
                  <w:tcW w:w="124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 w:val="0"/>
                      <w:bCs w:val="0"/>
                      <w:color w:val="auto"/>
                      <w:kern w:val="2"/>
                      <w:sz w:val="21"/>
                      <w:szCs w:val="21"/>
                      <w:u w:val="none"/>
                      <w:lang w:val="en-US" w:eastAsia="zh-CN" w:bidi="ar-SA"/>
                    </w:rPr>
                  </w:pPr>
                  <w:r>
                    <w:rPr>
                      <w:rFonts w:hint="eastAsia" w:cs="Calibri"/>
                      <w:b w:val="0"/>
                      <w:bCs w:val="0"/>
                      <w:color w:val="auto"/>
                      <w:szCs w:val="21"/>
                      <w:u w:val="none"/>
                    </w:rPr>
                    <w:t>CHD801</w:t>
                  </w:r>
                </w:p>
              </w:tc>
              <w:tc>
                <w:tcPr>
                  <w:tcW w:w="99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 w:val="0"/>
                      <w:bCs w:val="0"/>
                      <w:color w:val="auto"/>
                      <w:kern w:val="2"/>
                      <w:sz w:val="21"/>
                      <w:szCs w:val="21"/>
                      <w:u w:val="none"/>
                      <w:lang w:val="en-US" w:eastAsia="zh-CN" w:bidi="ar-SA"/>
                    </w:rPr>
                  </w:pPr>
                  <w:r>
                    <w:rPr>
                      <w:rFonts w:hint="eastAsia" w:cs="Calibri"/>
                      <w:b w:val="0"/>
                      <w:bCs w:val="0"/>
                      <w:color w:val="auto"/>
                      <w:szCs w:val="21"/>
                      <w:u w:val="none"/>
                    </w:rPr>
                    <w:t>3</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 w:val="0"/>
                      <w:bCs w:val="0"/>
                      <w:color w:val="auto"/>
                      <w:kern w:val="2"/>
                      <w:sz w:val="21"/>
                      <w:szCs w:val="21"/>
                      <w:u w:val="none"/>
                      <w:lang w:val="en-US" w:eastAsia="zh-CN" w:bidi="ar-SA"/>
                    </w:rPr>
                  </w:pPr>
                  <w:r>
                    <w:rPr>
                      <w:rFonts w:hint="eastAsia"/>
                      <w:b w:val="0"/>
                      <w:bCs w:val="0"/>
                      <w:color w:val="auto"/>
                      <w:szCs w:val="21"/>
                      <w:u w:val="none"/>
                      <w:lang w:val="en-US" w:eastAsia="zh-CN"/>
                    </w:rPr>
                    <w:t>1台利旧，2台</w:t>
                  </w: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highlight w:val="yellow"/>
                      <w:u w:val="none"/>
                    </w:rPr>
                  </w:pPr>
                  <w:r>
                    <w:rPr>
                      <w:rFonts w:hint="eastAsia" w:ascii="宋体" w:hAnsi="宋体"/>
                      <w:b w:val="0"/>
                      <w:bCs w:val="0"/>
                      <w:color w:val="auto"/>
                      <w:szCs w:val="21"/>
                      <w:u w:val="none"/>
                    </w:rPr>
                    <w:t>不锈钢切丝机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highlight w:val="yellow"/>
                      <w:u w:val="none"/>
                    </w:rPr>
                  </w:pPr>
                  <w:r>
                    <w:rPr>
                      <w:rFonts w:hint="eastAsia" w:cs="Calibri"/>
                      <w:b w:val="0"/>
                      <w:bCs w:val="0"/>
                      <w:color w:val="auto"/>
                      <w:szCs w:val="21"/>
                      <w:u w:val="none"/>
                    </w:rPr>
                    <w:t>CS-400</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highlight w:val="yellow"/>
                      <w:u w:val="none"/>
                    </w:rPr>
                  </w:pPr>
                  <w:r>
                    <w:rPr>
                      <w:rFonts w:hint="eastAsia" w:cs="Calibri"/>
                      <w:b w:val="0"/>
                      <w:bCs w:val="0"/>
                      <w:color w:val="auto"/>
                      <w:szCs w:val="21"/>
                      <w:u w:val="none"/>
                    </w:rPr>
                    <w:t>2</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绞肉机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QRLS-42A</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菜陷机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CP3021A</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3</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拌料机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3台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r>
                    <w:rPr>
                      <w:rFonts w:hint="eastAsia" w:ascii="宋体" w:hAnsi="宋体"/>
                      <w:b w:val="0"/>
                      <w:bCs w:val="0"/>
                      <w:color w:val="auto"/>
                      <w:szCs w:val="21"/>
                      <w:u w:val="none"/>
                    </w:rPr>
                    <w:t>蒸汽柜</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1.5×0.6×1</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灌装机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restart"/>
                  <w:tcBorders>
                    <w:top w:val="nil"/>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分装食用油</w:t>
                  </w: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储存罐</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vertAlign w:val="superscript"/>
                    </w:rPr>
                  </w:pPr>
                  <w:r>
                    <w:rPr>
                      <w:rFonts w:hint="eastAsia" w:cs="Calibri"/>
                      <w:b w:val="0"/>
                      <w:bCs w:val="0"/>
                      <w:color w:val="auto"/>
                      <w:szCs w:val="21"/>
                      <w:u w:val="none"/>
                    </w:rPr>
                    <w:t>CCG90，90m</w:t>
                  </w:r>
                  <w:r>
                    <w:rPr>
                      <w:rFonts w:hint="eastAsia" w:cs="Calibri"/>
                      <w:b w:val="0"/>
                      <w:bCs w:val="0"/>
                      <w:color w:val="auto"/>
                      <w:szCs w:val="21"/>
                      <w:u w:val="none"/>
                      <w:vertAlign w:val="superscript"/>
                    </w:rPr>
                    <w:t>3</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10</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调配罐</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TPG10，10m</w:t>
                  </w:r>
                  <w:r>
                    <w:rPr>
                      <w:rFonts w:hint="eastAsia" w:cs="Calibri"/>
                      <w:b w:val="0"/>
                      <w:bCs w:val="0"/>
                      <w:color w:val="auto"/>
                      <w:szCs w:val="21"/>
                      <w:u w:val="none"/>
                      <w:vertAlign w:val="superscript"/>
                    </w:rPr>
                    <w:t>3</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2</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卧式储存罐</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WSC10，10m</w:t>
                  </w:r>
                  <w:r>
                    <w:rPr>
                      <w:rFonts w:hint="eastAsia" w:cs="Calibri"/>
                      <w:b w:val="0"/>
                      <w:bCs w:val="0"/>
                      <w:color w:val="auto"/>
                      <w:szCs w:val="21"/>
                      <w:u w:val="none"/>
                      <w:vertAlign w:val="superscript"/>
                    </w:rPr>
                    <w:t>3</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2</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灌装机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GZ12</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top w:val="nil"/>
                    <w:left w:val="single" w:color="auto" w:sz="4" w:space="0"/>
                    <w:bottom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压盖机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YG--J</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restart"/>
                  <w:tcBorders>
                    <w:top w:val="nil"/>
                    <w:left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公用设备</w:t>
                  </w: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打码机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KJK--CCSL</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2</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eastAsia="zh-CN"/>
                    </w:rPr>
                  </w:pPr>
                  <w:r>
                    <w:rPr>
                      <w:rFonts w:hint="eastAsia"/>
                      <w:b w:val="0"/>
                      <w:bCs w:val="0"/>
                      <w:color w:val="auto"/>
                      <w:szCs w:val="21"/>
                      <w:u w:val="none"/>
                      <w:lang w:val="en-US" w:eastAsia="zh-CN"/>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贴标机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KJK</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b w:val="0"/>
                      <w:bCs w:val="0"/>
                      <w:color w:val="auto"/>
                      <w:kern w:val="2"/>
                      <w:sz w:val="21"/>
                      <w:szCs w:val="21"/>
                      <w:u w:val="none"/>
                      <w:lang w:val="en-US" w:eastAsia="zh-CN" w:bidi="ar-SA"/>
                    </w:rPr>
                  </w:pPr>
                  <w:r>
                    <w:rPr>
                      <w:rFonts w:hint="eastAsia" w:ascii="宋体" w:hAnsi="宋体"/>
                      <w:b w:val="0"/>
                      <w:bCs w:val="0"/>
                      <w:color w:val="auto"/>
                      <w:szCs w:val="21"/>
                      <w:u w:val="none"/>
                    </w:rPr>
                    <w:t>打包机</w:t>
                  </w:r>
                </w:p>
              </w:tc>
              <w:tc>
                <w:tcPr>
                  <w:tcW w:w="124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b w:val="0"/>
                      <w:bCs w:val="0"/>
                      <w:color w:val="auto"/>
                      <w:kern w:val="2"/>
                      <w:sz w:val="21"/>
                      <w:szCs w:val="21"/>
                      <w:u w:val="none"/>
                      <w:lang w:val="en-US" w:eastAsia="zh-CN" w:bidi="ar-SA"/>
                    </w:rPr>
                  </w:pPr>
                  <w:r>
                    <w:rPr>
                      <w:rFonts w:hint="eastAsia" w:cs="Calibri"/>
                      <w:b w:val="0"/>
                      <w:bCs w:val="0"/>
                      <w:color w:val="auto"/>
                      <w:szCs w:val="21"/>
                      <w:u w:val="none"/>
                    </w:rPr>
                    <w:t>DBJ-15</w:t>
                  </w:r>
                </w:p>
              </w:tc>
              <w:tc>
                <w:tcPr>
                  <w:tcW w:w="99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b w:val="0"/>
                      <w:bCs w:val="0"/>
                      <w:color w:val="auto"/>
                      <w:kern w:val="2"/>
                      <w:sz w:val="21"/>
                      <w:szCs w:val="21"/>
                      <w:u w:val="none"/>
                      <w:lang w:val="en-US" w:eastAsia="zh-CN" w:bidi="ar-SA"/>
                    </w:rPr>
                  </w:pPr>
                  <w:r>
                    <w:rPr>
                      <w:rFonts w:hint="eastAsia" w:cs="Calibri"/>
                      <w:b w:val="0"/>
                      <w:bCs w:val="0"/>
                      <w:color w:val="auto"/>
                      <w:szCs w:val="21"/>
                      <w:u w:val="none"/>
                    </w:rPr>
                    <w:t>2</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b w:val="0"/>
                      <w:bCs w:val="0"/>
                      <w:color w:val="auto"/>
                      <w:kern w:val="2"/>
                      <w:sz w:val="21"/>
                      <w:szCs w:val="21"/>
                      <w:u w:val="none"/>
                      <w:lang w:val="en-US" w:eastAsia="zh-CN" w:bidi="ar-SA"/>
                    </w:rPr>
                  </w:pPr>
                  <w:r>
                    <w:rPr>
                      <w:rFonts w:hint="eastAsia"/>
                      <w:b w:val="0"/>
                      <w:bCs w:val="0"/>
                      <w:color w:val="auto"/>
                      <w:szCs w:val="21"/>
                      <w:u w:val="none"/>
                      <w:lang w:val="en-US" w:eastAsia="zh-CN"/>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清洗浸泡池</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1.2×0.8×0.5m</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4</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洗姜机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SB--01</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eastAsia="zh-CN"/>
                    </w:rPr>
                  </w:pPr>
                  <w:r>
                    <w:rPr>
                      <w:rFonts w:hint="eastAsia"/>
                      <w:b w:val="0"/>
                      <w:bCs w:val="0"/>
                      <w:color w:val="auto"/>
                      <w:szCs w:val="21"/>
                      <w:u w:val="none"/>
                      <w:lang w:val="en-US" w:eastAsia="zh-CN"/>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r>
                    <w:rPr>
                      <w:rFonts w:hint="eastAsia" w:ascii="宋体" w:hAnsi="宋体"/>
                      <w:b w:val="0"/>
                      <w:bCs w:val="0"/>
                      <w:color w:val="auto"/>
                      <w:szCs w:val="21"/>
                      <w:u w:val="none"/>
                    </w:rPr>
                    <w:t>清洗机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10台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r>
                    <w:rPr>
                      <w:rFonts w:hint="eastAsia" w:ascii="宋体" w:hAnsi="宋体"/>
                      <w:b w:val="0"/>
                      <w:bCs w:val="0"/>
                      <w:color w:val="auto"/>
                      <w:szCs w:val="21"/>
                      <w:u w:val="none"/>
                    </w:rPr>
                    <w:t>脱水机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2台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周转容器</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2×1.5×0.4m</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4</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工作台</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2×1×0.7m</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4</w:t>
                  </w:r>
                  <w:r>
                    <w:rPr>
                      <w:rFonts w:hint="eastAsia" w:ascii="宋体" w:hAnsi="宋体"/>
                      <w:b w:val="0"/>
                      <w:bCs w:val="0"/>
                      <w:color w:val="auto"/>
                      <w:szCs w:val="21"/>
                      <w:u w:val="none"/>
                    </w:rPr>
                    <w:t>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自动流水线</w:t>
                  </w:r>
                </w:p>
              </w:tc>
              <w:tc>
                <w:tcPr>
                  <w:tcW w:w="124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40米</w:t>
                  </w:r>
                </w:p>
              </w:tc>
              <w:tc>
                <w:tcPr>
                  <w:tcW w:w="99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1套</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电磁感应封口机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CLF--180</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收缩机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BP5-1538A</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打包机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AC</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巴氏灭菌生产线</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SC--1</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eastAsia="zh-CN"/>
                    </w:rPr>
                  </w:pPr>
                  <w:r>
                    <w:rPr>
                      <w:rFonts w:hint="eastAsia"/>
                      <w:b w:val="0"/>
                      <w:bCs w:val="0"/>
                      <w:color w:val="auto"/>
                      <w:szCs w:val="21"/>
                      <w:u w:val="none"/>
                      <w:lang w:val="en-US" w:eastAsia="zh-CN"/>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r>
                    <w:rPr>
                      <w:rFonts w:hint="eastAsia" w:ascii="宋体" w:hAnsi="宋体"/>
                      <w:b w:val="0"/>
                      <w:bCs w:val="0"/>
                      <w:color w:val="auto"/>
                      <w:szCs w:val="21"/>
                      <w:u w:val="none"/>
                    </w:rPr>
                    <w:t>食用油储罐</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vertAlign w:val="superscript"/>
                    </w:rPr>
                  </w:pPr>
                  <w:r>
                    <w:rPr>
                      <w:rFonts w:hint="eastAsia" w:cs="Calibri"/>
                      <w:b w:val="0"/>
                      <w:bCs w:val="0"/>
                      <w:color w:val="auto"/>
                      <w:szCs w:val="21"/>
                      <w:u w:val="none"/>
                    </w:rPr>
                    <w:t>200m</w:t>
                  </w:r>
                  <w:r>
                    <w:rPr>
                      <w:rFonts w:hint="eastAsia" w:cs="Calibri"/>
                      <w:b w:val="0"/>
                      <w:bCs w:val="0"/>
                      <w:color w:val="auto"/>
                      <w:szCs w:val="21"/>
                      <w:u w:val="none"/>
                      <w:vertAlign w:val="superscript"/>
                    </w:rPr>
                    <w:t>3</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2个</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val="0"/>
                      <w:bCs w:val="0"/>
                      <w:color w:val="auto"/>
                      <w:szCs w:val="21"/>
                      <w:u w:val="none"/>
                    </w:rPr>
                  </w:pPr>
                  <w:r>
                    <w:rPr>
                      <w:rFonts w:hint="eastAsia" w:ascii="宋体" w:hAnsi="宋体"/>
                      <w:b w:val="0"/>
                      <w:bCs w:val="0"/>
                      <w:color w:val="auto"/>
                      <w:szCs w:val="21"/>
                      <w:u w:val="none"/>
                    </w:rPr>
                    <w:t>纯水机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cs="Calibri"/>
                      <w:b w:val="0"/>
                      <w:bCs w:val="0"/>
                      <w:color w:val="auto"/>
                      <w:szCs w:val="21"/>
                      <w:u w:val="none"/>
                    </w:rPr>
                  </w:pPr>
                  <w:r>
                    <w:rPr>
                      <w:rFonts w:hint="eastAsia" w:cs="Calibri"/>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widowControl/>
                    <w:jc w:val="center"/>
                    <w:rPr>
                      <w:rFonts w:ascii="Calibri" w:hAnsi="Calibri"/>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蒸汽发生器</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燃气</w:t>
                  </w:r>
                  <w:r>
                    <w:rPr>
                      <w:rFonts w:hint="eastAsia" w:cs="Calibri"/>
                      <w:b w:val="0"/>
                      <w:bCs w:val="0"/>
                      <w:color w:val="auto"/>
                      <w:szCs w:val="21"/>
                      <w:u w:val="none"/>
                    </w:rPr>
                    <w:t>2t/h</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2</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机械臂</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2</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色选机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1</w:t>
                  </w:r>
                  <w:r>
                    <w:rPr>
                      <w:rFonts w:hint="eastAsia" w:ascii="宋体" w:hAnsi="宋体"/>
                      <w:b w:val="0"/>
                      <w:bCs w:val="0"/>
                      <w:color w:val="auto"/>
                      <w:szCs w:val="21"/>
                      <w:u w:val="none"/>
                    </w:rPr>
                    <w:t>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szCs w:val="21"/>
                      <w:u w:val="none"/>
                    </w:rPr>
                    <w:t>低温冷库</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vertAlign w:val="superscript"/>
                      <w:lang w:val="en-US" w:eastAsia="zh-CN"/>
                    </w:rPr>
                  </w:pPr>
                  <w:r>
                    <w:rPr>
                      <w:rFonts w:hint="eastAsia" w:cs="Calibri"/>
                      <w:b w:val="0"/>
                      <w:bCs w:val="0"/>
                      <w:color w:val="auto"/>
                      <w:szCs w:val="21"/>
                      <w:u w:val="none"/>
                      <w:lang w:val="en-US" w:eastAsia="zh-CN"/>
                    </w:rPr>
                    <w:t>83m</w:t>
                  </w:r>
                  <w:r>
                    <w:rPr>
                      <w:rFonts w:hint="eastAsia" w:cs="Calibri"/>
                      <w:b w:val="0"/>
                      <w:bCs w:val="0"/>
                      <w:color w:val="auto"/>
                      <w:szCs w:val="21"/>
                      <w:u w:val="none"/>
                      <w:vertAlign w:val="superscript"/>
                      <w:lang w:val="en-US" w:eastAsia="zh-CN"/>
                    </w:rPr>
                    <w:t>3</w:t>
                  </w:r>
                  <w:r>
                    <w:rPr>
                      <w:rFonts w:hint="eastAsia" w:cs="Calibri"/>
                      <w:b w:val="0"/>
                      <w:bCs w:val="0"/>
                      <w:color w:val="auto"/>
                      <w:szCs w:val="21"/>
                      <w:u w:val="none"/>
                      <w:lang w:val="en-US" w:eastAsia="zh-CN"/>
                    </w:rPr>
                    <w:t>、48m</w:t>
                  </w:r>
                  <w:r>
                    <w:rPr>
                      <w:rFonts w:hint="eastAsia" w:cs="Calibri"/>
                      <w:b w:val="0"/>
                      <w:bCs w:val="0"/>
                      <w:color w:val="auto"/>
                      <w:szCs w:val="21"/>
                      <w:u w:val="none"/>
                      <w:vertAlign w:val="superscript"/>
                      <w:lang w:val="en-US" w:eastAsia="zh-CN"/>
                    </w:rPr>
                    <w:t>3</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cs="Calibri"/>
                      <w:b w:val="0"/>
                      <w:bCs w:val="0"/>
                      <w:color w:val="auto"/>
                      <w:szCs w:val="21"/>
                      <w:u w:val="none"/>
                    </w:rPr>
                    <w:t>2</w:t>
                  </w:r>
                  <w:r>
                    <w:rPr>
                      <w:rFonts w:hint="eastAsia" w:ascii="宋体" w:hAnsi="宋体"/>
                      <w:b w:val="0"/>
                      <w:bCs w:val="0"/>
                      <w:color w:val="auto"/>
                      <w:szCs w:val="21"/>
                      <w:u w:val="none"/>
                    </w:rPr>
                    <w:t>套</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restart"/>
                  <w:tcBorders>
                    <w:top w:val="single" w:color="auto" w:sz="4" w:space="0"/>
                    <w:left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质检室</w:t>
                  </w: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电子分析天平</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FA2204</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lang w:val="en-US" w:eastAsia="zh-CN"/>
                    </w:rPr>
                    <w:t>p</w:t>
                  </w:r>
                  <w:r>
                    <w:rPr>
                      <w:rFonts w:hint="eastAsia"/>
                      <w:b w:val="0"/>
                      <w:bCs w:val="0"/>
                      <w:color w:val="auto"/>
                      <w:szCs w:val="21"/>
                      <w:u w:val="none"/>
                    </w:rPr>
                    <w:t>H计</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PHS-25</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手提式压力蒸汽消毒器</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YXQSG41-2</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蒸馏水器</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YA2D-3</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磁力搅拌器</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78--1</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超净工作台</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VD-650</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显微镜</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XSP-2</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台式培养箱</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303-0型</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恒温干燥箱</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202-0型</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万用电炉</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DK-98-II</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小型粉碎机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restart"/>
                  <w:tcBorders>
                    <w:top w:val="single" w:color="auto" w:sz="4" w:space="0"/>
                    <w:left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污水处理站</w:t>
                  </w: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eastAsia="zh-CN"/>
                    </w:rPr>
                  </w:pPr>
                  <w:r>
                    <w:rPr>
                      <w:rFonts w:hint="eastAsia" w:ascii="宋体" w:hAnsi="宋体"/>
                      <w:b w:val="0"/>
                      <w:bCs w:val="0"/>
                      <w:color w:val="auto"/>
                      <w:u w:val="none"/>
                      <w:lang w:val="en-US" w:eastAsia="zh-CN"/>
                    </w:rPr>
                    <w:t>格栅机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ascii="宋体" w:hAnsi="宋体"/>
                      <w:b w:val="0"/>
                      <w:bCs w:val="0"/>
                      <w:color w:val="auto"/>
                      <w:u w:val="none"/>
                      <w:lang w:val="en-US" w:eastAsia="zh-CN"/>
                    </w:rPr>
                    <w:t>手动格栅</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ascii="宋体" w:hAnsi="宋体"/>
                      <w:b w:val="0"/>
                      <w:bCs w:val="0"/>
                      <w:color w:val="auto"/>
                      <w:u w:val="none"/>
                    </w:rPr>
                    <w:t>1</w:t>
                  </w:r>
                  <w:r>
                    <w:rPr>
                      <w:rFonts w:ascii="宋体" w:hAnsi="宋体"/>
                      <w:b w:val="0"/>
                      <w:bCs w:val="0"/>
                      <w:color w:val="auto"/>
                      <w:u w:val="none"/>
                    </w:rPr>
                    <w:t>套</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rFonts w:hint="eastAsia"/>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 w:val="0"/>
                      <w:bCs w:val="0"/>
                      <w:color w:val="auto"/>
                      <w:kern w:val="2"/>
                      <w:sz w:val="21"/>
                      <w:szCs w:val="21"/>
                      <w:u w:val="none"/>
                      <w:lang w:val="en-US" w:eastAsia="zh-CN" w:bidi="ar-SA"/>
                    </w:rPr>
                  </w:pPr>
                  <w:r>
                    <w:rPr>
                      <w:rFonts w:ascii="宋体" w:hAnsi="宋体"/>
                      <w:b w:val="0"/>
                      <w:bCs w:val="0"/>
                      <w:color w:val="auto"/>
                      <w:u w:val="none"/>
                    </w:rPr>
                    <w:t>提升泵</w:t>
                  </w:r>
                </w:p>
              </w:tc>
              <w:tc>
                <w:tcPr>
                  <w:tcW w:w="124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 w:val="0"/>
                      <w:bCs w:val="0"/>
                      <w:color w:val="auto"/>
                      <w:kern w:val="2"/>
                      <w:sz w:val="21"/>
                      <w:szCs w:val="21"/>
                      <w:u w:val="none"/>
                      <w:lang w:val="en-US" w:eastAsia="zh-CN" w:bidi="ar-SA"/>
                    </w:rPr>
                  </w:pPr>
                  <w:r>
                    <w:rPr>
                      <w:b w:val="0"/>
                      <w:bCs w:val="0"/>
                      <w:color w:val="auto"/>
                      <w:u w:val="none"/>
                    </w:rPr>
                    <w:t>1</w:t>
                  </w:r>
                  <w:r>
                    <w:rPr>
                      <w:rFonts w:hint="eastAsia"/>
                      <w:b w:val="0"/>
                      <w:bCs w:val="0"/>
                      <w:color w:val="auto"/>
                      <w:u w:val="none"/>
                    </w:rPr>
                    <w:t>5</w:t>
                  </w:r>
                  <w:r>
                    <w:rPr>
                      <w:b w:val="0"/>
                      <w:bCs w:val="0"/>
                      <w:color w:val="auto"/>
                      <w:u w:val="none"/>
                    </w:rPr>
                    <w:t>m</w:t>
                  </w:r>
                  <w:r>
                    <w:rPr>
                      <w:b w:val="0"/>
                      <w:bCs w:val="0"/>
                      <w:color w:val="auto"/>
                      <w:u w:val="none"/>
                      <w:vertAlign w:val="superscript"/>
                    </w:rPr>
                    <w:t>3</w:t>
                  </w:r>
                  <w:r>
                    <w:rPr>
                      <w:b w:val="0"/>
                      <w:bCs w:val="0"/>
                      <w:color w:val="auto"/>
                      <w:u w:val="none"/>
                    </w:rPr>
                    <w:t>/h</w:t>
                  </w:r>
                  <w:r>
                    <w:rPr>
                      <w:rFonts w:ascii="宋体" w:hAnsi="宋体"/>
                      <w:b w:val="0"/>
                      <w:bCs w:val="0"/>
                      <w:color w:val="auto"/>
                      <w:u w:val="none"/>
                    </w:rPr>
                    <w:t>，</w:t>
                  </w:r>
                  <w:r>
                    <w:rPr>
                      <w:b w:val="0"/>
                      <w:bCs w:val="0"/>
                      <w:color w:val="auto"/>
                      <w:u w:val="none"/>
                    </w:rPr>
                    <w:t>H=15m</w:t>
                  </w:r>
                </w:p>
              </w:tc>
              <w:tc>
                <w:tcPr>
                  <w:tcW w:w="99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b w:val="0"/>
                      <w:bCs w:val="0"/>
                      <w:color w:val="auto"/>
                      <w:kern w:val="2"/>
                      <w:sz w:val="21"/>
                      <w:szCs w:val="21"/>
                      <w:u w:val="none"/>
                      <w:lang w:val="en-US" w:eastAsia="zh-CN" w:bidi="ar-SA"/>
                    </w:rPr>
                  </w:pPr>
                  <w:r>
                    <w:rPr>
                      <w:rFonts w:hint="eastAsia" w:ascii="宋体" w:hAnsi="宋体"/>
                      <w:b w:val="0"/>
                      <w:bCs w:val="0"/>
                      <w:color w:val="auto"/>
                      <w:u w:val="none"/>
                    </w:rPr>
                    <w:t>2</w:t>
                  </w:r>
                  <w:r>
                    <w:rPr>
                      <w:rFonts w:ascii="宋体" w:hAnsi="宋体"/>
                      <w:b w:val="0"/>
                      <w:bCs w:val="0"/>
                      <w:color w:val="auto"/>
                      <w:u w:val="none"/>
                    </w:rPr>
                    <w:t>台</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b w:val="0"/>
                      <w:bCs w:val="0"/>
                      <w:color w:val="auto"/>
                      <w:kern w:val="2"/>
                      <w:sz w:val="21"/>
                      <w:szCs w:val="21"/>
                      <w:u w:val="none"/>
                      <w:lang w:val="en-US" w:eastAsia="zh-CN" w:bidi="ar-SA"/>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rFonts w:hint="eastAsia"/>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b w:val="0"/>
                      <w:bCs w:val="0"/>
                      <w:color w:val="auto"/>
                      <w:u w:val="none"/>
                      <w:lang w:val="en-US" w:eastAsia="zh-CN"/>
                    </w:rPr>
                  </w:pPr>
                  <w:r>
                    <w:rPr>
                      <w:rFonts w:hint="eastAsia" w:ascii="宋体" w:hAnsi="宋体"/>
                      <w:b w:val="0"/>
                      <w:bCs w:val="0"/>
                      <w:color w:val="auto"/>
                      <w:u w:val="none"/>
                      <w:lang w:val="en-US" w:eastAsia="zh-CN"/>
                    </w:rPr>
                    <w:t>气浮机</w:t>
                  </w:r>
                </w:p>
              </w:tc>
              <w:tc>
                <w:tcPr>
                  <w:tcW w:w="124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val="0"/>
                      <w:bCs w:val="0"/>
                      <w:color w:val="auto"/>
                      <w:u w:val="none"/>
                    </w:rPr>
                  </w:pPr>
                </w:p>
              </w:tc>
              <w:tc>
                <w:tcPr>
                  <w:tcW w:w="99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b w:val="0"/>
                      <w:bCs w:val="0"/>
                      <w:color w:val="auto"/>
                      <w:u w:val="none"/>
                      <w:lang w:val="en-US" w:eastAsia="zh-CN"/>
                    </w:rPr>
                  </w:pPr>
                  <w:r>
                    <w:rPr>
                      <w:rFonts w:hint="eastAsia" w:ascii="宋体" w:hAnsi="宋体"/>
                      <w:b w:val="0"/>
                      <w:bCs w:val="0"/>
                      <w:color w:val="auto"/>
                      <w:u w:val="none"/>
                      <w:lang w:val="en-US" w:eastAsia="zh-CN"/>
                    </w:rPr>
                    <w:t>1台</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空压机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2.2kW</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加药装置</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1000L</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3套</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加药泵</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150L</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3台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搅拌机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0.75kW</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default"/>
                      <w:b w:val="0"/>
                      <w:bCs w:val="0"/>
                      <w:color w:val="auto"/>
                      <w:szCs w:val="21"/>
                      <w:u w:val="none"/>
                      <w:lang w:val="en-US" w:eastAsia="zh-CN"/>
                    </w:rPr>
                  </w:pPr>
                  <w:r>
                    <w:rPr>
                      <w:rFonts w:hint="eastAsia"/>
                      <w:b w:val="0"/>
                      <w:bCs w:val="0"/>
                      <w:color w:val="auto"/>
                      <w:szCs w:val="21"/>
                      <w:u w:val="none"/>
                      <w:lang w:val="en-US" w:eastAsia="zh-CN"/>
                    </w:rPr>
                    <w:t>曝气盘</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default"/>
                      <w:b w:val="0"/>
                      <w:bCs w:val="0"/>
                      <w:color w:val="auto"/>
                      <w:szCs w:val="21"/>
                      <w:u w:val="none"/>
                      <w:lang w:val="en-US" w:eastAsia="zh-CN"/>
                    </w:rPr>
                  </w:pPr>
                  <w:r>
                    <w:rPr>
                      <w:rFonts w:hint="eastAsia"/>
                      <w:b w:val="0"/>
                      <w:bCs w:val="0"/>
                      <w:color w:val="auto"/>
                      <w:szCs w:val="21"/>
                      <w:u w:val="none"/>
                      <w:lang w:val="en-US" w:eastAsia="zh-CN"/>
                    </w:rPr>
                    <w:t>215</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b w:val="0"/>
                      <w:bCs w:val="0"/>
                      <w:color w:val="auto"/>
                      <w:szCs w:val="21"/>
                      <w:u w:val="none"/>
                      <w:lang w:val="en-US" w:eastAsia="zh-CN"/>
                    </w:rPr>
                  </w:pPr>
                  <w:r>
                    <w:rPr>
                      <w:rFonts w:hint="eastAsia"/>
                      <w:b w:val="0"/>
                      <w:bCs w:val="0"/>
                      <w:color w:val="auto"/>
                      <w:szCs w:val="21"/>
                      <w:u w:val="none"/>
                      <w:lang w:val="en-US" w:eastAsia="zh-CN"/>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风机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2台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布水系统</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3台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排泥泵</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u w:val="none"/>
                      <w:lang w:val="en-US" w:eastAsia="zh-CN"/>
                    </w:rPr>
                    <w:t>15</w:t>
                  </w:r>
                  <w:r>
                    <w:rPr>
                      <w:b w:val="0"/>
                      <w:bCs w:val="0"/>
                      <w:color w:val="auto"/>
                      <w:u w:val="none"/>
                    </w:rPr>
                    <w:t>m</w:t>
                  </w:r>
                  <w:r>
                    <w:rPr>
                      <w:b w:val="0"/>
                      <w:bCs w:val="0"/>
                      <w:color w:val="auto"/>
                      <w:u w:val="none"/>
                      <w:vertAlign w:val="superscript"/>
                    </w:rPr>
                    <w:t>3</w:t>
                  </w:r>
                  <w:r>
                    <w:rPr>
                      <w:b w:val="0"/>
                      <w:bCs w:val="0"/>
                      <w:color w:val="auto"/>
                      <w:u w:val="none"/>
                    </w:rPr>
                    <w:t>/h</w:t>
                  </w:r>
                  <w:r>
                    <w:rPr>
                      <w:rFonts w:ascii="宋体" w:hAnsi="宋体"/>
                      <w:b w:val="0"/>
                      <w:bCs w:val="0"/>
                      <w:color w:val="auto"/>
                      <w:u w:val="none"/>
                    </w:rPr>
                    <w:t>，</w:t>
                  </w:r>
                  <w:r>
                    <w:rPr>
                      <w:b w:val="0"/>
                      <w:bCs w:val="0"/>
                      <w:color w:val="auto"/>
                      <w:u w:val="none"/>
                    </w:rPr>
                    <w:t>H=15m</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4台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污泥泵</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5</w:t>
                  </w:r>
                  <w:r>
                    <w:rPr>
                      <w:b w:val="0"/>
                      <w:bCs w:val="0"/>
                      <w:color w:val="auto"/>
                      <w:u w:val="none"/>
                    </w:rPr>
                    <w:t>m</w:t>
                  </w:r>
                  <w:r>
                    <w:rPr>
                      <w:b w:val="0"/>
                      <w:bCs w:val="0"/>
                      <w:color w:val="auto"/>
                      <w:u w:val="none"/>
                      <w:vertAlign w:val="superscript"/>
                    </w:rPr>
                    <w:t>3</w:t>
                  </w:r>
                  <w:r>
                    <w:rPr>
                      <w:b w:val="0"/>
                      <w:bCs w:val="0"/>
                      <w:color w:val="auto"/>
                      <w:u w:val="none"/>
                    </w:rPr>
                    <w:t>/h</w:t>
                  </w:r>
                  <w:r>
                    <w:rPr>
                      <w:rFonts w:ascii="宋体" w:hAnsi="宋体"/>
                      <w:b w:val="0"/>
                      <w:bCs w:val="0"/>
                      <w:color w:val="auto"/>
                      <w:u w:val="none"/>
                    </w:rPr>
                    <w:t>，</w:t>
                  </w:r>
                  <w:r>
                    <w:rPr>
                      <w:b w:val="0"/>
                      <w:bCs w:val="0"/>
                      <w:color w:val="auto"/>
                      <w:u w:val="none"/>
                    </w:rPr>
                    <w:t>H=15m</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2台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叠螺机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201</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加药装置</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1000L</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1套</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加药泵</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150L</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搅拌机</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0.75kW</w:t>
                  </w: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1台</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1" w:type="pct"/>
                  <w:vMerge w:val="continue"/>
                  <w:tcBorders>
                    <w:left w:val="single" w:color="auto" w:sz="4" w:space="0"/>
                    <w:right w:val="single" w:color="auto" w:sz="4" w:space="0"/>
                  </w:tcBorders>
                  <w:vAlign w:val="center"/>
                </w:tcPr>
                <w:p>
                  <w:pPr>
                    <w:jc w:val="center"/>
                    <w:rPr>
                      <w:b w:val="0"/>
                      <w:bCs w:val="0"/>
                      <w:color w:val="auto"/>
                      <w:szCs w:val="21"/>
                      <w:u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color w:val="auto"/>
                      <w:szCs w:val="21"/>
                      <w:u w:val="none"/>
                      <w:lang w:val="en-US" w:eastAsia="zh-CN"/>
                    </w:rPr>
                  </w:pPr>
                  <w:r>
                    <w:rPr>
                      <w:rFonts w:hint="eastAsia"/>
                      <w:b w:val="0"/>
                      <w:bCs w:val="0"/>
                      <w:color w:val="auto"/>
                      <w:szCs w:val="21"/>
                      <w:u w:val="none"/>
                      <w:lang w:val="en-US" w:eastAsia="zh-CN"/>
                    </w:rPr>
                    <w:t>电控柜</w:t>
                  </w:r>
                </w:p>
              </w:tc>
              <w:tc>
                <w:tcPr>
                  <w:tcW w:w="1242"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p>
              </w:tc>
              <w:tc>
                <w:tcPr>
                  <w:tcW w:w="992" w:type="pct"/>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color w:val="auto"/>
                      <w:szCs w:val="21"/>
                      <w:u w:val="none"/>
                      <w:lang w:val="en-US" w:eastAsia="zh-CN"/>
                    </w:rPr>
                  </w:pPr>
                  <w:r>
                    <w:rPr>
                      <w:rFonts w:hint="eastAsia"/>
                      <w:b w:val="0"/>
                      <w:bCs w:val="0"/>
                      <w:color w:val="auto"/>
                      <w:szCs w:val="21"/>
                      <w:u w:val="none"/>
                      <w:lang w:val="en-US" w:eastAsia="zh-CN"/>
                    </w:rPr>
                    <w:t>1套</w:t>
                  </w:r>
                </w:p>
              </w:tc>
              <w:tc>
                <w:tcPr>
                  <w:tcW w:w="920" w:type="pct"/>
                  <w:tcBorders>
                    <w:top w:val="single" w:color="auto" w:sz="4" w:space="0"/>
                    <w:left w:val="single" w:color="auto" w:sz="4" w:space="0"/>
                    <w:bottom w:val="single" w:color="auto" w:sz="4" w:space="0"/>
                    <w:right w:val="single" w:color="auto" w:sz="4" w:space="0"/>
                  </w:tcBorders>
                  <w:vAlign w:val="center"/>
                </w:tcPr>
                <w:p>
                  <w:pPr>
                    <w:jc w:val="center"/>
                    <w:rPr>
                      <w:b w:val="0"/>
                      <w:bCs w:val="0"/>
                      <w:color w:val="auto"/>
                      <w:szCs w:val="21"/>
                      <w:u w:val="none"/>
                    </w:rPr>
                  </w:pPr>
                  <w:r>
                    <w:rPr>
                      <w:rFonts w:hint="eastAsia"/>
                      <w:b w:val="0"/>
                      <w:bCs w:val="0"/>
                      <w:color w:val="auto"/>
                      <w:szCs w:val="21"/>
                      <w:u w:val="none"/>
                    </w:rPr>
                    <w:t>新增</w:t>
                  </w:r>
                </w:p>
              </w:tc>
            </w:tr>
          </w:tbl>
          <w:p>
            <w:pPr>
              <w:spacing w:line="360" w:lineRule="auto"/>
              <w:rPr>
                <w:b/>
                <w:color w:val="auto"/>
                <w:sz w:val="24"/>
                <w:u w:val="none"/>
              </w:rPr>
            </w:pPr>
            <w:r>
              <w:rPr>
                <w:rFonts w:hint="eastAsia"/>
                <w:b/>
                <w:color w:val="auto"/>
                <w:sz w:val="24"/>
                <w:u w:val="none"/>
              </w:rPr>
              <w:t xml:space="preserve">2.6 </w:t>
            </w:r>
            <w:r>
              <w:rPr>
                <w:b/>
                <w:color w:val="auto"/>
                <w:sz w:val="24"/>
                <w:u w:val="none"/>
              </w:rPr>
              <w:t>公用工程</w:t>
            </w:r>
          </w:p>
          <w:p>
            <w:pPr>
              <w:spacing w:line="360" w:lineRule="auto"/>
              <w:ind w:firstLine="480"/>
              <w:rPr>
                <w:b/>
                <w:color w:val="auto"/>
                <w:sz w:val="24"/>
                <w:u w:val="none"/>
              </w:rPr>
            </w:pPr>
            <w:r>
              <w:rPr>
                <w:rFonts w:hint="eastAsia"/>
                <w:b/>
                <w:color w:val="auto"/>
                <w:sz w:val="24"/>
                <w:u w:val="none"/>
              </w:rPr>
              <w:t>2.6.1 给排水及水平衡分析</w:t>
            </w:r>
          </w:p>
          <w:p>
            <w:pPr>
              <w:spacing w:line="360" w:lineRule="auto"/>
              <w:ind w:firstLine="480"/>
              <w:rPr>
                <w:bCs/>
                <w:color w:val="auto"/>
                <w:sz w:val="24"/>
                <w:u w:val="none"/>
              </w:rPr>
            </w:pPr>
            <w:r>
              <w:rPr>
                <w:rFonts w:hint="eastAsia"/>
                <w:bCs/>
                <w:color w:val="auto"/>
                <w:sz w:val="24"/>
                <w:u w:val="none"/>
              </w:rPr>
              <w:t>项目用水由市政供水管网提供，项目用水主要包括豆豉生产工艺用水，腐乳生产工艺用水，剁辣椒、油辣椒、下饭菜生产工艺用水，设备、容器具清洗水，地面清洗水、蒸汽发生器用水、除臭设施喷淋用水、质检用水、生活污水，其中部分生产工艺用水及蒸汽发生器用水采用纯水。</w:t>
            </w:r>
          </w:p>
          <w:p>
            <w:pPr>
              <w:spacing w:line="360" w:lineRule="auto"/>
              <w:ind w:firstLine="480"/>
              <w:rPr>
                <w:rFonts w:hint="eastAsia"/>
                <w:bCs/>
                <w:color w:val="auto"/>
                <w:sz w:val="24"/>
                <w:u w:val="none"/>
              </w:rPr>
            </w:pPr>
            <w:r>
              <w:rPr>
                <w:rFonts w:hint="eastAsia"/>
                <w:bCs/>
                <w:color w:val="auto"/>
                <w:sz w:val="24"/>
                <w:u w:val="none"/>
              </w:rPr>
              <w:t>（1）豆豉生产工艺用水</w:t>
            </w:r>
          </w:p>
          <w:p>
            <w:pPr>
              <w:spacing w:line="360" w:lineRule="auto"/>
              <w:ind w:firstLine="480"/>
              <w:rPr>
                <w:rFonts w:hint="eastAsia"/>
                <w:bCs/>
                <w:color w:val="auto"/>
                <w:sz w:val="24"/>
                <w:u w:val="none"/>
                <w:lang w:eastAsia="zh-CN"/>
              </w:rPr>
            </w:pPr>
            <w:r>
              <w:rPr>
                <w:rFonts w:hint="eastAsia"/>
                <w:b/>
                <w:bCs w:val="0"/>
                <w:color w:val="auto"/>
                <w:sz w:val="24"/>
                <w:u w:val="none"/>
                <w:lang w:val="en-US" w:eastAsia="zh-CN"/>
              </w:rPr>
              <w:t>用水量：</w:t>
            </w:r>
            <w:r>
              <w:rPr>
                <w:rFonts w:hint="eastAsia"/>
                <w:bCs/>
                <w:color w:val="auto"/>
                <w:sz w:val="24"/>
                <w:u w:val="none"/>
              </w:rPr>
              <w:t>豆豉生产工艺用水主要为清洗浸泡、蒸煮工序用水，采用自来水。本项目豆豉生产所需黄豆用量为10.7 t/d，</w:t>
            </w:r>
            <w:r>
              <w:rPr>
                <w:rFonts w:hint="eastAsia"/>
                <w:bCs/>
                <w:color w:val="auto"/>
                <w:sz w:val="24"/>
                <w:u w:val="none"/>
                <w:lang w:val="en-US" w:eastAsia="zh-CN"/>
              </w:rPr>
              <w:t>用水量</w:t>
            </w:r>
            <w:r>
              <w:rPr>
                <w:rFonts w:hint="eastAsia"/>
                <w:bCs/>
                <w:color w:val="auto"/>
                <w:sz w:val="24"/>
                <w:u w:val="none"/>
              </w:rPr>
              <w:t>参照</w:t>
            </w:r>
            <w:r>
              <w:rPr>
                <w:bCs/>
                <w:color w:val="auto"/>
                <w:sz w:val="24"/>
                <w:u w:val="none"/>
              </w:rPr>
              <w:t>湖南省地方标准</w:t>
            </w:r>
            <w:r>
              <w:rPr>
                <w:rFonts w:hint="eastAsia"/>
                <w:bCs/>
                <w:color w:val="auto"/>
                <w:sz w:val="24"/>
                <w:u w:val="none"/>
              </w:rPr>
              <w:t>《用水定额 第二部分：工业》（</w:t>
            </w:r>
            <w:r>
              <w:rPr>
                <w:bCs/>
                <w:color w:val="auto"/>
                <w:sz w:val="24"/>
                <w:u w:val="none"/>
              </w:rPr>
              <w:t xml:space="preserve">DB43/T </w:t>
            </w:r>
            <w:r>
              <w:rPr>
                <w:rFonts w:hint="eastAsia"/>
                <w:bCs/>
                <w:color w:val="auto"/>
                <w:sz w:val="24"/>
                <w:u w:val="none"/>
              </w:rPr>
              <w:t>-</w:t>
            </w:r>
            <w:r>
              <w:rPr>
                <w:bCs/>
                <w:color w:val="auto"/>
                <w:sz w:val="24"/>
                <w:u w:val="none"/>
              </w:rPr>
              <w:t>2025</w:t>
            </w:r>
            <w:r>
              <w:rPr>
                <w:rFonts w:hint="eastAsia"/>
                <w:bCs/>
                <w:color w:val="auto"/>
                <w:sz w:val="24"/>
                <w:u w:val="none"/>
              </w:rPr>
              <w:t>）表2中豆制品</w:t>
            </w:r>
            <w:r>
              <w:rPr>
                <w:bCs/>
                <w:color w:val="auto"/>
                <w:sz w:val="24"/>
                <w:u w:val="none"/>
              </w:rPr>
              <w:t>制造（豆腐）</w:t>
            </w:r>
            <w:r>
              <w:rPr>
                <w:rFonts w:hint="eastAsia"/>
                <w:bCs/>
                <w:color w:val="auto"/>
                <w:sz w:val="24"/>
                <w:u w:val="none"/>
              </w:rPr>
              <w:t>用水定额通用值为40m</w:t>
            </w:r>
            <w:r>
              <w:rPr>
                <w:rFonts w:hint="eastAsia"/>
                <w:bCs/>
                <w:color w:val="auto"/>
                <w:sz w:val="24"/>
                <w:u w:val="none"/>
                <w:vertAlign w:val="superscript"/>
              </w:rPr>
              <w:t>3</w:t>
            </w:r>
            <w:r>
              <w:rPr>
                <w:rFonts w:hint="eastAsia"/>
                <w:bCs/>
                <w:color w:val="auto"/>
                <w:sz w:val="24"/>
                <w:u w:val="none"/>
              </w:rPr>
              <w:t>/t-原料，</w:t>
            </w:r>
            <w:r>
              <w:rPr>
                <w:rFonts w:hint="eastAsia"/>
                <w:bCs/>
                <w:color w:val="auto"/>
                <w:sz w:val="24"/>
                <w:u w:val="none"/>
                <w:lang w:val="en-US" w:eastAsia="zh-CN"/>
              </w:rPr>
              <w:t>豆豉调整系数为豆腐的0.5倍，</w:t>
            </w:r>
            <w:r>
              <w:rPr>
                <w:rFonts w:hint="eastAsia"/>
                <w:bCs/>
                <w:color w:val="auto"/>
                <w:sz w:val="24"/>
                <w:u w:val="none"/>
              </w:rPr>
              <w:t>豆豉生产用水按照20m</w:t>
            </w:r>
            <w:r>
              <w:rPr>
                <w:rFonts w:hint="eastAsia"/>
                <w:bCs/>
                <w:color w:val="auto"/>
                <w:sz w:val="24"/>
                <w:u w:val="none"/>
                <w:vertAlign w:val="superscript"/>
              </w:rPr>
              <w:t>3</w:t>
            </w:r>
            <w:r>
              <w:rPr>
                <w:rFonts w:hint="eastAsia"/>
                <w:bCs/>
                <w:color w:val="auto"/>
                <w:sz w:val="24"/>
                <w:u w:val="none"/>
              </w:rPr>
              <w:t>/t-原料</w:t>
            </w:r>
            <w:r>
              <w:rPr>
                <w:rFonts w:hint="eastAsia"/>
                <w:bCs/>
                <w:color w:val="auto"/>
                <w:sz w:val="24"/>
                <w:u w:val="none"/>
                <w:lang w:val="en-US" w:eastAsia="zh-CN"/>
              </w:rPr>
              <w:t>计</w:t>
            </w:r>
            <w:r>
              <w:rPr>
                <w:rFonts w:hint="eastAsia"/>
                <w:bCs/>
                <w:color w:val="auto"/>
                <w:sz w:val="24"/>
                <w:u w:val="none"/>
              </w:rPr>
              <w:t>，则</w:t>
            </w:r>
            <w:r>
              <w:rPr>
                <w:rFonts w:hint="eastAsia"/>
                <w:bCs/>
                <w:color w:val="auto"/>
                <w:sz w:val="24"/>
                <w:u w:val="none"/>
                <w:lang w:val="en-US" w:eastAsia="zh-CN"/>
              </w:rPr>
              <w:t>本项目</w:t>
            </w:r>
            <w:r>
              <w:rPr>
                <w:rFonts w:hint="eastAsia"/>
                <w:bCs/>
                <w:color w:val="auto"/>
                <w:sz w:val="24"/>
                <w:u w:val="none"/>
              </w:rPr>
              <w:t>豆豉生产用水量为214m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eastAsia="zh-CN"/>
              </w:rPr>
              <w:t>。</w:t>
            </w:r>
          </w:p>
          <w:p>
            <w:pPr>
              <w:spacing w:line="360" w:lineRule="auto"/>
              <w:ind w:firstLine="480"/>
              <w:rPr>
                <w:rFonts w:hint="eastAsia"/>
                <w:bCs/>
                <w:color w:val="auto"/>
                <w:sz w:val="24"/>
                <w:u w:val="none"/>
                <w:lang w:val="en-US" w:eastAsia="zh-CN"/>
              </w:rPr>
            </w:pPr>
            <w:r>
              <w:rPr>
                <w:rFonts w:hint="eastAsia"/>
                <w:b/>
                <w:bCs w:val="0"/>
                <w:color w:val="auto"/>
                <w:sz w:val="24"/>
                <w:u w:val="none"/>
                <w:lang w:val="en-US" w:eastAsia="zh-CN"/>
              </w:rPr>
              <w:t>蒸汽消耗量：</w:t>
            </w:r>
            <w:r>
              <w:rPr>
                <w:rFonts w:hint="eastAsia"/>
                <w:bCs/>
                <w:color w:val="auto"/>
                <w:sz w:val="24"/>
                <w:u w:val="none"/>
                <w:lang w:val="en-US" w:eastAsia="zh-CN"/>
              </w:rPr>
              <w:t>黄豆蒸煮过程需消耗蒸汽19.2t/d，蒸汽与黄豆直接接触，部分消耗，约50%（9.6</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val="en-US" w:eastAsia="zh-CN"/>
              </w:rPr>
              <w:t>）蒸汽进入蒸煮废水。</w:t>
            </w:r>
          </w:p>
          <w:p>
            <w:pPr>
              <w:spacing w:line="360" w:lineRule="auto"/>
              <w:ind w:firstLine="480"/>
              <w:rPr>
                <w:rFonts w:hint="eastAsia"/>
                <w:bCs/>
                <w:color w:val="auto"/>
                <w:sz w:val="24"/>
                <w:u w:val="none"/>
              </w:rPr>
            </w:pPr>
            <w:r>
              <w:rPr>
                <w:rFonts w:hint="eastAsia"/>
                <w:b/>
                <w:bCs w:val="0"/>
                <w:color w:val="auto"/>
                <w:sz w:val="24"/>
                <w:u w:val="none"/>
                <w:lang w:val="en-US" w:eastAsia="zh-CN"/>
              </w:rPr>
              <w:t>排水量：</w:t>
            </w:r>
            <w:r>
              <w:rPr>
                <w:rFonts w:hint="eastAsia"/>
                <w:bCs/>
                <w:color w:val="auto"/>
                <w:sz w:val="24"/>
                <w:u w:val="none"/>
              </w:rPr>
              <w:t>根据《</w:t>
            </w:r>
            <w:r>
              <w:rPr>
                <w:bCs/>
                <w:color w:val="auto"/>
                <w:sz w:val="24"/>
                <w:u w:val="none"/>
              </w:rPr>
              <w:t>排放源统计调查产排污核算方法和系数手册</w:t>
            </w:r>
            <w:r>
              <w:rPr>
                <w:rFonts w:hint="eastAsia"/>
                <w:bCs/>
                <w:color w:val="auto"/>
                <w:sz w:val="24"/>
                <w:u w:val="none"/>
              </w:rPr>
              <w:t>》“</w:t>
            </w:r>
            <w:r>
              <w:rPr>
                <w:bCs/>
                <w:color w:val="auto"/>
                <w:sz w:val="24"/>
                <w:u w:val="none"/>
              </w:rPr>
              <w:t>1392 豆制品制造行业系数手册</w:t>
            </w:r>
            <w:r>
              <w:rPr>
                <w:rFonts w:hint="eastAsia"/>
                <w:bCs/>
                <w:color w:val="auto"/>
                <w:sz w:val="24"/>
                <w:u w:val="none"/>
              </w:rPr>
              <w:t>”，豆腐（</w:t>
            </w:r>
            <w:r>
              <w:rPr>
                <w:bCs/>
                <w:color w:val="auto"/>
                <w:sz w:val="24"/>
                <w:u w:val="none"/>
              </w:rPr>
              <w:t>≥5吨-原料/天</w:t>
            </w:r>
            <w:r>
              <w:rPr>
                <w:rFonts w:hint="eastAsia"/>
                <w:bCs/>
                <w:color w:val="auto"/>
                <w:sz w:val="24"/>
                <w:u w:val="none"/>
              </w:rPr>
              <w:t>）废水产污系数为</w:t>
            </w:r>
            <w:r>
              <w:rPr>
                <w:bCs/>
                <w:color w:val="auto"/>
                <w:sz w:val="24"/>
                <w:u w:val="none"/>
              </w:rPr>
              <w:t>26.70</w:t>
            </w:r>
            <w:r>
              <w:rPr>
                <w:rFonts w:hint="eastAsia"/>
                <w:bCs/>
                <w:color w:val="auto"/>
                <w:sz w:val="24"/>
                <w:u w:val="none"/>
              </w:rPr>
              <w:t>t/t-原料，同时根据系数手册“</w:t>
            </w:r>
            <w:r>
              <w:rPr>
                <w:bCs/>
                <w:color w:val="auto"/>
                <w:sz w:val="24"/>
                <w:u w:val="none"/>
              </w:rPr>
              <w:t>表1豆制品制造行业产污系数调整表</w:t>
            </w:r>
            <w:r>
              <w:rPr>
                <w:rFonts w:hint="eastAsia"/>
                <w:bCs/>
                <w:color w:val="auto"/>
                <w:sz w:val="24"/>
                <w:u w:val="none"/>
              </w:rPr>
              <w:t>”，</w:t>
            </w:r>
            <w:r>
              <w:rPr>
                <w:bCs/>
                <w:color w:val="auto"/>
                <w:sz w:val="24"/>
                <w:u w:val="none"/>
              </w:rPr>
              <w:t>豆豉对应的系数表单值</w:t>
            </w:r>
            <w:r>
              <w:rPr>
                <w:rFonts w:hint="eastAsia"/>
                <w:bCs/>
                <w:color w:val="auto"/>
                <w:sz w:val="24"/>
                <w:u w:val="none"/>
              </w:rPr>
              <w:t>（豆腐）工业废水量的调整系数为0.5，因此本项目废水量按照13.35m</w:t>
            </w:r>
            <w:r>
              <w:rPr>
                <w:rFonts w:hint="eastAsia"/>
                <w:bCs/>
                <w:color w:val="auto"/>
                <w:sz w:val="24"/>
                <w:u w:val="none"/>
                <w:vertAlign w:val="superscript"/>
              </w:rPr>
              <w:t>3</w:t>
            </w:r>
            <w:r>
              <w:rPr>
                <w:rFonts w:hint="eastAsia"/>
                <w:bCs/>
                <w:color w:val="auto"/>
                <w:sz w:val="24"/>
                <w:u w:val="none"/>
              </w:rPr>
              <w:t>/t-原料估算</w:t>
            </w:r>
            <w:r>
              <w:rPr>
                <w:rFonts w:hint="eastAsia"/>
                <w:bCs/>
                <w:color w:val="auto"/>
                <w:sz w:val="24"/>
                <w:u w:val="none"/>
                <w:lang w:eastAsia="zh-CN"/>
              </w:rPr>
              <w:t>，</w:t>
            </w:r>
            <w:r>
              <w:rPr>
                <w:rFonts w:hint="eastAsia"/>
                <w:bCs/>
                <w:color w:val="auto"/>
                <w:sz w:val="24"/>
                <w:u w:val="none"/>
              </w:rPr>
              <w:t>废水量为142.8m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eastAsia="zh-CN"/>
              </w:rPr>
              <w:t>；</w:t>
            </w:r>
            <w:r>
              <w:rPr>
                <w:rFonts w:hint="eastAsia"/>
                <w:bCs/>
                <w:color w:val="auto"/>
                <w:sz w:val="24"/>
                <w:u w:val="none"/>
                <w:lang w:val="en-US" w:eastAsia="zh-CN"/>
              </w:rPr>
              <w:t>同时考虑9.6</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val="en-US" w:eastAsia="zh-CN"/>
              </w:rPr>
              <w:t>蒸汽进入蒸煮废水，则豆豉生产废水总产生量为152.4</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eastAsia="zh-CN"/>
              </w:rPr>
              <w:t>，</w:t>
            </w:r>
            <w:r>
              <w:rPr>
                <w:rFonts w:hint="eastAsia"/>
                <w:bCs/>
                <w:color w:val="auto"/>
                <w:sz w:val="24"/>
                <w:u w:val="none"/>
              </w:rPr>
              <w:t>进入厂区污水处理站处理。</w:t>
            </w:r>
          </w:p>
          <w:p>
            <w:pPr>
              <w:spacing w:line="360" w:lineRule="auto"/>
              <w:ind w:firstLine="480"/>
              <w:rPr>
                <w:rFonts w:hint="eastAsia"/>
                <w:bCs/>
                <w:color w:val="auto"/>
                <w:sz w:val="24"/>
                <w:u w:val="none"/>
                <w:lang w:val="en-US" w:eastAsia="zh-CN"/>
              </w:rPr>
            </w:pPr>
            <w:r>
              <w:rPr>
                <w:rFonts w:hint="eastAsia"/>
                <w:b/>
                <w:bCs w:val="0"/>
                <w:color w:val="auto"/>
                <w:sz w:val="24"/>
                <w:u w:val="none"/>
                <w:lang w:val="en-US" w:eastAsia="zh-CN"/>
              </w:rPr>
              <w:t>产品含水量：</w:t>
            </w:r>
            <w:r>
              <w:rPr>
                <w:rFonts w:hint="eastAsia"/>
                <w:bCs/>
                <w:color w:val="auto"/>
                <w:sz w:val="24"/>
                <w:u w:val="none"/>
                <w:lang w:val="en-US" w:eastAsia="zh-CN"/>
              </w:rPr>
              <w:t>原料为干物料，不考虑原料含水率。生产过程中黄豆会吸收水分制成豆豉坯，豆豉坯的含水率为30%，则产品含水量=10.7÷70%-10.7=4.6m</w:t>
            </w:r>
            <w:r>
              <w:rPr>
                <w:rFonts w:hint="eastAsia"/>
                <w:bCs/>
                <w:color w:val="auto"/>
                <w:sz w:val="24"/>
                <w:u w:val="none"/>
                <w:vertAlign w:val="superscript"/>
                <w:lang w:val="en-US" w:eastAsia="zh-CN"/>
              </w:rPr>
              <w:t>3</w:t>
            </w:r>
            <w:r>
              <w:rPr>
                <w:rFonts w:hint="eastAsia"/>
                <w:bCs/>
                <w:color w:val="auto"/>
                <w:sz w:val="24"/>
                <w:u w:val="none"/>
                <w:lang w:val="en-US" w:eastAsia="zh-CN"/>
              </w:rPr>
              <w:t>/d。</w:t>
            </w:r>
          </w:p>
          <w:p>
            <w:pPr>
              <w:spacing w:line="360" w:lineRule="auto"/>
              <w:ind w:firstLine="480"/>
              <w:rPr>
                <w:rFonts w:hint="default"/>
                <w:bCs/>
                <w:color w:val="auto"/>
                <w:sz w:val="24"/>
                <w:u w:val="none"/>
                <w:lang w:val="en-US" w:eastAsia="zh-CN"/>
              </w:rPr>
            </w:pPr>
            <w:r>
              <w:rPr>
                <w:rFonts w:hint="eastAsia"/>
                <w:b/>
                <w:bCs w:val="0"/>
                <w:color w:val="auto"/>
                <w:sz w:val="24"/>
                <w:u w:val="none"/>
                <w:lang w:val="en-US" w:eastAsia="zh-CN"/>
              </w:rPr>
              <w:t>损耗量：</w:t>
            </w:r>
            <w:r>
              <w:rPr>
                <w:rFonts w:hint="eastAsia"/>
                <w:b w:val="0"/>
                <w:bCs/>
                <w:color w:val="auto"/>
                <w:sz w:val="24"/>
                <w:u w:val="none"/>
                <w:lang w:val="en-US" w:eastAsia="zh-CN"/>
              </w:rPr>
              <w:t>生产过程经蒸煮、出罐晾晒、低温烘干均有水分损耗，</w:t>
            </w:r>
            <w:r>
              <w:rPr>
                <w:rFonts w:hint="eastAsia"/>
                <w:bCs/>
                <w:color w:val="auto"/>
                <w:sz w:val="24"/>
                <w:u w:val="none"/>
                <w:lang w:val="en-US" w:eastAsia="zh-CN"/>
              </w:rPr>
              <w:t>损耗量=用水量+蒸汽消耗量-排水量-产品含水量=214+19.2-152.4-4.6=76.2m</w:t>
            </w:r>
            <w:r>
              <w:rPr>
                <w:rFonts w:hint="eastAsia"/>
                <w:bCs/>
                <w:color w:val="auto"/>
                <w:sz w:val="24"/>
                <w:u w:val="none"/>
                <w:vertAlign w:val="superscript"/>
                <w:lang w:val="en-US" w:eastAsia="zh-CN"/>
              </w:rPr>
              <w:t>3</w:t>
            </w:r>
            <w:r>
              <w:rPr>
                <w:rFonts w:hint="eastAsia"/>
                <w:bCs/>
                <w:color w:val="auto"/>
                <w:sz w:val="24"/>
                <w:u w:val="none"/>
                <w:lang w:val="en-US" w:eastAsia="zh-CN"/>
              </w:rPr>
              <w:t>/d。</w:t>
            </w:r>
          </w:p>
          <w:p>
            <w:pPr>
              <w:spacing w:line="360" w:lineRule="auto"/>
              <w:ind w:firstLine="480"/>
              <w:rPr>
                <w:rFonts w:hint="eastAsia"/>
                <w:bCs/>
                <w:color w:val="auto"/>
                <w:sz w:val="24"/>
                <w:u w:val="none"/>
              </w:rPr>
            </w:pPr>
            <w:r>
              <w:rPr>
                <w:rFonts w:hint="eastAsia"/>
                <w:bCs/>
                <w:color w:val="auto"/>
                <w:sz w:val="24"/>
                <w:u w:val="none"/>
              </w:rPr>
              <w:t>（2）腐乳生产工艺用水</w:t>
            </w:r>
          </w:p>
          <w:p>
            <w:pPr>
              <w:spacing w:line="360" w:lineRule="auto"/>
              <w:ind w:firstLine="480"/>
              <w:rPr>
                <w:rFonts w:hint="eastAsia"/>
                <w:bCs/>
                <w:color w:val="auto"/>
                <w:sz w:val="24"/>
                <w:u w:val="none"/>
              </w:rPr>
            </w:pPr>
            <w:r>
              <w:rPr>
                <w:rFonts w:hint="eastAsia"/>
                <w:b/>
                <w:bCs w:val="0"/>
                <w:color w:val="auto"/>
                <w:sz w:val="24"/>
                <w:u w:val="none"/>
                <w:lang w:val="en-US" w:eastAsia="zh-CN"/>
              </w:rPr>
              <w:t>用水量：</w:t>
            </w:r>
            <w:r>
              <w:rPr>
                <w:rFonts w:hint="eastAsia"/>
                <w:bCs/>
                <w:color w:val="auto"/>
                <w:sz w:val="24"/>
                <w:u w:val="none"/>
              </w:rPr>
              <w:t>腐乳生产工艺用水主要为清洗浸泡、磨浆、煮浆、点浆等工序，用水环节均为豆腐坯生产过程，采用自来水。本项目腐乳生产所需黄豆用量为0.89t/d，参照</w:t>
            </w:r>
            <w:r>
              <w:rPr>
                <w:bCs/>
                <w:color w:val="auto"/>
                <w:sz w:val="24"/>
                <w:u w:val="none"/>
              </w:rPr>
              <w:t>湖南省地方标准</w:t>
            </w:r>
            <w:r>
              <w:rPr>
                <w:rFonts w:hint="eastAsia"/>
                <w:bCs/>
                <w:color w:val="auto"/>
                <w:sz w:val="24"/>
                <w:u w:val="none"/>
              </w:rPr>
              <w:t>《用水定额 第二部分：工业》（</w:t>
            </w:r>
            <w:r>
              <w:rPr>
                <w:bCs/>
                <w:color w:val="auto"/>
                <w:sz w:val="24"/>
                <w:u w:val="none"/>
              </w:rPr>
              <w:t xml:space="preserve">DB43/T </w:t>
            </w:r>
            <w:r>
              <w:rPr>
                <w:rFonts w:hint="eastAsia"/>
                <w:bCs/>
                <w:color w:val="auto"/>
                <w:sz w:val="24"/>
                <w:u w:val="none"/>
              </w:rPr>
              <w:t>-</w:t>
            </w:r>
            <w:r>
              <w:rPr>
                <w:bCs/>
                <w:color w:val="auto"/>
                <w:sz w:val="24"/>
                <w:u w:val="none"/>
              </w:rPr>
              <w:t>2025</w:t>
            </w:r>
            <w:r>
              <w:rPr>
                <w:rFonts w:hint="eastAsia"/>
                <w:bCs/>
                <w:color w:val="auto"/>
                <w:sz w:val="24"/>
                <w:u w:val="none"/>
              </w:rPr>
              <w:t>）表2中豆制品</w:t>
            </w:r>
            <w:r>
              <w:rPr>
                <w:bCs/>
                <w:color w:val="auto"/>
                <w:sz w:val="24"/>
                <w:u w:val="none"/>
              </w:rPr>
              <w:t>制造（豆腐）</w:t>
            </w:r>
            <w:r>
              <w:rPr>
                <w:rFonts w:hint="eastAsia"/>
                <w:bCs/>
                <w:color w:val="auto"/>
                <w:sz w:val="24"/>
                <w:u w:val="none"/>
              </w:rPr>
              <w:t>用水定额通用值为40m</w:t>
            </w:r>
            <w:r>
              <w:rPr>
                <w:rFonts w:hint="eastAsia"/>
                <w:bCs/>
                <w:color w:val="auto"/>
                <w:sz w:val="24"/>
                <w:u w:val="none"/>
                <w:vertAlign w:val="superscript"/>
              </w:rPr>
              <w:t>3</w:t>
            </w:r>
            <w:r>
              <w:rPr>
                <w:rFonts w:hint="eastAsia"/>
                <w:bCs/>
                <w:color w:val="auto"/>
                <w:sz w:val="24"/>
                <w:u w:val="none"/>
              </w:rPr>
              <w:t>/t-原料，用水量为35.6m</w:t>
            </w:r>
            <w:r>
              <w:rPr>
                <w:rFonts w:hint="eastAsia"/>
                <w:bCs/>
                <w:color w:val="auto"/>
                <w:sz w:val="24"/>
                <w:u w:val="none"/>
                <w:vertAlign w:val="superscript"/>
              </w:rPr>
              <w:t>3</w:t>
            </w:r>
            <w:r>
              <w:rPr>
                <w:rFonts w:hint="eastAsia"/>
                <w:bCs/>
                <w:color w:val="auto"/>
                <w:sz w:val="24"/>
                <w:u w:val="none"/>
              </w:rPr>
              <w:t>/d。</w:t>
            </w:r>
          </w:p>
          <w:p>
            <w:pPr>
              <w:spacing w:line="360" w:lineRule="auto"/>
              <w:ind w:firstLine="480"/>
              <w:rPr>
                <w:rFonts w:hint="eastAsia"/>
                <w:bCs/>
                <w:color w:val="auto"/>
                <w:sz w:val="24"/>
                <w:u w:val="none"/>
              </w:rPr>
            </w:pPr>
            <w:r>
              <w:rPr>
                <w:rFonts w:hint="eastAsia"/>
                <w:b/>
                <w:bCs w:val="0"/>
                <w:color w:val="auto"/>
                <w:sz w:val="24"/>
                <w:u w:val="none"/>
                <w:lang w:val="en-US" w:eastAsia="zh-CN"/>
              </w:rPr>
              <w:t>蒸汽消耗量：</w:t>
            </w:r>
            <w:r>
              <w:rPr>
                <w:rFonts w:hint="eastAsia"/>
                <w:bCs/>
                <w:color w:val="auto"/>
                <w:sz w:val="24"/>
                <w:u w:val="none"/>
                <w:lang w:val="en-US" w:eastAsia="zh-CN"/>
              </w:rPr>
              <w:t>煮浆过程需消耗蒸汽3.2t/d，蒸汽与浆料直接接触，部分消耗，约50%（1.6</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val="en-US" w:eastAsia="zh-CN"/>
              </w:rPr>
              <w:t>）进入废水。</w:t>
            </w:r>
          </w:p>
          <w:p>
            <w:pPr>
              <w:spacing w:line="360" w:lineRule="auto"/>
              <w:ind w:firstLine="480"/>
              <w:rPr>
                <w:rFonts w:hint="eastAsia"/>
                <w:bCs/>
                <w:color w:val="auto"/>
                <w:sz w:val="24"/>
                <w:u w:val="none"/>
              </w:rPr>
            </w:pPr>
            <w:r>
              <w:rPr>
                <w:rFonts w:hint="eastAsia"/>
                <w:b/>
                <w:bCs w:val="0"/>
                <w:color w:val="auto"/>
                <w:sz w:val="24"/>
                <w:u w:val="none"/>
                <w:lang w:val="en-US" w:eastAsia="zh-CN"/>
              </w:rPr>
              <w:t>排水量：</w:t>
            </w:r>
            <w:r>
              <w:rPr>
                <w:rFonts w:hint="eastAsia"/>
                <w:bCs/>
                <w:color w:val="auto"/>
                <w:sz w:val="24"/>
                <w:u w:val="none"/>
              </w:rPr>
              <w:t>根据《</w:t>
            </w:r>
            <w:r>
              <w:rPr>
                <w:bCs/>
                <w:color w:val="auto"/>
                <w:sz w:val="24"/>
                <w:u w:val="none"/>
              </w:rPr>
              <w:t>排放源统计调查产排污核算方法和系数手册</w:t>
            </w:r>
            <w:r>
              <w:rPr>
                <w:rFonts w:hint="eastAsia"/>
                <w:bCs/>
                <w:color w:val="auto"/>
                <w:sz w:val="24"/>
                <w:u w:val="none"/>
              </w:rPr>
              <w:t>》“</w:t>
            </w:r>
            <w:r>
              <w:rPr>
                <w:bCs/>
                <w:color w:val="auto"/>
                <w:sz w:val="24"/>
                <w:u w:val="none"/>
              </w:rPr>
              <w:t>1392 豆制品制造行业系数手册</w:t>
            </w:r>
            <w:r>
              <w:rPr>
                <w:rFonts w:hint="eastAsia"/>
                <w:bCs/>
                <w:color w:val="auto"/>
                <w:sz w:val="24"/>
                <w:u w:val="none"/>
              </w:rPr>
              <w:t>”，腐乳（＜</w:t>
            </w:r>
            <w:r>
              <w:rPr>
                <w:bCs/>
                <w:color w:val="auto"/>
                <w:sz w:val="24"/>
                <w:u w:val="none"/>
              </w:rPr>
              <w:t>5吨-原料/天</w:t>
            </w:r>
            <w:r>
              <w:rPr>
                <w:rFonts w:hint="eastAsia"/>
                <w:bCs/>
                <w:color w:val="auto"/>
                <w:sz w:val="24"/>
                <w:u w:val="none"/>
              </w:rPr>
              <w:t>）废水产污系数为21.1t/t-原料，则废水量为18.8m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eastAsia="zh-CN"/>
              </w:rPr>
              <w:t>；</w:t>
            </w:r>
            <w:r>
              <w:rPr>
                <w:rFonts w:hint="eastAsia"/>
                <w:bCs/>
                <w:color w:val="auto"/>
                <w:sz w:val="24"/>
                <w:u w:val="none"/>
                <w:lang w:val="en-US" w:eastAsia="zh-CN"/>
              </w:rPr>
              <w:t>同时考虑1.6</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val="en-US" w:eastAsia="zh-CN"/>
              </w:rPr>
              <w:t>蒸汽进入蒸煮废水，则腐乳生产废水总产生量为20.4</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eastAsia="zh-CN"/>
              </w:rPr>
              <w:t>，</w:t>
            </w:r>
            <w:r>
              <w:rPr>
                <w:rFonts w:hint="eastAsia"/>
                <w:bCs/>
                <w:color w:val="auto"/>
                <w:sz w:val="24"/>
                <w:u w:val="none"/>
              </w:rPr>
              <w:t>进入厂区污水处理站处理。</w:t>
            </w:r>
          </w:p>
          <w:p>
            <w:pPr>
              <w:spacing w:line="360" w:lineRule="auto"/>
              <w:ind w:firstLine="480"/>
              <w:rPr>
                <w:rFonts w:hint="eastAsia"/>
                <w:bCs/>
                <w:color w:val="auto"/>
                <w:sz w:val="24"/>
                <w:u w:val="none"/>
                <w:lang w:val="en-US" w:eastAsia="zh-CN"/>
              </w:rPr>
            </w:pPr>
            <w:r>
              <w:rPr>
                <w:rFonts w:hint="eastAsia"/>
                <w:b/>
                <w:bCs w:val="0"/>
                <w:color w:val="auto"/>
                <w:sz w:val="24"/>
                <w:u w:val="none"/>
                <w:lang w:val="en-US" w:eastAsia="zh-CN"/>
              </w:rPr>
              <w:t>产品含水量：</w:t>
            </w:r>
            <w:r>
              <w:rPr>
                <w:rFonts w:hint="eastAsia"/>
                <w:bCs/>
                <w:color w:val="auto"/>
                <w:sz w:val="24"/>
                <w:u w:val="none"/>
                <w:lang w:val="en-US" w:eastAsia="zh-CN"/>
              </w:rPr>
              <w:t>原料为干物料，不考虑原料含水率。生产过程中黄豆会吸收水分制成豆豉坯，豆腐坯的含水率为70%，则产品含水量=0.89÷30%-0.89=2.1m</w:t>
            </w:r>
            <w:r>
              <w:rPr>
                <w:rFonts w:hint="eastAsia"/>
                <w:bCs/>
                <w:color w:val="auto"/>
                <w:sz w:val="24"/>
                <w:u w:val="none"/>
                <w:vertAlign w:val="superscript"/>
                <w:lang w:val="en-US" w:eastAsia="zh-CN"/>
              </w:rPr>
              <w:t>3</w:t>
            </w:r>
            <w:r>
              <w:rPr>
                <w:rFonts w:hint="eastAsia"/>
                <w:bCs/>
                <w:color w:val="auto"/>
                <w:sz w:val="24"/>
                <w:u w:val="none"/>
                <w:lang w:val="en-US" w:eastAsia="zh-CN"/>
              </w:rPr>
              <w:t>/d。</w:t>
            </w:r>
          </w:p>
          <w:p>
            <w:pPr>
              <w:spacing w:line="360" w:lineRule="auto"/>
              <w:ind w:firstLine="480"/>
              <w:rPr>
                <w:rFonts w:hint="default"/>
                <w:bCs/>
                <w:color w:val="auto"/>
                <w:sz w:val="24"/>
                <w:u w:val="none"/>
                <w:lang w:val="en-US" w:eastAsia="zh-CN"/>
              </w:rPr>
            </w:pPr>
            <w:r>
              <w:rPr>
                <w:rFonts w:hint="eastAsia"/>
                <w:b/>
                <w:bCs w:val="0"/>
                <w:color w:val="auto"/>
                <w:sz w:val="24"/>
                <w:u w:val="none"/>
                <w:lang w:val="en-US" w:eastAsia="zh-CN"/>
              </w:rPr>
              <w:t>损耗量：</w:t>
            </w:r>
            <w:r>
              <w:rPr>
                <w:rFonts w:hint="eastAsia"/>
                <w:b w:val="0"/>
                <w:bCs/>
                <w:color w:val="auto"/>
                <w:sz w:val="24"/>
                <w:u w:val="none"/>
                <w:lang w:val="en-US" w:eastAsia="zh-CN"/>
              </w:rPr>
              <w:t>主要为煮浆、发酵过程蒸发损耗及豆渣、废边角料含水等造成的水分损耗，</w:t>
            </w:r>
            <w:r>
              <w:rPr>
                <w:rFonts w:hint="eastAsia"/>
                <w:bCs/>
                <w:color w:val="auto"/>
                <w:sz w:val="24"/>
                <w:u w:val="none"/>
                <w:lang w:val="en-US" w:eastAsia="zh-CN"/>
              </w:rPr>
              <w:t>损耗量=用水量+蒸汽消耗量-排水量-产品含水量=35.6+3.2-20.4-2.1=16.3m</w:t>
            </w:r>
            <w:r>
              <w:rPr>
                <w:rFonts w:hint="eastAsia"/>
                <w:bCs/>
                <w:color w:val="auto"/>
                <w:sz w:val="24"/>
                <w:u w:val="none"/>
                <w:vertAlign w:val="superscript"/>
                <w:lang w:val="en-US" w:eastAsia="zh-CN"/>
              </w:rPr>
              <w:t>3</w:t>
            </w:r>
            <w:r>
              <w:rPr>
                <w:rFonts w:hint="eastAsia"/>
                <w:bCs/>
                <w:color w:val="auto"/>
                <w:sz w:val="24"/>
                <w:u w:val="none"/>
                <w:lang w:val="en-US" w:eastAsia="zh-CN"/>
              </w:rPr>
              <w:t>/d。</w:t>
            </w:r>
          </w:p>
          <w:p>
            <w:pPr>
              <w:spacing w:line="360" w:lineRule="auto"/>
              <w:ind w:firstLine="480"/>
              <w:rPr>
                <w:rFonts w:hint="eastAsia"/>
                <w:bCs/>
                <w:color w:val="auto"/>
                <w:sz w:val="24"/>
                <w:u w:val="none"/>
              </w:rPr>
            </w:pPr>
            <w:r>
              <w:rPr>
                <w:rFonts w:hint="eastAsia"/>
                <w:bCs/>
                <w:color w:val="auto"/>
                <w:sz w:val="24"/>
                <w:u w:val="none"/>
              </w:rPr>
              <w:t>（3）剁辣椒、油辣椒、下饭菜生产工艺用水</w:t>
            </w:r>
          </w:p>
          <w:p>
            <w:pPr>
              <w:spacing w:line="360" w:lineRule="auto"/>
              <w:ind w:firstLine="480"/>
              <w:rPr>
                <w:rFonts w:hint="eastAsia"/>
                <w:bCs/>
                <w:color w:val="auto"/>
                <w:sz w:val="24"/>
                <w:u w:val="none"/>
              </w:rPr>
            </w:pPr>
            <w:r>
              <w:rPr>
                <w:rFonts w:hint="eastAsia"/>
                <w:b/>
                <w:bCs w:val="0"/>
                <w:color w:val="auto"/>
                <w:sz w:val="24"/>
                <w:u w:val="none"/>
                <w:lang w:val="en-US" w:eastAsia="zh-CN"/>
              </w:rPr>
              <w:t>用水量：</w:t>
            </w:r>
            <w:r>
              <w:rPr>
                <w:rFonts w:hint="eastAsia"/>
                <w:bCs/>
                <w:color w:val="auto"/>
                <w:sz w:val="24"/>
                <w:u w:val="none"/>
              </w:rPr>
              <w:t>本项目剁辣椒、油辣椒、下饭菜共用生产线，使用半成品腌制菜及腌制辣椒，因此项目无腌制工序，生产用水主要用于原料清洗、蒸煮。剁辣椒、油辣椒、下饭菜属于</w:t>
            </w:r>
            <w:r>
              <w:rPr>
                <w:rFonts w:hint="eastAsia"/>
                <w:color w:val="auto"/>
                <w:sz w:val="24"/>
                <w:u w:val="none"/>
              </w:rPr>
              <w:t>C1469其他调味品、发酵制品制造</w:t>
            </w:r>
            <w:r>
              <w:rPr>
                <w:rFonts w:hint="eastAsia"/>
                <w:color w:val="auto"/>
                <w:sz w:val="24"/>
                <w:u w:val="none"/>
                <w:lang w:val="en-US" w:eastAsia="zh-CN"/>
              </w:rPr>
              <w:t>及</w:t>
            </w:r>
            <w:r>
              <w:rPr>
                <w:rFonts w:hint="eastAsia"/>
                <w:color w:val="auto"/>
                <w:sz w:val="24"/>
                <w:u w:val="none"/>
              </w:rPr>
              <w:t>C1454其他罐头食品制造</w:t>
            </w:r>
            <w:r>
              <w:rPr>
                <w:rFonts w:hint="eastAsia"/>
                <w:bCs/>
                <w:color w:val="auto"/>
                <w:sz w:val="24"/>
                <w:u w:val="none"/>
              </w:rPr>
              <w:t>，产品产量合计为24.8t/d。根据</w:t>
            </w:r>
            <w:r>
              <w:rPr>
                <w:bCs/>
                <w:color w:val="auto"/>
                <w:sz w:val="24"/>
                <w:u w:val="none"/>
              </w:rPr>
              <w:t>湖南省地方标准</w:t>
            </w:r>
            <w:r>
              <w:rPr>
                <w:rFonts w:hint="eastAsia"/>
                <w:bCs/>
                <w:color w:val="auto"/>
                <w:sz w:val="24"/>
                <w:u w:val="none"/>
              </w:rPr>
              <w:t>《用水定额 第二部分：工业》（</w:t>
            </w:r>
            <w:r>
              <w:rPr>
                <w:bCs/>
                <w:color w:val="auto"/>
                <w:sz w:val="24"/>
                <w:u w:val="none"/>
              </w:rPr>
              <w:t>DB43/T</w:t>
            </w:r>
            <w:r>
              <w:rPr>
                <w:rFonts w:hint="eastAsia"/>
                <w:bCs/>
                <w:color w:val="auto"/>
                <w:sz w:val="24"/>
                <w:u w:val="none"/>
              </w:rPr>
              <w:t>-</w:t>
            </w:r>
            <w:r>
              <w:rPr>
                <w:bCs/>
                <w:color w:val="auto"/>
                <w:sz w:val="24"/>
                <w:u w:val="none"/>
              </w:rPr>
              <w:t>2025</w:t>
            </w:r>
            <w:r>
              <w:rPr>
                <w:rFonts w:hint="eastAsia"/>
                <w:bCs/>
                <w:color w:val="auto"/>
                <w:sz w:val="24"/>
                <w:u w:val="none"/>
              </w:rPr>
              <w:t>）表3中</w:t>
            </w:r>
            <w:r>
              <w:rPr>
                <w:bCs/>
                <w:color w:val="auto"/>
                <w:sz w:val="24"/>
                <w:u w:val="none"/>
              </w:rPr>
              <w:t>其他罐头食品</w:t>
            </w:r>
            <w:r>
              <w:rPr>
                <w:rFonts w:hint="eastAsia"/>
                <w:bCs/>
                <w:color w:val="auto"/>
                <w:sz w:val="24"/>
                <w:u w:val="none"/>
              </w:rPr>
              <w:t>用水定额8m</w:t>
            </w:r>
            <w:r>
              <w:rPr>
                <w:rFonts w:hint="eastAsia"/>
                <w:bCs/>
                <w:color w:val="auto"/>
                <w:sz w:val="24"/>
                <w:u w:val="none"/>
                <w:vertAlign w:val="superscript"/>
              </w:rPr>
              <w:t>3</w:t>
            </w:r>
            <w:r>
              <w:rPr>
                <w:rFonts w:hint="eastAsia"/>
                <w:bCs/>
                <w:color w:val="auto"/>
                <w:sz w:val="24"/>
                <w:u w:val="none"/>
              </w:rPr>
              <w:t>/t-产品，则用水量为198.4m</w:t>
            </w:r>
            <w:r>
              <w:rPr>
                <w:rFonts w:hint="eastAsia"/>
                <w:bCs/>
                <w:color w:val="auto"/>
                <w:sz w:val="24"/>
                <w:u w:val="none"/>
                <w:vertAlign w:val="superscript"/>
              </w:rPr>
              <w:t>3</w:t>
            </w:r>
            <w:r>
              <w:rPr>
                <w:rFonts w:hint="eastAsia"/>
                <w:bCs/>
                <w:color w:val="auto"/>
                <w:sz w:val="24"/>
                <w:u w:val="none"/>
              </w:rPr>
              <w:t>/d。</w:t>
            </w:r>
          </w:p>
          <w:p>
            <w:pPr>
              <w:spacing w:line="360" w:lineRule="auto"/>
              <w:ind w:firstLine="480"/>
              <w:rPr>
                <w:rFonts w:hint="eastAsia"/>
                <w:bCs/>
                <w:color w:val="auto"/>
                <w:sz w:val="24"/>
                <w:u w:val="none"/>
              </w:rPr>
            </w:pPr>
            <w:r>
              <w:rPr>
                <w:rFonts w:hint="eastAsia"/>
                <w:b/>
                <w:bCs w:val="0"/>
                <w:color w:val="auto"/>
                <w:sz w:val="24"/>
                <w:u w:val="none"/>
                <w:lang w:val="en-US" w:eastAsia="zh-CN"/>
              </w:rPr>
              <w:t>纯水用量：</w:t>
            </w:r>
            <w:r>
              <w:rPr>
                <w:rFonts w:hint="eastAsia"/>
                <w:bCs/>
                <w:color w:val="auto"/>
                <w:sz w:val="24"/>
                <w:u w:val="none"/>
                <w:lang w:val="en-US" w:eastAsia="zh-CN"/>
              </w:rPr>
              <w:t>剁辣椒生产过程中的</w:t>
            </w:r>
            <w:r>
              <w:rPr>
                <w:rFonts w:hint="eastAsia"/>
                <w:bCs/>
                <w:color w:val="auto"/>
                <w:sz w:val="24"/>
                <w:u w:val="none"/>
              </w:rPr>
              <w:t>加水烧工序</w:t>
            </w:r>
            <w:r>
              <w:rPr>
                <w:rFonts w:hint="eastAsia"/>
                <w:bCs/>
                <w:color w:val="auto"/>
                <w:sz w:val="24"/>
                <w:u w:val="none"/>
                <w:lang w:val="en-US" w:eastAsia="zh-CN"/>
              </w:rPr>
              <w:t>需额外添加纯水0.4t/t-腌制辣椒，剁辣椒生产消耗腌辣椒11.28t/a，则纯水消耗量</w:t>
            </w:r>
            <w:r>
              <w:rPr>
                <w:rFonts w:hint="eastAsia"/>
                <w:bCs/>
                <w:color w:val="auto"/>
                <w:sz w:val="24"/>
                <w:u w:val="none"/>
              </w:rPr>
              <w:t>4.5m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val="en-US" w:eastAsia="zh-CN"/>
              </w:rPr>
              <w:t>。</w:t>
            </w:r>
          </w:p>
          <w:p>
            <w:pPr>
              <w:spacing w:line="360" w:lineRule="auto"/>
              <w:ind w:firstLine="480"/>
              <w:rPr>
                <w:rFonts w:hint="default"/>
                <w:b/>
                <w:bCs w:val="0"/>
                <w:color w:val="auto"/>
                <w:sz w:val="24"/>
                <w:u w:val="none"/>
                <w:lang w:val="en-US" w:eastAsia="zh-CN"/>
              </w:rPr>
            </w:pPr>
            <w:r>
              <w:rPr>
                <w:rFonts w:hint="eastAsia"/>
                <w:b/>
                <w:bCs w:val="0"/>
                <w:color w:val="auto"/>
                <w:sz w:val="24"/>
                <w:u w:val="none"/>
                <w:lang w:val="en-US" w:eastAsia="zh-CN"/>
              </w:rPr>
              <w:t>蒸汽消耗量：</w:t>
            </w:r>
            <w:r>
              <w:rPr>
                <w:rFonts w:hint="eastAsia"/>
                <w:bCs/>
                <w:color w:val="auto"/>
                <w:sz w:val="24"/>
                <w:u w:val="none"/>
                <w:lang w:val="en-US" w:eastAsia="zh-CN"/>
              </w:rPr>
              <w:t>生产过程中腌辣椒、酱腌菜、肉制品等需采用高温蒸汽蒸煮，蒸汽消耗量8t/d，蒸汽与物料直接接触，部分消耗，约50%（4</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val="en-US" w:eastAsia="zh-CN"/>
              </w:rPr>
              <w:t>）进入废水。</w:t>
            </w:r>
          </w:p>
          <w:p>
            <w:pPr>
              <w:spacing w:line="360" w:lineRule="auto"/>
              <w:ind w:firstLine="480"/>
              <w:rPr>
                <w:rFonts w:hint="eastAsia"/>
                <w:bCs/>
                <w:color w:val="auto"/>
                <w:sz w:val="24"/>
                <w:u w:val="none"/>
              </w:rPr>
            </w:pPr>
            <w:r>
              <w:rPr>
                <w:rFonts w:hint="eastAsia"/>
                <w:b/>
                <w:bCs w:val="0"/>
                <w:color w:val="auto"/>
                <w:sz w:val="24"/>
                <w:u w:val="none"/>
                <w:lang w:val="en-US" w:eastAsia="zh-CN"/>
              </w:rPr>
              <w:t>排水量：</w:t>
            </w:r>
            <w:r>
              <w:rPr>
                <w:rFonts w:hint="eastAsia"/>
                <w:bCs/>
                <w:color w:val="auto"/>
                <w:sz w:val="24"/>
                <w:u w:val="none"/>
              </w:rPr>
              <w:t>根据《</w:t>
            </w:r>
            <w:r>
              <w:rPr>
                <w:bCs/>
                <w:color w:val="auto"/>
                <w:sz w:val="24"/>
                <w:u w:val="none"/>
              </w:rPr>
              <w:t>排放源统计调查产排污核算方法和系数手册</w:t>
            </w:r>
            <w:r>
              <w:rPr>
                <w:rFonts w:hint="eastAsia"/>
                <w:bCs/>
                <w:color w:val="auto"/>
                <w:sz w:val="24"/>
                <w:u w:val="none"/>
              </w:rPr>
              <w:t>》“</w:t>
            </w:r>
            <w:r>
              <w:rPr>
                <w:bCs/>
                <w:color w:val="auto"/>
                <w:sz w:val="24"/>
                <w:u w:val="none"/>
              </w:rPr>
              <w:t>1469 其他调味品、发酵制品制造行业系数手册</w:t>
            </w:r>
            <w:r>
              <w:rPr>
                <w:rFonts w:hint="eastAsia"/>
                <w:bCs/>
                <w:color w:val="auto"/>
                <w:sz w:val="24"/>
                <w:u w:val="none"/>
              </w:rPr>
              <w:t>”，香辣酱废水产污系数为5t/t-产品，则废水量为124 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eastAsia="zh-CN"/>
              </w:rPr>
              <w:t>；</w:t>
            </w:r>
            <w:r>
              <w:rPr>
                <w:rFonts w:hint="eastAsia"/>
                <w:bCs/>
                <w:color w:val="auto"/>
                <w:sz w:val="24"/>
                <w:u w:val="none"/>
                <w:lang w:val="en-US" w:eastAsia="zh-CN"/>
              </w:rPr>
              <w:t>同时考虑4</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val="en-US" w:eastAsia="zh-CN"/>
              </w:rPr>
              <w:t>蒸汽进入蒸煮废水，则</w:t>
            </w:r>
            <w:r>
              <w:rPr>
                <w:rFonts w:hint="eastAsia"/>
                <w:bCs/>
                <w:color w:val="auto"/>
                <w:sz w:val="24"/>
                <w:u w:val="none"/>
              </w:rPr>
              <w:t>剁辣椒、油辣椒、下饭菜</w:t>
            </w:r>
            <w:r>
              <w:rPr>
                <w:rFonts w:hint="eastAsia"/>
                <w:bCs/>
                <w:color w:val="auto"/>
                <w:sz w:val="24"/>
                <w:u w:val="none"/>
                <w:lang w:val="en-US" w:eastAsia="zh-CN"/>
              </w:rPr>
              <w:t>生产废水总产生量为128</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/d，进入厂区污水处理站处理。</w:t>
            </w:r>
          </w:p>
          <w:p>
            <w:pPr>
              <w:spacing w:line="360" w:lineRule="auto"/>
              <w:ind w:firstLine="480"/>
              <w:rPr>
                <w:rFonts w:hint="eastAsia"/>
                <w:bCs/>
                <w:color w:val="auto"/>
                <w:sz w:val="24"/>
                <w:u w:val="none"/>
                <w:lang w:val="en-US" w:eastAsia="zh-CN"/>
              </w:rPr>
            </w:pPr>
            <w:r>
              <w:rPr>
                <w:rFonts w:hint="eastAsia"/>
                <w:b/>
                <w:bCs w:val="0"/>
                <w:color w:val="auto"/>
                <w:sz w:val="24"/>
                <w:u w:val="none"/>
                <w:lang w:val="en-US" w:eastAsia="zh-CN"/>
              </w:rPr>
              <w:t>产品含水量：</w:t>
            </w:r>
            <w:r>
              <w:rPr>
                <w:rFonts w:hint="eastAsia"/>
                <w:bCs/>
                <w:color w:val="auto"/>
                <w:sz w:val="24"/>
                <w:u w:val="none"/>
                <w:lang w:val="en-US" w:eastAsia="zh-CN"/>
              </w:rPr>
              <w:t>油辣椒、下饭菜原料及产品含水量变化不大，仅剁辣椒生产过程中的</w:t>
            </w:r>
            <w:r>
              <w:rPr>
                <w:rFonts w:hint="eastAsia"/>
                <w:bCs/>
                <w:color w:val="auto"/>
                <w:sz w:val="24"/>
                <w:u w:val="none"/>
              </w:rPr>
              <w:t>加水烧工序</w:t>
            </w:r>
            <w:r>
              <w:rPr>
                <w:rFonts w:hint="eastAsia"/>
                <w:bCs/>
                <w:color w:val="auto"/>
                <w:sz w:val="24"/>
                <w:u w:val="none"/>
                <w:lang w:val="en-US" w:eastAsia="zh-CN"/>
              </w:rPr>
              <w:t>需添加纯水</w:t>
            </w:r>
            <w:r>
              <w:rPr>
                <w:rFonts w:hint="eastAsia"/>
                <w:bCs/>
                <w:color w:val="auto"/>
                <w:sz w:val="24"/>
                <w:u w:val="none"/>
              </w:rPr>
              <w:t>4.5m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val="en-US" w:eastAsia="zh-CN"/>
              </w:rPr>
              <w:t>，全部进入产品中。</w:t>
            </w:r>
          </w:p>
          <w:p>
            <w:pPr>
              <w:spacing w:line="360" w:lineRule="auto"/>
              <w:ind w:firstLine="480"/>
              <w:rPr>
                <w:rFonts w:hint="default"/>
                <w:bCs/>
                <w:color w:val="auto"/>
                <w:sz w:val="24"/>
                <w:u w:val="none"/>
                <w:lang w:val="en-US" w:eastAsia="zh-CN"/>
              </w:rPr>
            </w:pPr>
            <w:r>
              <w:rPr>
                <w:rFonts w:hint="eastAsia"/>
                <w:b/>
                <w:bCs w:val="0"/>
                <w:color w:val="auto"/>
                <w:sz w:val="24"/>
                <w:u w:val="none"/>
                <w:lang w:val="en-US" w:eastAsia="zh-CN"/>
              </w:rPr>
              <w:t>损耗量：</w:t>
            </w:r>
            <w:r>
              <w:rPr>
                <w:rFonts w:hint="eastAsia"/>
                <w:bCs/>
                <w:color w:val="auto"/>
                <w:sz w:val="24"/>
                <w:u w:val="none"/>
                <w:lang w:val="en-US" w:eastAsia="zh-CN"/>
              </w:rPr>
              <w:t>主要为蒸煮、炒制过程蒸发损耗，损耗量=用水量+纯水用量+蒸汽消耗量-排水量-产品含水量=198.4+4.5+8-128-4.5=78.4</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eastAsia="zh-CN"/>
              </w:rPr>
              <w:t>。</w:t>
            </w:r>
          </w:p>
          <w:p>
            <w:pPr>
              <w:spacing w:line="360" w:lineRule="auto"/>
              <w:ind w:firstLine="480"/>
              <w:rPr>
                <w:rFonts w:hint="eastAsia"/>
                <w:bCs/>
                <w:color w:val="auto"/>
                <w:sz w:val="24"/>
                <w:u w:val="none"/>
              </w:rPr>
            </w:pPr>
            <w:r>
              <w:rPr>
                <w:rFonts w:hint="eastAsia"/>
                <w:bCs/>
                <w:color w:val="auto"/>
                <w:sz w:val="24"/>
                <w:u w:val="none"/>
              </w:rPr>
              <w:t>（</w:t>
            </w:r>
            <w:r>
              <w:rPr>
                <w:rFonts w:hint="eastAsia"/>
                <w:bCs/>
                <w:color w:val="auto"/>
                <w:sz w:val="24"/>
                <w:u w:val="none"/>
                <w:lang w:val="en-US" w:eastAsia="zh-CN"/>
              </w:rPr>
              <w:t>4</w:t>
            </w:r>
            <w:r>
              <w:rPr>
                <w:rFonts w:hint="eastAsia"/>
                <w:bCs/>
                <w:color w:val="auto"/>
                <w:sz w:val="24"/>
                <w:u w:val="none"/>
              </w:rPr>
              <w:t>）纯水制备用水</w:t>
            </w:r>
          </w:p>
          <w:p>
            <w:pPr>
              <w:spacing w:line="360" w:lineRule="auto"/>
              <w:ind w:firstLine="480"/>
              <w:rPr>
                <w:bCs/>
                <w:color w:val="auto"/>
                <w:sz w:val="24"/>
                <w:u w:val="none"/>
              </w:rPr>
            </w:pPr>
            <w:r>
              <w:rPr>
                <w:rFonts w:hint="eastAsia"/>
                <w:bCs/>
                <w:color w:val="auto"/>
                <w:sz w:val="24"/>
                <w:u w:val="none"/>
              </w:rPr>
              <w:t>剁辣椒加水烧工序</w:t>
            </w:r>
            <w:r>
              <w:rPr>
                <w:rFonts w:hint="eastAsia"/>
                <w:bCs/>
                <w:color w:val="auto"/>
                <w:sz w:val="24"/>
                <w:u w:val="none"/>
                <w:lang w:val="en-US" w:eastAsia="zh-CN"/>
              </w:rPr>
              <w:t>需</w:t>
            </w:r>
            <w:r>
              <w:rPr>
                <w:rFonts w:hint="eastAsia"/>
                <w:bCs/>
                <w:color w:val="auto"/>
                <w:sz w:val="24"/>
                <w:u w:val="none"/>
              </w:rPr>
              <w:t>使用纯水</w:t>
            </w:r>
            <w:r>
              <w:rPr>
                <w:rFonts w:hint="eastAsia"/>
                <w:bCs/>
                <w:color w:val="auto"/>
                <w:sz w:val="24"/>
                <w:u w:val="none"/>
                <w:lang w:val="en-US" w:eastAsia="zh-CN"/>
              </w:rPr>
              <w:t>4.5</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/d，纯水机</w:t>
            </w:r>
            <w:r>
              <w:rPr>
                <w:bCs/>
                <w:color w:val="auto"/>
                <w:sz w:val="24"/>
                <w:u w:val="none"/>
              </w:rPr>
              <w:t>产水率约为70%，则自来水用量为</w:t>
            </w:r>
            <w:r>
              <w:rPr>
                <w:rFonts w:hint="eastAsia"/>
                <w:bCs/>
                <w:color w:val="auto"/>
                <w:sz w:val="24"/>
                <w:u w:val="none"/>
                <w:lang w:val="en-US" w:eastAsia="zh-CN"/>
              </w:rPr>
              <w:t>6.4</w:t>
            </w:r>
            <w:r>
              <w:rPr>
                <w:bCs/>
                <w:color w:val="auto"/>
                <w:sz w:val="24"/>
                <w:u w:val="none"/>
              </w:rPr>
              <w:t>m</w:t>
            </w:r>
            <w:r>
              <w:rPr>
                <w:bCs/>
                <w:color w:val="auto"/>
                <w:sz w:val="24"/>
                <w:u w:val="none"/>
                <w:vertAlign w:val="superscript"/>
              </w:rPr>
              <w:t>3</w:t>
            </w:r>
            <w:r>
              <w:rPr>
                <w:bCs/>
                <w:color w:val="auto"/>
                <w:sz w:val="24"/>
                <w:u w:val="none"/>
              </w:rPr>
              <w:t>/</w:t>
            </w:r>
            <w:r>
              <w:rPr>
                <w:rFonts w:hint="eastAsia"/>
                <w:bCs/>
                <w:color w:val="auto"/>
                <w:sz w:val="24"/>
                <w:u w:val="none"/>
              </w:rPr>
              <w:t>d</w:t>
            </w:r>
            <w:r>
              <w:rPr>
                <w:bCs/>
                <w:color w:val="auto"/>
                <w:sz w:val="24"/>
                <w:u w:val="none"/>
              </w:rPr>
              <w:t>，纯水制备废水产生量为</w:t>
            </w:r>
            <w:r>
              <w:rPr>
                <w:rFonts w:hint="eastAsia"/>
                <w:bCs/>
                <w:color w:val="auto"/>
                <w:sz w:val="24"/>
                <w:u w:val="none"/>
                <w:lang w:val="en-US" w:eastAsia="zh-CN"/>
              </w:rPr>
              <w:t>1.9</w:t>
            </w:r>
            <w:r>
              <w:rPr>
                <w:bCs/>
                <w:color w:val="auto"/>
                <w:sz w:val="24"/>
                <w:u w:val="none"/>
              </w:rPr>
              <w:t>m</w:t>
            </w:r>
            <w:r>
              <w:rPr>
                <w:bCs/>
                <w:color w:val="auto"/>
                <w:sz w:val="24"/>
                <w:u w:val="none"/>
                <w:vertAlign w:val="superscript"/>
              </w:rPr>
              <w:t>3</w:t>
            </w:r>
            <w:r>
              <w:rPr>
                <w:bCs/>
                <w:color w:val="auto"/>
                <w:sz w:val="24"/>
                <w:u w:val="none"/>
              </w:rPr>
              <w:t>/a，</w:t>
            </w:r>
            <w:r>
              <w:rPr>
                <w:rFonts w:hint="eastAsia"/>
                <w:bCs/>
                <w:color w:val="auto"/>
                <w:sz w:val="24"/>
                <w:u w:val="none"/>
              </w:rPr>
              <w:t>进入厂区污水处理站处理。</w:t>
            </w:r>
          </w:p>
          <w:p>
            <w:pPr>
              <w:spacing w:line="360" w:lineRule="auto"/>
              <w:ind w:firstLine="480"/>
              <w:rPr>
                <w:rFonts w:hint="eastAsia"/>
                <w:bCs/>
                <w:color w:val="auto"/>
                <w:sz w:val="24"/>
                <w:u w:val="none"/>
              </w:rPr>
            </w:pPr>
            <w:r>
              <w:rPr>
                <w:rFonts w:hint="eastAsia"/>
                <w:bCs/>
                <w:color w:val="auto"/>
                <w:sz w:val="24"/>
                <w:u w:val="none"/>
              </w:rPr>
              <w:t>（</w:t>
            </w:r>
            <w:r>
              <w:rPr>
                <w:rFonts w:hint="eastAsia"/>
                <w:bCs/>
                <w:color w:val="auto"/>
                <w:sz w:val="24"/>
                <w:u w:val="none"/>
                <w:lang w:val="en-US" w:eastAsia="zh-CN"/>
              </w:rPr>
              <w:t>5</w:t>
            </w:r>
            <w:r>
              <w:rPr>
                <w:rFonts w:hint="eastAsia"/>
                <w:bCs/>
                <w:color w:val="auto"/>
                <w:sz w:val="24"/>
                <w:u w:val="none"/>
              </w:rPr>
              <w:t>）蒸汽发生器用水</w:t>
            </w:r>
          </w:p>
          <w:p>
            <w:pPr>
              <w:spacing w:line="360" w:lineRule="auto"/>
              <w:ind w:firstLine="480"/>
              <w:rPr>
                <w:rFonts w:hint="default" w:eastAsia="宋体"/>
                <w:bCs/>
                <w:color w:val="auto"/>
                <w:sz w:val="24"/>
                <w:u w:val="none"/>
                <w:lang w:val="en-US" w:eastAsia="zh-CN"/>
              </w:rPr>
            </w:pPr>
            <w:r>
              <w:rPr>
                <w:bCs/>
                <w:color w:val="auto"/>
                <w:sz w:val="24"/>
                <w:u w:val="none"/>
              </w:rPr>
              <w:t>本项目</w:t>
            </w:r>
            <w:r>
              <w:rPr>
                <w:rFonts w:hint="eastAsia"/>
                <w:bCs/>
                <w:color w:val="auto"/>
                <w:sz w:val="24"/>
                <w:u w:val="none"/>
              </w:rPr>
              <w:t>设有2台2t/h蒸汽发生器</w:t>
            </w:r>
            <w:r>
              <w:rPr>
                <w:bCs/>
                <w:color w:val="auto"/>
                <w:sz w:val="24"/>
                <w:u w:val="none"/>
              </w:rPr>
              <w:t>，每天工作</w:t>
            </w:r>
            <w:r>
              <w:rPr>
                <w:rFonts w:hint="eastAsia"/>
                <w:bCs/>
                <w:color w:val="auto"/>
                <w:sz w:val="24"/>
                <w:u w:val="none"/>
              </w:rPr>
              <w:t>8</w:t>
            </w:r>
            <w:r>
              <w:rPr>
                <w:bCs/>
                <w:color w:val="auto"/>
                <w:sz w:val="24"/>
                <w:u w:val="none"/>
              </w:rPr>
              <w:t>h，则本项目蒸汽产生量为</w:t>
            </w:r>
            <w:r>
              <w:rPr>
                <w:rFonts w:hint="eastAsia"/>
                <w:bCs/>
                <w:color w:val="auto"/>
                <w:sz w:val="24"/>
                <w:u w:val="none"/>
              </w:rPr>
              <w:t>32</w:t>
            </w:r>
            <w:r>
              <w:rPr>
                <w:bCs/>
                <w:color w:val="auto"/>
                <w:sz w:val="24"/>
                <w:u w:val="none"/>
              </w:rPr>
              <w:t>t/</w:t>
            </w:r>
            <w:r>
              <w:rPr>
                <w:rFonts w:hint="eastAsia"/>
                <w:bCs/>
                <w:color w:val="auto"/>
                <w:sz w:val="24"/>
                <w:u w:val="none"/>
              </w:rPr>
              <w:t>d</w:t>
            </w:r>
            <w:r>
              <w:rPr>
                <w:bCs/>
                <w:color w:val="auto"/>
                <w:sz w:val="24"/>
                <w:u w:val="none"/>
              </w:rPr>
              <w:t>。</w:t>
            </w:r>
            <w:r>
              <w:rPr>
                <w:rFonts w:hint="eastAsia"/>
                <w:bCs/>
                <w:color w:val="auto"/>
                <w:sz w:val="24"/>
                <w:u w:val="none"/>
                <w:lang w:val="en-US" w:eastAsia="zh-CN"/>
              </w:rPr>
              <w:t>蒸汽用于蒸煮、煮浆、高温灭菌工序，采用直接接触，蒸汽全部消耗或进入生产废水中，详见“图2.6-2 蒸汽平衡图”。</w:t>
            </w:r>
          </w:p>
          <w:p>
            <w:pPr>
              <w:spacing w:line="360" w:lineRule="auto"/>
              <w:ind w:firstLine="480"/>
              <w:rPr>
                <w:rFonts w:hint="eastAsia"/>
                <w:bCs/>
                <w:color w:val="auto"/>
                <w:sz w:val="24"/>
                <w:u w:val="none"/>
              </w:rPr>
            </w:pPr>
            <w:r>
              <w:rPr>
                <w:rFonts w:hint="eastAsia"/>
                <w:bCs/>
                <w:color w:val="auto"/>
                <w:sz w:val="24"/>
                <w:u w:val="none"/>
              </w:rPr>
              <w:t>（</w:t>
            </w:r>
            <w:r>
              <w:rPr>
                <w:rFonts w:hint="eastAsia"/>
                <w:bCs/>
                <w:color w:val="auto"/>
                <w:sz w:val="24"/>
                <w:u w:val="none"/>
                <w:lang w:val="en-US" w:eastAsia="zh-CN"/>
              </w:rPr>
              <w:t>6</w:t>
            </w:r>
            <w:r>
              <w:rPr>
                <w:rFonts w:hint="eastAsia"/>
                <w:bCs/>
                <w:color w:val="auto"/>
                <w:sz w:val="24"/>
                <w:u w:val="none"/>
              </w:rPr>
              <w:t>）生产设备、容器具清洗水</w:t>
            </w:r>
          </w:p>
          <w:p>
            <w:pPr>
              <w:spacing w:line="360" w:lineRule="auto"/>
              <w:ind w:firstLine="480"/>
              <w:rPr>
                <w:bCs/>
                <w:color w:val="auto"/>
                <w:sz w:val="24"/>
                <w:u w:val="none"/>
              </w:rPr>
            </w:pPr>
            <w:r>
              <w:rPr>
                <w:rFonts w:hint="eastAsia"/>
                <w:bCs/>
                <w:color w:val="auto"/>
                <w:sz w:val="24"/>
                <w:u w:val="none"/>
              </w:rPr>
              <w:t>每日需对生产设备、容器具进行清洗，每日清洗量约为设备、容器80台</w:t>
            </w:r>
            <w:r>
              <w:rPr>
                <w:rFonts w:hint="eastAsia"/>
                <w:bCs/>
                <w:color w:val="auto"/>
                <w:sz w:val="24"/>
                <w:u w:val="none"/>
                <w:lang w:val="en-US" w:eastAsia="zh-CN"/>
              </w:rPr>
              <w:t>/个</w:t>
            </w:r>
            <w:r>
              <w:rPr>
                <w:rFonts w:hint="eastAsia"/>
                <w:bCs/>
                <w:color w:val="auto"/>
                <w:sz w:val="24"/>
                <w:u w:val="none"/>
              </w:rPr>
              <w:t>，发酵笼/缸160个，用水量约为设备容器20L/个、发酵笼/缸10L/个，用水量合计3.2m</w:t>
            </w:r>
            <w:r>
              <w:rPr>
                <w:rFonts w:hint="eastAsia"/>
                <w:bCs/>
                <w:color w:val="auto"/>
                <w:sz w:val="24"/>
                <w:u w:val="none"/>
                <w:vertAlign w:val="superscript"/>
              </w:rPr>
              <w:t>3</w:t>
            </w:r>
            <w:r>
              <w:rPr>
                <w:rFonts w:hint="eastAsia"/>
                <w:bCs/>
                <w:color w:val="auto"/>
                <w:sz w:val="24"/>
                <w:u w:val="none"/>
              </w:rPr>
              <w:t>/d。废水量按用水量90%计算，则为2.9m</w:t>
            </w:r>
            <w:r>
              <w:rPr>
                <w:rFonts w:hint="eastAsia"/>
                <w:bCs/>
                <w:color w:val="auto"/>
                <w:sz w:val="24"/>
                <w:u w:val="none"/>
                <w:vertAlign w:val="superscript"/>
              </w:rPr>
              <w:t>3</w:t>
            </w:r>
            <w:r>
              <w:rPr>
                <w:rFonts w:hint="eastAsia"/>
                <w:bCs/>
                <w:color w:val="auto"/>
                <w:sz w:val="24"/>
                <w:u w:val="none"/>
              </w:rPr>
              <w:t>/d，进入厂区污水处理站处理。</w:t>
            </w:r>
          </w:p>
          <w:p>
            <w:pPr>
              <w:spacing w:line="360" w:lineRule="auto"/>
              <w:ind w:firstLine="480"/>
              <w:rPr>
                <w:rFonts w:hint="eastAsia"/>
                <w:bCs/>
                <w:color w:val="auto"/>
                <w:sz w:val="24"/>
                <w:u w:val="none"/>
              </w:rPr>
            </w:pPr>
            <w:r>
              <w:rPr>
                <w:rFonts w:hint="eastAsia"/>
                <w:bCs/>
                <w:color w:val="auto"/>
                <w:sz w:val="24"/>
                <w:u w:val="none"/>
              </w:rPr>
              <w:t>（</w:t>
            </w:r>
            <w:r>
              <w:rPr>
                <w:rFonts w:hint="eastAsia"/>
                <w:bCs/>
                <w:color w:val="auto"/>
                <w:sz w:val="24"/>
                <w:u w:val="none"/>
                <w:lang w:val="en-US" w:eastAsia="zh-CN"/>
              </w:rPr>
              <w:t>7</w:t>
            </w:r>
            <w:r>
              <w:rPr>
                <w:rFonts w:hint="eastAsia"/>
                <w:bCs/>
                <w:color w:val="auto"/>
                <w:sz w:val="24"/>
                <w:u w:val="none"/>
              </w:rPr>
              <w:t>）车间地面清洁水</w:t>
            </w:r>
          </w:p>
          <w:p>
            <w:pPr>
              <w:spacing w:line="360" w:lineRule="auto"/>
              <w:ind w:firstLine="480"/>
              <w:rPr>
                <w:bCs/>
                <w:color w:val="auto"/>
                <w:sz w:val="24"/>
                <w:u w:val="none"/>
              </w:rPr>
            </w:pPr>
            <w:r>
              <w:rPr>
                <w:rFonts w:hint="eastAsia"/>
                <w:bCs/>
                <w:color w:val="auto"/>
                <w:sz w:val="24"/>
                <w:u w:val="none"/>
              </w:rPr>
              <w:t>每日需对生产车间地面进行清洁，生产线位于4#车间2楼，</w:t>
            </w:r>
            <w:r>
              <w:rPr>
                <w:bCs/>
                <w:color w:val="auto"/>
                <w:sz w:val="24"/>
                <w:u w:val="none"/>
              </w:rPr>
              <w:t>建筑面积7018.97m</w:t>
            </w:r>
            <w:r>
              <w:rPr>
                <w:bCs/>
                <w:color w:val="auto"/>
                <w:sz w:val="24"/>
                <w:u w:val="none"/>
                <w:vertAlign w:val="superscript"/>
              </w:rPr>
              <w:t>2</w:t>
            </w:r>
            <w:r>
              <w:rPr>
                <w:rFonts w:hint="eastAsia"/>
                <w:bCs/>
                <w:color w:val="auto"/>
                <w:sz w:val="24"/>
                <w:u w:val="none"/>
              </w:rPr>
              <w:t>，</w:t>
            </w:r>
            <w:r>
              <w:rPr>
                <w:bCs/>
                <w:color w:val="auto"/>
                <w:sz w:val="24"/>
                <w:u w:val="none"/>
              </w:rPr>
              <w:t>根据《建筑物给水排水设计规范》（GB50015-2019）中地面冲洗水用量为2~3L/m</w:t>
            </w:r>
            <w:r>
              <w:rPr>
                <w:bCs/>
                <w:color w:val="auto"/>
                <w:sz w:val="24"/>
                <w:u w:val="none"/>
                <w:vertAlign w:val="superscript"/>
              </w:rPr>
              <w:t>2</w:t>
            </w:r>
            <w:r>
              <w:rPr>
                <w:bCs/>
                <w:color w:val="auto"/>
                <w:sz w:val="24"/>
                <w:u w:val="none"/>
              </w:rPr>
              <w:t>，项目取值为</w:t>
            </w:r>
            <w:r>
              <w:rPr>
                <w:rFonts w:hint="eastAsia"/>
                <w:bCs/>
                <w:color w:val="auto"/>
                <w:sz w:val="24"/>
                <w:u w:val="none"/>
              </w:rPr>
              <w:t>2</w:t>
            </w:r>
            <w:r>
              <w:rPr>
                <w:bCs/>
                <w:color w:val="auto"/>
                <w:sz w:val="24"/>
                <w:u w:val="none"/>
              </w:rPr>
              <w:t>L/m</w:t>
            </w:r>
            <w:r>
              <w:rPr>
                <w:bCs/>
                <w:color w:val="auto"/>
                <w:sz w:val="24"/>
                <w:u w:val="none"/>
                <w:vertAlign w:val="superscript"/>
              </w:rPr>
              <w:t>2</w:t>
            </w:r>
            <w:r>
              <w:rPr>
                <w:bCs/>
                <w:color w:val="auto"/>
                <w:sz w:val="24"/>
                <w:u w:val="none"/>
              </w:rPr>
              <w:t>，</w:t>
            </w:r>
            <w:r>
              <w:rPr>
                <w:rFonts w:hint="eastAsia"/>
                <w:bCs/>
                <w:color w:val="auto"/>
                <w:sz w:val="24"/>
                <w:u w:val="none"/>
              </w:rPr>
              <w:t>则用水量为14m</w:t>
            </w:r>
            <w:r>
              <w:rPr>
                <w:rFonts w:hint="eastAsia"/>
                <w:bCs/>
                <w:color w:val="auto"/>
                <w:sz w:val="24"/>
                <w:u w:val="none"/>
                <w:vertAlign w:val="superscript"/>
              </w:rPr>
              <w:t>3</w:t>
            </w:r>
            <w:r>
              <w:rPr>
                <w:rFonts w:hint="eastAsia"/>
                <w:bCs/>
                <w:color w:val="auto"/>
                <w:sz w:val="24"/>
                <w:u w:val="none"/>
              </w:rPr>
              <w:t>/d。废水量按用水量90%计算，则为12.6m</w:t>
            </w:r>
            <w:r>
              <w:rPr>
                <w:rFonts w:hint="eastAsia"/>
                <w:bCs/>
                <w:color w:val="auto"/>
                <w:sz w:val="24"/>
                <w:u w:val="none"/>
                <w:vertAlign w:val="superscript"/>
              </w:rPr>
              <w:t>3</w:t>
            </w:r>
            <w:r>
              <w:rPr>
                <w:rFonts w:hint="eastAsia"/>
                <w:bCs/>
                <w:color w:val="auto"/>
                <w:sz w:val="24"/>
                <w:u w:val="none"/>
              </w:rPr>
              <w:t>/d，进入厂区污水处理站处理。</w:t>
            </w:r>
          </w:p>
          <w:p>
            <w:pPr>
              <w:spacing w:line="360" w:lineRule="auto"/>
              <w:ind w:firstLine="480"/>
              <w:rPr>
                <w:rFonts w:hint="eastAsia"/>
                <w:bCs/>
                <w:color w:val="auto"/>
                <w:sz w:val="24"/>
                <w:u w:val="none"/>
              </w:rPr>
            </w:pPr>
            <w:r>
              <w:rPr>
                <w:rFonts w:hint="eastAsia"/>
                <w:bCs/>
                <w:color w:val="auto"/>
                <w:sz w:val="24"/>
                <w:u w:val="none"/>
              </w:rPr>
              <w:t>（</w:t>
            </w:r>
            <w:r>
              <w:rPr>
                <w:rFonts w:hint="eastAsia"/>
                <w:bCs/>
                <w:color w:val="auto"/>
                <w:sz w:val="24"/>
                <w:u w:val="none"/>
                <w:lang w:val="en-US" w:eastAsia="zh-CN"/>
              </w:rPr>
              <w:t>8</w:t>
            </w:r>
            <w:r>
              <w:rPr>
                <w:rFonts w:hint="eastAsia"/>
                <w:bCs/>
                <w:color w:val="auto"/>
                <w:sz w:val="24"/>
                <w:u w:val="none"/>
              </w:rPr>
              <w:t>）除臭设施用水</w:t>
            </w:r>
          </w:p>
          <w:p>
            <w:pPr>
              <w:spacing w:line="360" w:lineRule="auto"/>
              <w:ind w:firstLine="480"/>
              <w:rPr>
                <w:bCs/>
                <w:color w:val="auto"/>
                <w:sz w:val="24"/>
                <w:u w:val="none"/>
              </w:rPr>
            </w:pPr>
            <w:r>
              <w:rPr>
                <w:rFonts w:hint="eastAsia"/>
                <w:bCs/>
                <w:color w:val="auto"/>
                <w:sz w:val="24"/>
                <w:u w:val="none"/>
              </w:rPr>
              <w:t>污水处理站臭气采用“二级喷淋+生物滤池”处理，</w:t>
            </w:r>
            <w:r>
              <w:rPr>
                <w:bCs/>
                <w:color w:val="auto"/>
                <w:sz w:val="24"/>
                <w:u w:val="none"/>
              </w:rPr>
              <w:t>风机风量为</w:t>
            </w:r>
            <w:r>
              <w:rPr>
                <w:rFonts w:hint="eastAsia"/>
                <w:bCs/>
                <w:color w:val="auto"/>
                <w:sz w:val="24"/>
                <w:u w:val="none"/>
              </w:rPr>
              <w:t>5</w:t>
            </w:r>
            <w:r>
              <w:rPr>
                <w:bCs/>
                <w:color w:val="auto"/>
                <w:sz w:val="24"/>
                <w:u w:val="none"/>
              </w:rPr>
              <w:t>000m</w:t>
            </w:r>
            <w:r>
              <w:rPr>
                <w:bCs/>
                <w:color w:val="auto"/>
                <w:sz w:val="24"/>
                <w:u w:val="none"/>
                <w:vertAlign w:val="superscript"/>
              </w:rPr>
              <w:t>3</w:t>
            </w:r>
            <w:r>
              <w:rPr>
                <w:bCs/>
                <w:color w:val="auto"/>
                <w:sz w:val="24"/>
                <w:u w:val="none"/>
              </w:rPr>
              <w:t>/h，</w:t>
            </w:r>
            <w:r>
              <w:rPr>
                <w:rFonts w:hint="eastAsia"/>
                <w:bCs/>
                <w:color w:val="auto"/>
                <w:sz w:val="24"/>
                <w:u w:val="none"/>
              </w:rPr>
              <w:t>喷淋</w:t>
            </w:r>
            <w:r>
              <w:rPr>
                <w:bCs/>
                <w:color w:val="auto"/>
                <w:sz w:val="24"/>
                <w:u w:val="none"/>
              </w:rPr>
              <w:t>液气比为2L/m</w:t>
            </w:r>
            <w:r>
              <w:rPr>
                <w:bCs/>
                <w:color w:val="auto"/>
                <w:sz w:val="24"/>
                <w:u w:val="none"/>
                <w:vertAlign w:val="superscript"/>
              </w:rPr>
              <w:t>3</w:t>
            </w:r>
            <w:r>
              <w:rPr>
                <w:bCs/>
                <w:color w:val="auto"/>
                <w:sz w:val="24"/>
                <w:u w:val="none"/>
              </w:rPr>
              <w:t>，喷淋总用水量</w:t>
            </w:r>
            <w:r>
              <w:rPr>
                <w:rFonts w:hint="eastAsia"/>
                <w:bCs/>
                <w:color w:val="auto"/>
                <w:sz w:val="24"/>
                <w:u w:val="none"/>
              </w:rPr>
              <w:t>20</w:t>
            </w:r>
            <w:r>
              <w:rPr>
                <w:bCs/>
                <w:color w:val="auto"/>
                <w:sz w:val="24"/>
                <w:u w:val="none"/>
              </w:rPr>
              <w:t>m</w:t>
            </w:r>
            <w:r>
              <w:rPr>
                <w:bCs/>
                <w:color w:val="auto"/>
                <w:sz w:val="24"/>
                <w:u w:val="none"/>
                <w:vertAlign w:val="superscript"/>
              </w:rPr>
              <w:t>3</w:t>
            </w:r>
            <w:r>
              <w:rPr>
                <w:bCs/>
                <w:color w:val="auto"/>
                <w:sz w:val="24"/>
                <w:u w:val="none"/>
              </w:rPr>
              <w:t>/h</w:t>
            </w:r>
            <w:r>
              <w:rPr>
                <w:rFonts w:hint="eastAsia"/>
                <w:bCs/>
                <w:color w:val="auto"/>
                <w:sz w:val="24"/>
                <w:u w:val="none"/>
              </w:rPr>
              <w:t>（</w:t>
            </w:r>
            <w:r>
              <w:rPr>
                <w:rFonts w:hint="eastAsia"/>
                <w:bCs/>
                <w:color w:val="auto"/>
                <w:sz w:val="24"/>
                <w:u w:val="none"/>
                <w:lang w:val="en-US" w:eastAsia="zh-CN"/>
              </w:rPr>
              <w:t>48</w:t>
            </w:r>
            <w:r>
              <w:rPr>
                <w:rFonts w:hint="eastAsia"/>
                <w:bCs/>
                <w:color w:val="auto"/>
                <w:sz w:val="24"/>
                <w:u w:val="none"/>
              </w:rPr>
              <w:t>0m</w:t>
            </w:r>
            <w:r>
              <w:rPr>
                <w:rFonts w:hint="eastAsia"/>
                <w:bCs/>
                <w:color w:val="auto"/>
                <w:sz w:val="24"/>
                <w:u w:val="none"/>
                <w:vertAlign w:val="superscript"/>
              </w:rPr>
              <w:t>3</w:t>
            </w:r>
            <w:r>
              <w:rPr>
                <w:rFonts w:hint="eastAsia"/>
                <w:bCs/>
                <w:color w:val="auto"/>
                <w:sz w:val="24"/>
                <w:u w:val="none"/>
              </w:rPr>
              <w:t>/d）</w:t>
            </w:r>
            <w:r>
              <w:rPr>
                <w:bCs/>
                <w:color w:val="auto"/>
                <w:sz w:val="24"/>
                <w:u w:val="none"/>
              </w:rPr>
              <w:t>，循环使用，</w:t>
            </w:r>
            <w:r>
              <w:rPr>
                <w:rFonts w:hint="eastAsia"/>
                <w:bCs/>
                <w:color w:val="auto"/>
                <w:sz w:val="24"/>
                <w:u w:val="none"/>
              </w:rPr>
              <w:t>循环水箱每日换水</w:t>
            </w:r>
            <w:r>
              <w:rPr>
                <w:bCs/>
                <w:color w:val="auto"/>
                <w:sz w:val="24"/>
                <w:u w:val="none"/>
              </w:rPr>
              <w:t>，每次</w:t>
            </w:r>
            <w:r>
              <w:rPr>
                <w:rFonts w:hint="eastAsia"/>
                <w:bCs/>
                <w:color w:val="auto"/>
                <w:sz w:val="24"/>
                <w:u w:val="none"/>
              </w:rPr>
              <w:t>排水1</w:t>
            </w:r>
            <w:r>
              <w:rPr>
                <w:bCs/>
                <w:color w:val="auto"/>
                <w:sz w:val="24"/>
                <w:u w:val="none"/>
              </w:rPr>
              <w:t>m</w:t>
            </w:r>
            <w:r>
              <w:rPr>
                <w:bCs/>
                <w:color w:val="auto"/>
                <w:sz w:val="24"/>
                <w:u w:val="none"/>
                <w:vertAlign w:val="superscript"/>
              </w:rPr>
              <w:t>3</w:t>
            </w:r>
            <w:r>
              <w:rPr>
                <w:bCs/>
                <w:color w:val="auto"/>
                <w:sz w:val="24"/>
                <w:u w:val="none"/>
              </w:rPr>
              <w:t>，</w:t>
            </w:r>
            <w:r>
              <w:rPr>
                <w:rFonts w:hint="eastAsia"/>
                <w:bCs/>
                <w:color w:val="auto"/>
                <w:sz w:val="24"/>
                <w:u w:val="none"/>
              </w:rPr>
              <w:t>进入厂区污水处理站处理。</w:t>
            </w:r>
          </w:p>
          <w:p>
            <w:pPr>
              <w:spacing w:line="360" w:lineRule="auto"/>
              <w:ind w:firstLine="480"/>
              <w:rPr>
                <w:rFonts w:hint="eastAsia"/>
                <w:bCs/>
                <w:color w:val="auto"/>
                <w:sz w:val="24"/>
                <w:u w:val="none"/>
              </w:rPr>
            </w:pPr>
            <w:r>
              <w:rPr>
                <w:rFonts w:hint="eastAsia"/>
                <w:bCs/>
                <w:color w:val="auto"/>
                <w:sz w:val="24"/>
                <w:u w:val="none"/>
              </w:rPr>
              <w:t>（</w:t>
            </w:r>
            <w:r>
              <w:rPr>
                <w:rFonts w:hint="eastAsia"/>
                <w:bCs/>
                <w:color w:val="auto"/>
                <w:sz w:val="24"/>
                <w:u w:val="none"/>
                <w:lang w:val="en-US" w:eastAsia="zh-CN"/>
              </w:rPr>
              <w:t>9</w:t>
            </w:r>
            <w:r>
              <w:rPr>
                <w:rFonts w:hint="eastAsia"/>
                <w:bCs/>
                <w:color w:val="auto"/>
                <w:sz w:val="24"/>
                <w:u w:val="none"/>
              </w:rPr>
              <w:t>）质检用水</w:t>
            </w:r>
          </w:p>
          <w:p>
            <w:pPr>
              <w:spacing w:line="360" w:lineRule="auto"/>
              <w:ind w:firstLine="480"/>
              <w:rPr>
                <w:bCs/>
                <w:color w:val="auto"/>
                <w:sz w:val="24"/>
                <w:u w:val="none"/>
              </w:rPr>
            </w:pPr>
            <w:r>
              <w:rPr>
                <w:bCs/>
                <w:color w:val="auto"/>
                <w:sz w:val="24"/>
                <w:u w:val="none"/>
              </w:rPr>
              <w:t>项目检验室对每批次产品进行检验，</w:t>
            </w:r>
            <w:r>
              <w:rPr>
                <w:rFonts w:hint="eastAsia"/>
                <w:bCs/>
                <w:color w:val="auto"/>
                <w:sz w:val="24"/>
                <w:u w:val="none"/>
              </w:rPr>
              <w:t>检验量较少，用水量约为0.05m</w:t>
            </w:r>
            <w:r>
              <w:rPr>
                <w:rFonts w:hint="eastAsia"/>
                <w:bCs/>
                <w:color w:val="auto"/>
                <w:sz w:val="24"/>
                <w:u w:val="none"/>
                <w:vertAlign w:val="superscript"/>
              </w:rPr>
              <w:t>3</w:t>
            </w:r>
            <w:r>
              <w:rPr>
                <w:rFonts w:hint="eastAsia"/>
                <w:bCs/>
                <w:color w:val="auto"/>
                <w:sz w:val="24"/>
                <w:u w:val="none"/>
              </w:rPr>
              <w:t>/d，废水量约为用水量的80%，则废水产生量为0.04m</w:t>
            </w:r>
            <w:r>
              <w:rPr>
                <w:rFonts w:hint="eastAsia"/>
                <w:bCs/>
                <w:color w:val="auto"/>
                <w:sz w:val="24"/>
                <w:u w:val="none"/>
                <w:vertAlign w:val="superscript"/>
              </w:rPr>
              <w:t>3</w:t>
            </w:r>
            <w:r>
              <w:rPr>
                <w:rFonts w:hint="eastAsia"/>
                <w:bCs/>
                <w:color w:val="auto"/>
                <w:sz w:val="24"/>
                <w:u w:val="none"/>
              </w:rPr>
              <w:t>/d，进入化粪池处理。</w:t>
            </w:r>
          </w:p>
          <w:p>
            <w:pPr>
              <w:spacing w:line="360" w:lineRule="auto"/>
              <w:ind w:firstLine="480"/>
              <w:rPr>
                <w:rFonts w:hint="eastAsia"/>
                <w:bCs/>
                <w:color w:val="auto"/>
                <w:sz w:val="24"/>
                <w:u w:val="none"/>
              </w:rPr>
            </w:pPr>
            <w:r>
              <w:rPr>
                <w:rFonts w:hint="eastAsia"/>
                <w:bCs/>
                <w:color w:val="auto"/>
                <w:sz w:val="24"/>
                <w:u w:val="none"/>
              </w:rPr>
              <w:t>（</w:t>
            </w:r>
            <w:r>
              <w:rPr>
                <w:rFonts w:hint="eastAsia"/>
                <w:bCs/>
                <w:color w:val="auto"/>
                <w:sz w:val="24"/>
                <w:u w:val="none"/>
                <w:lang w:val="en-US" w:eastAsia="zh-CN"/>
              </w:rPr>
              <w:t>10</w:t>
            </w:r>
            <w:r>
              <w:rPr>
                <w:rFonts w:hint="eastAsia"/>
                <w:bCs/>
                <w:color w:val="auto"/>
                <w:sz w:val="24"/>
                <w:u w:val="none"/>
              </w:rPr>
              <w:t>）生活污水</w:t>
            </w:r>
          </w:p>
          <w:p>
            <w:pPr>
              <w:spacing w:line="360" w:lineRule="auto"/>
              <w:ind w:firstLine="480"/>
              <w:rPr>
                <w:bCs/>
                <w:color w:val="auto"/>
                <w:sz w:val="24"/>
                <w:u w:val="none"/>
              </w:rPr>
            </w:pPr>
            <w:r>
              <w:rPr>
                <w:rFonts w:hint="eastAsia"/>
                <w:bCs/>
                <w:color w:val="auto"/>
                <w:sz w:val="24"/>
                <w:u w:val="none"/>
              </w:rPr>
              <w:t>本项目</w:t>
            </w:r>
            <w:r>
              <w:rPr>
                <w:bCs/>
                <w:color w:val="auto"/>
                <w:sz w:val="24"/>
                <w:u w:val="none"/>
              </w:rPr>
              <w:t>劳动定员</w:t>
            </w:r>
            <w:r>
              <w:rPr>
                <w:rFonts w:hint="eastAsia"/>
                <w:bCs/>
                <w:color w:val="auto"/>
                <w:sz w:val="24"/>
                <w:u w:val="none"/>
              </w:rPr>
              <w:t>120</w:t>
            </w:r>
            <w:r>
              <w:rPr>
                <w:bCs/>
                <w:color w:val="auto"/>
                <w:sz w:val="24"/>
                <w:u w:val="none"/>
              </w:rPr>
              <w:t>人，</w:t>
            </w:r>
            <w:r>
              <w:rPr>
                <w:rFonts w:hint="eastAsia"/>
                <w:bCs/>
                <w:color w:val="auto"/>
                <w:sz w:val="24"/>
                <w:u w:val="none"/>
              </w:rPr>
              <w:t>其中80人在厂区内住宿，参照湖南省地方标准《用水定额 第3部分：生活、服务业及建筑业》（D</w:t>
            </w:r>
            <w:r>
              <w:rPr>
                <w:bCs/>
                <w:color w:val="auto"/>
                <w:sz w:val="24"/>
                <w:u w:val="none"/>
              </w:rPr>
              <w:t>B43/T388.3-2025），住宿人员用水定额为145L/人·d，不住宿人员按80L/人·d，则员工生活用</w:t>
            </w:r>
            <w:r>
              <w:rPr>
                <w:rFonts w:hint="eastAsia"/>
                <w:bCs/>
                <w:color w:val="auto"/>
                <w:sz w:val="24"/>
                <w:u w:val="none"/>
              </w:rPr>
              <w:t>水量约14.8m</w:t>
            </w:r>
            <w:r>
              <w:rPr>
                <w:rFonts w:hint="eastAsia"/>
                <w:bCs/>
                <w:color w:val="auto"/>
                <w:sz w:val="24"/>
                <w:u w:val="none"/>
                <w:vertAlign w:val="superscript"/>
              </w:rPr>
              <w:t>3</w:t>
            </w:r>
            <w:r>
              <w:rPr>
                <w:rFonts w:hint="eastAsia"/>
                <w:bCs/>
                <w:color w:val="auto"/>
                <w:sz w:val="24"/>
                <w:u w:val="none"/>
              </w:rPr>
              <w:t>/d。生活污水产生量取用水量的80%，则生活污水量约11.8m</w:t>
            </w:r>
            <w:r>
              <w:rPr>
                <w:rFonts w:hint="eastAsia"/>
                <w:bCs/>
                <w:color w:val="auto"/>
                <w:sz w:val="24"/>
                <w:u w:val="none"/>
                <w:vertAlign w:val="superscript"/>
              </w:rPr>
              <w:t>3</w:t>
            </w:r>
            <w:r>
              <w:rPr>
                <w:rFonts w:hint="eastAsia"/>
                <w:bCs/>
                <w:color w:val="auto"/>
                <w:sz w:val="24"/>
                <w:u w:val="none"/>
              </w:rPr>
              <w:t>/d，食堂废水经隔油池+化粪池处理，其他生活污水经化粪池处理。</w:t>
            </w:r>
          </w:p>
          <w:p>
            <w:pPr>
              <w:spacing w:line="360" w:lineRule="auto"/>
              <w:ind w:firstLine="480"/>
              <w:rPr>
                <w:bCs/>
                <w:color w:val="auto"/>
                <w:sz w:val="24"/>
                <w:u w:val="none"/>
              </w:rPr>
            </w:pPr>
            <w:r>
              <w:rPr>
                <w:rFonts w:hint="eastAsia"/>
                <w:bCs/>
                <w:color w:val="auto"/>
                <w:sz w:val="24"/>
                <w:u w:val="none"/>
              </w:rPr>
              <w:t>综上分析，本项目用水量为</w:t>
            </w:r>
            <w:r>
              <w:rPr>
                <w:rFonts w:hint="eastAsia"/>
                <w:bCs/>
                <w:color w:val="auto"/>
                <w:sz w:val="24"/>
                <w:u w:val="none"/>
                <w:lang w:val="en-US" w:eastAsia="zh-CN"/>
              </w:rPr>
              <w:t>519.45</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val="en-US" w:eastAsia="zh-CN"/>
              </w:rPr>
              <w:t>129862.5</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/a），废水产生量为3</w:t>
            </w:r>
            <w:r>
              <w:rPr>
                <w:rFonts w:hint="eastAsia"/>
                <w:bCs/>
                <w:color w:val="auto"/>
                <w:sz w:val="24"/>
                <w:u w:val="none"/>
                <w:lang w:val="en-US" w:eastAsia="zh-CN"/>
              </w:rPr>
              <w:t>31.0</w:t>
            </w:r>
            <w:r>
              <w:rPr>
                <w:rFonts w:hint="eastAsia"/>
                <w:bCs/>
                <w:color w:val="auto"/>
                <w:sz w:val="24"/>
                <w:u w:val="none"/>
              </w:rPr>
              <w:t>4m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val="en-US" w:eastAsia="zh-CN"/>
              </w:rPr>
              <w:t>82760</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/a），</w:t>
            </w:r>
            <w:r>
              <w:rPr>
                <w:rFonts w:hint="eastAsia"/>
                <w:bCs/>
                <w:color w:val="auto"/>
                <w:sz w:val="24"/>
                <w:u w:val="none"/>
              </w:rPr>
              <w:t>预处理后经园区管网排入</w:t>
            </w:r>
            <w:r>
              <w:rPr>
                <w:color w:val="auto"/>
                <w:sz w:val="24"/>
                <w:u w:val="none"/>
              </w:rPr>
              <w:t>湘阴县第二污水处理厂</w:t>
            </w:r>
            <w:r>
              <w:rPr>
                <w:rFonts w:hint="eastAsia"/>
                <w:color w:val="auto"/>
                <w:sz w:val="24"/>
                <w:u w:val="none"/>
              </w:rPr>
              <w:t>，</w:t>
            </w:r>
            <w:r>
              <w:rPr>
                <w:color w:val="auto"/>
                <w:sz w:val="24"/>
                <w:u w:val="none"/>
              </w:rPr>
              <w:t>处理达标后排入洋沙湖闸外流入湘江</w:t>
            </w:r>
            <w:r>
              <w:rPr>
                <w:rFonts w:hint="eastAsia"/>
                <w:color w:val="auto"/>
                <w:sz w:val="24"/>
                <w:u w:val="none"/>
              </w:rPr>
              <w:t>。水平衡分析图见下图：</w:t>
            </w:r>
            <w:r>
              <w:rPr>
                <w:rFonts w:hint="eastAsia"/>
                <w:bCs/>
                <w:color w:val="auto"/>
                <w:sz w:val="24"/>
                <w:u w:val="none"/>
              </w:rPr>
              <w:t xml:space="preserve"> </w:t>
            </w:r>
          </w:p>
          <w:p>
            <w:pPr>
              <w:spacing w:line="360" w:lineRule="auto"/>
              <w:jc w:val="center"/>
              <w:rPr>
                <w:bCs/>
                <w:color w:val="auto"/>
                <w:sz w:val="24"/>
                <w:u w:val="none"/>
              </w:rPr>
            </w:pPr>
            <w:r>
              <w:rPr>
                <w:bCs/>
                <w:color w:val="auto"/>
                <w:sz w:val="24"/>
                <w:u w:val="none"/>
              </w:rPr>
              <w:object>
                <v:shape id="_x0000_i1025" o:spt="75" type="#_x0000_t75" style="height:447pt;width:406.6pt;" o:ole="t" filled="f" o:preferrelative="t" stroked="f" coordsize="21600,21600">
                  <v:path/>
                  <v:fill on="f" focussize="0,0"/>
                  <v:stroke on="f"/>
                  <v:imagedata r:id="rId8" o:title=""/>
                  <o:lock v:ext="edit" aspectratio="f"/>
                  <w10:wrap type="none"/>
                  <w10:anchorlock/>
                </v:shape>
                <o:OLEObject Type="Embed" ProgID="Visio.Drawing.15" ShapeID="_x0000_i1025" DrawAspect="Content" ObjectID="_1468075725" r:id="rId7">
                  <o:LockedField>false</o:LockedField>
                </o:OLEObject>
              </w:object>
            </w:r>
          </w:p>
          <w:p>
            <w:pPr>
              <w:spacing w:line="360" w:lineRule="auto"/>
              <w:jc w:val="center"/>
              <w:rPr>
                <w:b/>
                <w:color w:val="auto"/>
                <w:sz w:val="24"/>
                <w:u w:val="none"/>
              </w:rPr>
            </w:pPr>
            <w:r>
              <w:rPr>
                <w:rFonts w:hint="eastAsia"/>
                <w:b/>
                <w:color w:val="auto"/>
                <w:sz w:val="24"/>
                <w:u w:val="none"/>
              </w:rPr>
              <w:t>图2.6-1 水平衡分析图    单位：m</w:t>
            </w:r>
            <w:r>
              <w:rPr>
                <w:rFonts w:hint="eastAsia"/>
                <w:b/>
                <w:color w:val="auto"/>
                <w:sz w:val="24"/>
                <w:u w:val="none"/>
                <w:vertAlign w:val="superscript"/>
              </w:rPr>
              <w:t>3</w:t>
            </w:r>
            <w:r>
              <w:rPr>
                <w:rFonts w:hint="eastAsia"/>
                <w:b/>
                <w:color w:val="auto"/>
                <w:sz w:val="24"/>
                <w:u w:val="none"/>
              </w:rPr>
              <w:t>/d</w:t>
            </w:r>
          </w:p>
          <w:p>
            <w:pPr>
              <w:pStyle w:val="85"/>
              <w:ind w:firstLine="480"/>
              <w:rPr>
                <w:rFonts w:hint="default" w:eastAsia="宋体"/>
                <w:color w:val="auto"/>
                <w:u w:val="none"/>
                <w:lang w:val="en-US" w:eastAsia="zh-CN"/>
              </w:rPr>
            </w:pPr>
            <w:r>
              <w:rPr>
                <w:rFonts w:hint="eastAsia"/>
                <w:color w:val="auto"/>
                <w:sz w:val="24"/>
                <w:u w:val="none"/>
              </w:rPr>
              <w:t>《食品加工制造业水污染物排放标准》（GB46817-2025）</w:t>
            </w:r>
            <w:r>
              <w:rPr>
                <w:rFonts w:hint="eastAsia"/>
                <w:color w:val="auto"/>
                <w:sz w:val="24"/>
                <w:u w:val="none"/>
                <w:lang w:val="en-US" w:eastAsia="zh-CN"/>
              </w:rPr>
              <w:t>中规定了植物油分装及罐头食品制造的单位产品基准排水量，本项目</w:t>
            </w:r>
            <w:r>
              <w:rPr>
                <w:rFonts w:hint="eastAsia"/>
                <w:color w:val="auto"/>
                <w:u w:val="none"/>
                <w:lang w:val="en-US" w:eastAsia="zh-CN"/>
              </w:rPr>
              <w:t>单位产品排水量核算如下：</w:t>
            </w:r>
          </w:p>
          <w:p>
            <w:pPr>
              <w:pStyle w:val="85"/>
              <w:numPr>
                <w:ilvl w:val="0"/>
                <w:numId w:val="1"/>
              </w:numPr>
              <w:ind w:firstLine="480"/>
              <w:rPr>
                <w:rFonts w:hint="eastAsia"/>
                <w:color w:val="auto"/>
                <w:u w:val="none"/>
                <w:lang w:val="en-US" w:eastAsia="zh-CN"/>
              </w:rPr>
            </w:pPr>
            <w:r>
              <w:rPr>
                <w:rFonts w:hint="eastAsia"/>
                <w:color w:val="auto"/>
                <w:u w:val="none"/>
                <w:lang w:val="en-US" w:eastAsia="zh-CN"/>
              </w:rPr>
              <w:t>食用油分装生产线单位产品排水量：食用油分装生产线废水为生产设备、器具、车间地面清洗废水。4#厂房2楼生产车间建筑面积为7018.97m</w:t>
            </w:r>
            <w:r>
              <w:rPr>
                <w:rFonts w:hint="eastAsia"/>
                <w:color w:val="auto"/>
                <w:u w:val="none"/>
                <w:vertAlign w:val="superscript"/>
                <w:lang w:val="en-US" w:eastAsia="zh-CN"/>
              </w:rPr>
              <w:t>2</w:t>
            </w:r>
            <w:r>
              <w:rPr>
                <w:rFonts w:hint="eastAsia"/>
                <w:color w:val="auto"/>
                <w:u w:val="none"/>
                <w:vertAlign w:val="baseline"/>
                <w:lang w:val="en-US" w:eastAsia="zh-CN"/>
              </w:rPr>
              <w:t>，</w:t>
            </w:r>
            <w:r>
              <w:rPr>
                <w:rFonts w:hint="eastAsia"/>
                <w:color w:val="auto"/>
                <w:u w:val="none"/>
                <w:lang w:val="en-US" w:eastAsia="zh-CN"/>
              </w:rPr>
              <w:t>根据水平衡分析可知，全厂生产设备、器具、车间地面清洗废水产生量为15.5m</w:t>
            </w:r>
            <w:r>
              <w:rPr>
                <w:rFonts w:hint="eastAsia"/>
                <w:color w:val="auto"/>
                <w:u w:val="none"/>
                <w:vertAlign w:val="superscript"/>
                <w:lang w:val="en-US" w:eastAsia="zh-CN"/>
              </w:rPr>
              <w:t>3</w:t>
            </w:r>
            <w:r>
              <w:rPr>
                <w:rFonts w:hint="eastAsia"/>
                <w:color w:val="auto"/>
                <w:u w:val="none"/>
                <w:lang w:val="en-US" w:eastAsia="zh-CN"/>
              </w:rPr>
              <w:t>/d（3878m</w:t>
            </w:r>
            <w:r>
              <w:rPr>
                <w:rFonts w:hint="eastAsia"/>
                <w:color w:val="auto"/>
                <w:u w:val="none"/>
                <w:vertAlign w:val="superscript"/>
                <w:lang w:val="en-US" w:eastAsia="zh-CN"/>
              </w:rPr>
              <w:t>3</w:t>
            </w:r>
            <w:r>
              <w:rPr>
                <w:rFonts w:hint="eastAsia"/>
                <w:color w:val="auto"/>
                <w:u w:val="none"/>
                <w:lang w:val="en-US" w:eastAsia="zh-CN"/>
              </w:rPr>
              <w:t>/a），</w:t>
            </w:r>
            <w:r>
              <w:rPr>
                <w:rFonts w:hint="eastAsia"/>
                <w:color w:val="auto"/>
                <w:szCs w:val="21"/>
                <w:u w:val="none"/>
              </w:rPr>
              <w:t>食用油分装生产线</w:t>
            </w:r>
            <w:r>
              <w:rPr>
                <w:rFonts w:hint="eastAsia"/>
                <w:color w:val="auto"/>
                <w:szCs w:val="21"/>
                <w:u w:val="none"/>
                <w:lang w:val="en-US" w:eastAsia="zh-CN"/>
              </w:rPr>
              <w:t>面积约800m</w:t>
            </w:r>
            <w:r>
              <w:rPr>
                <w:rFonts w:hint="eastAsia"/>
                <w:color w:val="auto"/>
                <w:szCs w:val="21"/>
                <w:u w:val="none"/>
                <w:vertAlign w:val="superscript"/>
                <w:lang w:val="en-US" w:eastAsia="zh-CN"/>
              </w:rPr>
              <w:t>2</w:t>
            </w:r>
            <w:r>
              <w:rPr>
                <w:rFonts w:hint="eastAsia"/>
                <w:color w:val="auto"/>
                <w:szCs w:val="21"/>
                <w:u w:val="none"/>
                <w:lang w:val="en-US" w:eastAsia="zh-CN"/>
              </w:rPr>
              <w:t>，按面积比例核算食用油分装生产线</w:t>
            </w:r>
            <w:r>
              <w:rPr>
                <w:rFonts w:hint="eastAsia"/>
                <w:color w:val="auto"/>
                <w:u w:val="none"/>
                <w:lang w:val="en-US" w:eastAsia="zh-CN"/>
              </w:rPr>
              <w:t>清洗废水产生量为442m</w:t>
            </w:r>
            <w:r>
              <w:rPr>
                <w:rFonts w:hint="eastAsia"/>
                <w:color w:val="auto"/>
                <w:u w:val="none"/>
                <w:vertAlign w:val="superscript"/>
                <w:lang w:val="en-US" w:eastAsia="zh-CN"/>
              </w:rPr>
              <w:t>3</w:t>
            </w:r>
            <w:r>
              <w:rPr>
                <w:rFonts w:hint="eastAsia"/>
                <w:color w:val="auto"/>
                <w:u w:val="none"/>
                <w:lang w:val="en-US" w:eastAsia="zh-CN"/>
              </w:rPr>
              <w:t>/a，食用油分装规模为7680t/a，单位产品排水量为0.06m</w:t>
            </w:r>
            <w:r>
              <w:rPr>
                <w:rFonts w:hint="eastAsia"/>
                <w:color w:val="auto"/>
                <w:u w:val="none"/>
                <w:vertAlign w:val="superscript"/>
                <w:lang w:val="en-US" w:eastAsia="zh-CN"/>
              </w:rPr>
              <w:t>3</w:t>
            </w:r>
            <w:r>
              <w:rPr>
                <w:rFonts w:hint="eastAsia"/>
                <w:color w:val="auto"/>
                <w:u w:val="none"/>
                <w:lang w:val="en-US" w:eastAsia="zh-CN"/>
              </w:rPr>
              <w:t>/t产品，满足</w:t>
            </w:r>
            <w:r>
              <w:rPr>
                <w:rFonts w:hint="eastAsia"/>
                <w:color w:val="auto"/>
                <w:sz w:val="24"/>
                <w:u w:val="none"/>
              </w:rPr>
              <w:t>《食品加工制造业水污染物排放标准》（GB46817-2025）表2</w:t>
            </w:r>
            <w:r>
              <w:rPr>
                <w:rFonts w:hint="eastAsia"/>
                <w:color w:val="auto"/>
                <w:sz w:val="24"/>
                <w:u w:val="none"/>
                <w:lang w:val="en-US" w:eastAsia="zh-CN"/>
              </w:rPr>
              <w:t>中</w:t>
            </w:r>
            <w:r>
              <w:rPr>
                <w:rFonts w:hint="eastAsia"/>
                <w:color w:val="auto"/>
                <w:sz w:val="24"/>
                <w:u w:val="none"/>
              </w:rPr>
              <w:t>植物油加工-单纯混合或分装制得的产品</w:t>
            </w:r>
            <w:r>
              <w:rPr>
                <w:rFonts w:hint="eastAsia"/>
                <w:color w:val="auto"/>
                <w:sz w:val="24"/>
                <w:u w:val="none"/>
                <w:lang w:eastAsia="zh-CN"/>
              </w:rPr>
              <w:t>的</w:t>
            </w:r>
            <w:r>
              <w:rPr>
                <w:rFonts w:hint="eastAsia"/>
                <w:color w:val="auto"/>
                <w:sz w:val="24"/>
                <w:u w:val="none"/>
                <w:lang w:val="en-US" w:eastAsia="zh-CN"/>
              </w:rPr>
              <w:t>单位产品基准排水量0.3</w:t>
            </w:r>
            <w:r>
              <w:rPr>
                <w:color w:val="auto"/>
                <w:u w:val="none"/>
              </w:rPr>
              <w:t>m</w:t>
            </w:r>
            <w:r>
              <w:rPr>
                <w:color w:val="auto"/>
                <w:u w:val="none"/>
                <w:vertAlign w:val="superscript"/>
              </w:rPr>
              <w:t>3</w:t>
            </w:r>
            <w:r>
              <w:rPr>
                <w:color w:val="auto"/>
                <w:u w:val="none"/>
              </w:rPr>
              <w:t>/t产品</w:t>
            </w:r>
            <w:r>
              <w:rPr>
                <w:rFonts w:hint="eastAsia"/>
                <w:color w:val="auto"/>
                <w:u w:val="none"/>
                <w:lang w:eastAsia="zh-CN"/>
              </w:rPr>
              <w:t>的</w:t>
            </w:r>
            <w:r>
              <w:rPr>
                <w:rFonts w:hint="eastAsia"/>
                <w:color w:val="auto"/>
                <w:u w:val="none"/>
                <w:lang w:val="en-US" w:eastAsia="zh-CN"/>
              </w:rPr>
              <w:t>要求。</w:t>
            </w:r>
          </w:p>
          <w:p>
            <w:pPr>
              <w:pStyle w:val="85"/>
              <w:numPr>
                <w:ilvl w:val="0"/>
                <w:numId w:val="1"/>
              </w:numPr>
              <w:ind w:firstLine="480"/>
              <w:rPr>
                <w:rFonts w:hint="default"/>
                <w:color w:val="auto"/>
                <w:u w:val="none"/>
                <w:lang w:val="en-US" w:eastAsia="zh-CN"/>
              </w:rPr>
            </w:pPr>
            <w:r>
              <w:rPr>
                <w:rFonts w:hint="eastAsia"/>
                <w:color w:val="auto"/>
                <w:u w:val="none"/>
                <w:lang w:val="en-US" w:eastAsia="zh-CN"/>
              </w:rPr>
              <w:t>剁辣椒、油辣椒、下饭菜生产线单位产品排水量：剁辣椒、油辣椒、下饭菜生产线废水为生产废水及生产设备、器具、车间地面清洗废水。根据水平衡分析可知，生产废水产生量为</w:t>
            </w:r>
            <w:r>
              <w:rPr>
                <w:rFonts w:hint="eastAsia"/>
                <w:color w:val="auto"/>
                <w:u w:val="none"/>
                <w:lang w:val="en-US" w:eastAsia="zh-CN"/>
              </w:rPr>
              <w:t>128m</w:t>
            </w:r>
            <w:r>
              <w:rPr>
                <w:rFonts w:hint="eastAsia"/>
                <w:color w:val="auto"/>
                <w:u w:val="none"/>
                <w:vertAlign w:val="superscript"/>
                <w:lang w:val="en-US" w:eastAsia="zh-CN"/>
              </w:rPr>
              <w:t>3</w:t>
            </w:r>
            <w:r>
              <w:rPr>
                <w:rFonts w:hint="eastAsia"/>
                <w:color w:val="auto"/>
                <w:u w:val="none"/>
                <w:lang w:val="en-US" w:eastAsia="zh-CN"/>
              </w:rPr>
              <w:t>/d（32000m</w:t>
            </w:r>
            <w:r>
              <w:rPr>
                <w:rFonts w:hint="eastAsia"/>
                <w:color w:val="auto"/>
                <w:u w:val="none"/>
                <w:vertAlign w:val="superscript"/>
                <w:lang w:val="en-US" w:eastAsia="zh-CN"/>
              </w:rPr>
              <w:t>3</w:t>
            </w:r>
            <w:r>
              <w:rPr>
                <w:rFonts w:hint="eastAsia"/>
                <w:color w:val="auto"/>
                <w:u w:val="none"/>
                <w:lang w:val="en-US" w:eastAsia="zh-CN"/>
              </w:rPr>
              <w:t>/a）</w:t>
            </w:r>
            <w:r>
              <w:rPr>
                <w:rFonts w:hint="eastAsia"/>
                <w:color w:val="auto"/>
                <w:u w:val="none"/>
                <w:lang w:val="en-US" w:eastAsia="zh-CN"/>
              </w:rPr>
              <w:t>；剁辣椒、油辣椒、下饭菜</w:t>
            </w:r>
            <w:r>
              <w:rPr>
                <w:rFonts w:hint="eastAsia"/>
                <w:color w:val="auto"/>
                <w:szCs w:val="21"/>
                <w:u w:val="none"/>
              </w:rPr>
              <w:t>生产线</w:t>
            </w:r>
            <w:r>
              <w:rPr>
                <w:rFonts w:hint="eastAsia"/>
                <w:color w:val="auto"/>
                <w:szCs w:val="21"/>
                <w:u w:val="none"/>
                <w:lang w:val="en-US" w:eastAsia="zh-CN"/>
              </w:rPr>
              <w:t>面积约1200m</w:t>
            </w:r>
            <w:r>
              <w:rPr>
                <w:rFonts w:hint="eastAsia"/>
                <w:color w:val="auto"/>
                <w:szCs w:val="21"/>
                <w:u w:val="none"/>
                <w:vertAlign w:val="superscript"/>
                <w:lang w:val="en-US" w:eastAsia="zh-CN"/>
              </w:rPr>
              <w:t>2</w:t>
            </w:r>
            <w:r>
              <w:rPr>
                <w:rFonts w:hint="eastAsia"/>
                <w:color w:val="auto"/>
                <w:szCs w:val="21"/>
                <w:u w:val="none"/>
                <w:lang w:val="en-US" w:eastAsia="zh-CN"/>
              </w:rPr>
              <w:t>，按面积比例核算生产线</w:t>
            </w:r>
            <w:r>
              <w:rPr>
                <w:rFonts w:hint="eastAsia"/>
                <w:color w:val="auto"/>
                <w:u w:val="none"/>
                <w:lang w:val="en-US" w:eastAsia="zh-CN"/>
              </w:rPr>
              <w:t>清洗废水产生量为663m</w:t>
            </w:r>
            <w:r>
              <w:rPr>
                <w:rFonts w:hint="eastAsia"/>
                <w:color w:val="auto"/>
                <w:u w:val="none"/>
                <w:vertAlign w:val="superscript"/>
                <w:lang w:val="en-US" w:eastAsia="zh-CN"/>
              </w:rPr>
              <w:t>3</w:t>
            </w:r>
            <w:r>
              <w:rPr>
                <w:rFonts w:hint="eastAsia"/>
                <w:color w:val="auto"/>
                <w:u w:val="none"/>
                <w:lang w:val="en-US" w:eastAsia="zh-CN"/>
              </w:rPr>
              <w:t>/a；</w:t>
            </w:r>
            <w:r>
              <w:rPr>
                <w:rFonts w:hint="eastAsia"/>
                <w:color w:val="auto"/>
                <w:u w:val="none"/>
                <w:lang w:val="en-US" w:eastAsia="zh-CN"/>
              </w:rPr>
              <w:t>则剁辣椒、油辣椒、下饭菜</w:t>
            </w:r>
            <w:r>
              <w:rPr>
                <w:rFonts w:hint="eastAsia"/>
                <w:color w:val="auto"/>
                <w:szCs w:val="21"/>
                <w:u w:val="none"/>
              </w:rPr>
              <w:t>生产线</w:t>
            </w:r>
            <w:r>
              <w:rPr>
                <w:rFonts w:hint="eastAsia"/>
                <w:color w:val="auto"/>
                <w:szCs w:val="21"/>
                <w:u w:val="none"/>
                <w:lang w:val="en-US" w:eastAsia="zh-CN"/>
              </w:rPr>
              <w:t>总废水量为32663</w:t>
            </w:r>
            <w:r>
              <w:rPr>
                <w:rFonts w:hint="eastAsia"/>
                <w:color w:val="auto"/>
                <w:u w:val="none"/>
                <w:lang w:val="en-US" w:eastAsia="zh-CN"/>
              </w:rPr>
              <w:t>m</w:t>
            </w:r>
            <w:r>
              <w:rPr>
                <w:rFonts w:hint="eastAsia"/>
                <w:color w:val="auto"/>
                <w:u w:val="none"/>
                <w:vertAlign w:val="superscript"/>
                <w:lang w:val="en-US" w:eastAsia="zh-CN"/>
              </w:rPr>
              <w:t>3</w:t>
            </w:r>
            <w:r>
              <w:rPr>
                <w:rFonts w:hint="eastAsia"/>
                <w:color w:val="auto"/>
                <w:u w:val="none"/>
                <w:lang w:val="en-US" w:eastAsia="zh-CN"/>
              </w:rPr>
              <w:t>/a。剁辣椒、油辣椒、下饭菜生产规模为6200t/a，单位产品排水量为5.3m</w:t>
            </w:r>
            <w:r>
              <w:rPr>
                <w:rFonts w:hint="eastAsia"/>
                <w:color w:val="auto"/>
                <w:u w:val="none"/>
                <w:vertAlign w:val="superscript"/>
                <w:lang w:val="en-US" w:eastAsia="zh-CN"/>
              </w:rPr>
              <w:t>3</w:t>
            </w:r>
            <w:r>
              <w:rPr>
                <w:rFonts w:hint="eastAsia"/>
                <w:color w:val="auto"/>
                <w:u w:val="none"/>
                <w:lang w:val="en-US" w:eastAsia="zh-CN"/>
              </w:rPr>
              <w:t>/t产品</w:t>
            </w:r>
            <w:r>
              <w:rPr>
                <w:rFonts w:hint="eastAsia"/>
                <w:color w:val="auto"/>
                <w:u w:val="none"/>
                <w:lang w:val="en-US" w:eastAsia="zh-CN"/>
              </w:rPr>
              <w:t>，满足</w:t>
            </w:r>
            <w:r>
              <w:rPr>
                <w:rFonts w:hint="eastAsia"/>
                <w:color w:val="auto"/>
                <w:sz w:val="24"/>
                <w:u w:val="none"/>
              </w:rPr>
              <w:t>《食品加工制造业水污染物排放标准》（GB46817-2025）表2</w:t>
            </w:r>
            <w:r>
              <w:rPr>
                <w:rFonts w:hint="eastAsia"/>
                <w:color w:val="auto"/>
                <w:sz w:val="24"/>
                <w:u w:val="none"/>
                <w:lang w:val="en-US" w:eastAsia="zh-CN"/>
              </w:rPr>
              <w:t>中</w:t>
            </w:r>
            <w:r>
              <w:rPr>
                <w:rFonts w:hint="eastAsia"/>
                <w:color w:val="auto"/>
                <w:u w:val="none"/>
              </w:rPr>
              <w:t>罐头食品制造-其他类罐头</w:t>
            </w:r>
            <w:r>
              <w:rPr>
                <w:rFonts w:hint="eastAsia"/>
                <w:color w:val="auto"/>
                <w:sz w:val="24"/>
                <w:u w:val="none"/>
                <w:lang w:eastAsia="zh-CN"/>
              </w:rPr>
              <w:t>的</w:t>
            </w:r>
            <w:r>
              <w:rPr>
                <w:rFonts w:hint="eastAsia"/>
                <w:color w:val="auto"/>
                <w:sz w:val="24"/>
                <w:u w:val="none"/>
                <w:lang w:val="en-US" w:eastAsia="zh-CN"/>
              </w:rPr>
              <w:t>单位产品基准排水量10</w:t>
            </w:r>
            <w:r>
              <w:rPr>
                <w:color w:val="auto"/>
                <w:u w:val="none"/>
              </w:rPr>
              <w:t>m</w:t>
            </w:r>
            <w:r>
              <w:rPr>
                <w:color w:val="auto"/>
                <w:u w:val="none"/>
                <w:vertAlign w:val="superscript"/>
              </w:rPr>
              <w:t>3</w:t>
            </w:r>
            <w:r>
              <w:rPr>
                <w:color w:val="auto"/>
                <w:u w:val="none"/>
              </w:rPr>
              <w:t>/t产品</w:t>
            </w:r>
            <w:r>
              <w:rPr>
                <w:rFonts w:hint="eastAsia"/>
                <w:color w:val="auto"/>
                <w:u w:val="none"/>
                <w:lang w:eastAsia="zh-CN"/>
              </w:rPr>
              <w:t>的</w:t>
            </w:r>
            <w:r>
              <w:rPr>
                <w:rFonts w:hint="eastAsia"/>
                <w:color w:val="auto"/>
                <w:u w:val="none"/>
                <w:lang w:val="en-US" w:eastAsia="zh-CN"/>
              </w:rPr>
              <w:t>要求。</w:t>
            </w:r>
          </w:p>
          <w:p>
            <w:pPr>
              <w:pStyle w:val="85"/>
              <w:ind w:firstLine="482"/>
              <w:rPr>
                <w:b/>
                <w:bCs/>
                <w:color w:val="auto"/>
                <w:u w:val="none"/>
              </w:rPr>
            </w:pPr>
            <w:r>
              <w:rPr>
                <w:rFonts w:hint="eastAsia"/>
                <w:b/>
                <w:bCs/>
                <w:color w:val="auto"/>
                <w:u w:val="none"/>
              </w:rPr>
              <w:t xml:space="preserve">2.6.2 </w:t>
            </w:r>
            <w:r>
              <w:rPr>
                <w:b/>
                <w:bCs/>
                <w:color w:val="auto"/>
                <w:u w:val="none"/>
              </w:rPr>
              <w:t>供电</w:t>
            </w:r>
          </w:p>
          <w:p>
            <w:pPr>
              <w:pStyle w:val="85"/>
              <w:ind w:firstLine="480"/>
              <w:rPr>
                <w:color w:val="auto"/>
                <w:u w:val="none"/>
              </w:rPr>
            </w:pPr>
            <w:r>
              <w:rPr>
                <w:color w:val="auto"/>
                <w:u w:val="none"/>
              </w:rPr>
              <w:t>根据用电负荷性质及供电要求，本项目用电主要用于厂房内各生产设备</w:t>
            </w:r>
            <w:r>
              <w:rPr>
                <w:rFonts w:hint="eastAsia"/>
                <w:color w:val="auto"/>
                <w:u w:val="none"/>
              </w:rPr>
              <w:t>电源来自市政供电电网</w:t>
            </w:r>
            <w:r>
              <w:rPr>
                <w:color w:val="auto"/>
                <w:u w:val="none"/>
              </w:rPr>
              <w:t>，</w:t>
            </w:r>
            <w:r>
              <w:rPr>
                <w:rFonts w:hint="eastAsia"/>
                <w:color w:val="auto"/>
                <w:u w:val="none"/>
              </w:rPr>
              <w:t>能满足项目生产和生活的需求</w:t>
            </w:r>
            <w:r>
              <w:rPr>
                <w:color w:val="auto"/>
                <w:u w:val="none"/>
              </w:rPr>
              <w:t>。</w:t>
            </w:r>
          </w:p>
          <w:p>
            <w:pPr>
              <w:pStyle w:val="85"/>
              <w:ind w:firstLine="482"/>
              <w:rPr>
                <w:b/>
                <w:bCs/>
                <w:color w:val="auto"/>
                <w:u w:val="none"/>
              </w:rPr>
            </w:pPr>
            <w:r>
              <w:rPr>
                <w:rFonts w:hint="eastAsia"/>
                <w:b/>
                <w:bCs/>
                <w:color w:val="auto"/>
                <w:u w:val="none"/>
              </w:rPr>
              <w:t>2.6.3 供热</w:t>
            </w:r>
          </w:p>
          <w:p>
            <w:pPr>
              <w:pStyle w:val="85"/>
              <w:ind w:firstLine="480"/>
              <w:rPr>
                <w:color w:val="auto"/>
                <w:u w:val="none"/>
              </w:rPr>
            </w:pPr>
            <w:r>
              <w:rPr>
                <w:rFonts w:hint="eastAsia"/>
                <w:color w:val="auto"/>
                <w:u w:val="none"/>
              </w:rPr>
              <w:t>本项目不设中央空调，办公楼及宿舍采用分体式空调。本项目设置2台2</w:t>
            </w:r>
            <w:r>
              <w:rPr>
                <w:color w:val="auto"/>
                <w:u w:val="none"/>
              </w:rPr>
              <w:t>t/h</w:t>
            </w:r>
            <w:r>
              <w:rPr>
                <w:rFonts w:hint="eastAsia"/>
                <w:color w:val="auto"/>
                <w:u w:val="none"/>
              </w:rPr>
              <w:t>的蒸汽发生器，</w:t>
            </w:r>
            <w:r>
              <w:rPr>
                <w:rFonts w:hint="eastAsia"/>
                <w:color w:val="auto"/>
                <w:u w:val="none"/>
                <w:lang w:val="en-US" w:eastAsia="zh-CN"/>
              </w:rPr>
              <w:t>采用蒸汽直接接触进行蒸煮、灭菌</w:t>
            </w:r>
            <w:r>
              <w:rPr>
                <w:rFonts w:hint="eastAsia"/>
                <w:color w:val="auto"/>
                <w:u w:val="none"/>
              </w:rPr>
              <w:t>。蒸汽平衡图见下图：</w:t>
            </w:r>
          </w:p>
          <w:p>
            <w:pPr>
              <w:pStyle w:val="85"/>
              <w:ind w:firstLine="0" w:firstLineChars="0"/>
              <w:jc w:val="center"/>
              <w:rPr>
                <w:color w:val="auto"/>
                <w:u w:val="none"/>
              </w:rPr>
            </w:pPr>
            <w:r>
              <w:rPr>
                <w:color w:val="auto"/>
                <w:u w:val="none"/>
              </w:rPr>
              <w:object>
                <v:shape id="_x0000_i1026" o:spt="75" type="#_x0000_t75" style="height:149.75pt;width:334.9pt;" o:ole="t" filled="f" o:preferrelative="t" stroked="f" coordsize="21600,21600">
                  <v:path/>
                  <v:fill on="f" focussize="0,0"/>
                  <v:stroke on="f"/>
                  <v:imagedata r:id="rId10" o:title=""/>
                  <o:lock v:ext="edit" aspectratio="f"/>
                  <w10:wrap type="none"/>
                  <w10:anchorlock/>
                </v:shape>
                <o:OLEObject Type="Embed" ProgID="Visio.Drawing.15" ShapeID="_x0000_i1026" DrawAspect="Content" ObjectID="_1468075726" r:id="rId9">
                  <o:LockedField>false</o:LockedField>
                </o:OLEObject>
              </w:object>
            </w:r>
          </w:p>
          <w:p>
            <w:pPr>
              <w:pStyle w:val="85"/>
              <w:ind w:firstLine="0" w:firstLineChars="0"/>
              <w:jc w:val="center"/>
              <w:rPr>
                <w:b/>
                <w:bCs/>
                <w:color w:val="auto"/>
                <w:u w:val="none"/>
              </w:rPr>
            </w:pPr>
            <w:r>
              <w:rPr>
                <w:rFonts w:hint="eastAsia"/>
                <w:b/>
                <w:bCs/>
                <w:color w:val="auto"/>
                <w:u w:val="none"/>
              </w:rPr>
              <w:t>图2.6-2 蒸汽平衡图    单位：t/d</w:t>
            </w:r>
          </w:p>
          <w:p>
            <w:pPr>
              <w:pStyle w:val="85"/>
              <w:ind w:firstLine="482"/>
              <w:rPr>
                <w:b/>
                <w:bCs/>
                <w:color w:val="auto"/>
                <w:u w:val="none"/>
              </w:rPr>
            </w:pPr>
            <w:r>
              <w:rPr>
                <w:rFonts w:hint="eastAsia"/>
                <w:b/>
                <w:bCs/>
                <w:color w:val="auto"/>
                <w:u w:val="none"/>
              </w:rPr>
              <w:t xml:space="preserve">2.6.4 </w:t>
            </w:r>
            <w:r>
              <w:rPr>
                <w:b/>
                <w:bCs/>
                <w:color w:val="auto"/>
                <w:u w:val="none"/>
              </w:rPr>
              <w:t>供天然气</w:t>
            </w:r>
          </w:p>
          <w:p>
            <w:pPr>
              <w:pStyle w:val="85"/>
              <w:ind w:firstLine="480"/>
              <w:rPr>
                <w:rFonts w:hint="eastAsia"/>
                <w:color w:val="auto"/>
                <w:u w:val="none"/>
              </w:rPr>
            </w:pPr>
            <w:r>
              <w:rPr>
                <w:color w:val="auto"/>
                <w:u w:val="none"/>
              </w:rPr>
              <w:t>本项目蒸汽发生器及</w:t>
            </w:r>
            <w:r>
              <w:rPr>
                <w:rFonts w:hint="eastAsia"/>
                <w:color w:val="auto"/>
                <w:u w:val="none"/>
              </w:rPr>
              <w:t>炒锅使用天然</w:t>
            </w:r>
            <w:r>
              <w:rPr>
                <w:color w:val="auto"/>
                <w:u w:val="none"/>
              </w:rPr>
              <w:t>气为燃料，由燃气公司通过燃气管道供应。</w:t>
            </w:r>
            <w:r>
              <w:rPr>
                <w:rFonts w:hint="eastAsia"/>
                <w:color w:val="auto"/>
                <w:u w:val="none"/>
              </w:rPr>
              <w:t>单台</w:t>
            </w:r>
            <w:r>
              <w:rPr>
                <w:color w:val="auto"/>
                <w:u w:val="none"/>
              </w:rPr>
              <w:t>2t/h蒸汽发生器燃气消耗量为</w:t>
            </w:r>
            <w:r>
              <w:rPr>
                <w:rFonts w:hint="eastAsia"/>
                <w:color w:val="auto"/>
                <w:u w:val="none"/>
              </w:rPr>
              <w:t>150</w:t>
            </w:r>
            <w:r>
              <w:rPr>
                <w:color w:val="auto"/>
                <w:u w:val="none"/>
              </w:rPr>
              <w:t>m</w:t>
            </w:r>
            <w:r>
              <w:rPr>
                <w:color w:val="auto"/>
                <w:u w:val="none"/>
                <w:vertAlign w:val="superscript"/>
              </w:rPr>
              <w:t>3</w:t>
            </w:r>
            <w:r>
              <w:rPr>
                <w:color w:val="auto"/>
                <w:u w:val="none"/>
              </w:rPr>
              <w:t>/h，</w:t>
            </w:r>
            <w:r>
              <w:rPr>
                <w:rFonts w:hint="eastAsia"/>
                <w:color w:val="auto"/>
                <w:u w:val="none"/>
              </w:rPr>
              <w:t>2台全年共计60万m</w:t>
            </w:r>
            <w:r>
              <w:rPr>
                <w:rFonts w:hint="eastAsia"/>
                <w:color w:val="auto"/>
                <w:u w:val="none"/>
                <w:vertAlign w:val="superscript"/>
              </w:rPr>
              <w:t>3</w:t>
            </w:r>
            <w:r>
              <w:rPr>
                <w:rFonts w:hint="eastAsia"/>
                <w:color w:val="auto"/>
                <w:u w:val="none"/>
              </w:rPr>
              <w:t>/a；共设8台炒锅，单台炒锅耗气量12.5</w:t>
            </w:r>
            <w:r>
              <w:rPr>
                <w:color w:val="auto"/>
                <w:u w:val="none"/>
              </w:rPr>
              <w:t>m</w:t>
            </w:r>
            <w:r>
              <w:rPr>
                <w:color w:val="auto"/>
                <w:u w:val="none"/>
                <w:vertAlign w:val="superscript"/>
              </w:rPr>
              <w:t>3</w:t>
            </w:r>
            <w:r>
              <w:rPr>
                <w:color w:val="auto"/>
                <w:u w:val="none"/>
              </w:rPr>
              <w:t>/h，</w:t>
            </w:r>
            <w:r>
              <w:rPr>
                <w:rFonts w:hint="eastAsia"/>
                <w:color w:val="auto"/>
                <w:u w:val="none"/>
              </w:rPr>
              <w:t>8台炒锅全年共计20万m</w:t>
            </w:r>
            <w:r>
              <w:rPr>
                <w:rFonts w:hint="eastAsia"/>
                <w:color w:val="auto"/>
                <w:u w:val="none"/>
                <w:vertAlign w:val="superscript"/>
              </w:rPr>
              <w:t>3</w:t>
            </w:r>
            <w:r>
              <w:rPr>
                <w:rFonts w:hint="eastAsia"/>
                <w:color w:val="auto"/>
                <w:u w:val="none"/>
              </w:rPr>
              <w:t>/a；本项目天然气消耗量80万m</w:t>
            </w:r>
            <w:r>
              <w:rPr>
                <w:rFonts w:hint="eastAsia"/>
                <w:color w:val="auto"/>
                <w:u w:val="none"/>
                <w:vertAlign w:val="superscript"/>
              </w:rPr>
              <w:t>3</w:t>
            </w:r>
            <w:r>
              <w:rPr>
                <w:rFonts w:hint="eastAsia"/>
                <w:color w:val="auto"/>
                <w:u w:val="none"/>
              </w:rPr>
              <w:t>/a。</w:t>
            </w:r>
          </w:p>
          <w:p>
            <w:pPr>
              <w:pStyle w:val="85"/>
              <w:ind w:firstLine="480"/>
              <w:rPr>
                <w:rFonts w:hint="default" w:eastAsia="宋体"/>
                <w:b/>
                <w:bCs/>
                <w:color w:val="auto"/>
                <w:u w:val="none"/>
                <w:lang w:val="en-US" w:eastAsia="zh-CN"/>
              </w:rPr>
            </w:pPr>
            <w:r>
              <w:rPr>
                <w:rFonts w:hint="eastAsia"/>
                <w:b/>
                <w:bCs/>
                <w:color w:val="auto"/>
                <w:u w:val="none"/>
                <w:lang w:val="en-US" w:eastAsia="zh-CN"/>
              </w:rPr>
              <w:t>2.6.5 洁净车间</w:t>
            </w:r>
          </w:p>
          <w:p>
            <w:pPr>
              <w:pStyle w:val="85"/>
              <w:ind w:firstLine="480"/>
              <w:rPr>
                <w:rFonts w:hint="eastAsia"/>
                <w:color w:val="auto"/>
                <w:szCs w:val="21"/>
                <w:u w:val="none"/>
                <w:lang w:val="en-US" w:eastAsia="zh-CN"/>
              </w:rPr>
            </w:pPr>
            <w:r>
              <w:rPr>
                <w:rFonts w:hint="eastAsia"/>
                <w:color w:val="auto"/>
                <w:u w:val="none"/>
                <w:lang w:val="en-US" w:eastAsia="zh-CN"/>
              </w:rPr>
              <w:t>部分生产车间为洁净车间，主要为</w:t>
            </w:r>
            <w:r>
              <w:rPr>
                <w:rFonts w:hint="eastAsia"/>
                <w:color w:val="auto"/>
                <w:szCs w:val="21"/>
                <w:u w:val="none"/>
                <w:lang w:val="en-US" w:eastAsia="zh-CN"/>
              </w:rPr>
              <w:t>炒制调味间、内包装间、前期发酵间、腌制发酵间、发酵间、整理调制间、腌制间、装瓶间。空气洁净度为10万级，车间进气经过初、中、高三级净化系统处理。该三级净化系统采用滤芯对进气进行多遍过滤。</w:t>
            </w:r>
          </w:p>
          <w:p>
            <w:pPr>
              <w:pStyle w:val="85"/>
              <w:ind w:firstLine="480"/>
              <w:rPr>
                <w:rFonts w:hint="default"/>
                <w:b/>
                <w:bCs/>
                <w:color w:val="auto"/>
                <w:szCs w:val="21"/>
                <w:u w:val="none"/>
                <w:lang w:val="en-US" w:eastAsia="zh-CN"/>
              </w:rPr>
            </w:pPr>
            <w:r>
              <w:rPr>
                <w:rFonts w:hint="eastAsia"/>
                <w:b/>
                <w:bCs/>
                <w:color w:val="auto"/>
                <w:szCs w:val="21"/>
                <w:u w:val="none"/>
                <w:lang w:val="en-US" w:eastAsia="zh-CN"/>
              </w:rPr>
              <w:t>2.6.6 灭菌方式</w:t>
            </w:r>
          </w:p>
          <w:p>
            <w:pPr>
              <w:pStyle w:val="85"/>
              <w:ind w:firstLine="480"/>
              <w:rPr>
                <w:rFonts w:hint="default"/>
                <w:color w:val="auto"/>
                <w:szCs w:val="21"/>
                <w:u w:val="none"/>
                <w:lang w:val="en-US" w:eastAsia="zh-CN"/>
              </w:rPr>
            </w:pPr>
            <w:r>
              <w:rPr>
                <w:rFonts w:hint="eastAsia"/>
                <w:color w:val="auto"/>
                <w:szCs w:val="21"/>
                <w:u w:val="none"/>
                <w:lang w:val="en-US" w:eastAsia="zh-CN"/>
              </w:rPr>
              <w:t>本项目罐装车间采用臭氧灭菌，包装袋采用紫外线灭菌，塑料瓶采用臭氧灭菌，玻璃瓶采用蒸汽灭菌，食品采用高温蒸煮灭菌及巴氏灭菌。</w:t>
            </w:r>
          </w:p>
          <w:p>
            <w:pPr>
              <w:pStyle w:val="85"/>
              <w:ind w:left="0" w:leftChars="0" w:firstLine="0" w:firstLineChars="0"/>
              <w:rPr>
                <w:b/>
                <w:bCs/>
                <w:color w:val="auto"/>
                <w:u w:val="none"/>
              </w:rPr>
            </w:pPr>
            <w:r>
              <w:rPr>
                <w:rFonts w:hint="eastAsia"/>
                <w:b/>
                <w:bCs/>
                <w:color w:val="auto"/>
                <w:u w:val="none"/>
              </w:rPr>
              <w:t>2.7 储运工程</w:t>
            </w:r>
          </w:p>
          <w:p>
            <w:pPr>
              <w:pStyle w:val="85"/>
              <w:ind w:firstLine="480"/>
              <w:rPr>
                <w:rFonts w:hint="eastAsia"/>
                <w:color w:val="auto"/>
                <w:u w:val="none"/>
              </w:rPr>
            </w:pPr>
            <w:r>
              <w:rPr>
                <w:rFonts w:hint="eastAsia"/>
                <w:color w:val="auto"/>
                <w:u w:val="none"/>
                <w:lang w:val="en-US" w:eastAsia="zh-CN"/>
              </w:rPr>
              <w:t>仓库：</w:t>
            </w:r>
            <w:r>
              <w:rPr>
                <w:rFonts w:hint="eastAsia"/>
                <w:color w:val="auto"/>
                <w:u w:val="none"/>
              </w:rPr>
              <w:t>4#车间1楼为成品库及原料库，3楼为包装材料库。</w:t>
            </w:r>
          </w:p>
          <w:p>
            <w:pPr>
              <w:pStyle w:val="85"/>
              <w:ind w:firstLine="480"/>
              <w:rPr>
                <w:rFonts w:hint="default" w:eastAsia="宋体"/>
                <w:color w:val="auto"/>
                <w:u w:val="none"/>
                <w:vertAlign w:val="baseline"/>
                <w:lang w:val="en-US" w:eastAsia="zh-CN"/>
              </w:rPr>
            </w:pPr>
            <w:r>
              <w:rPr>
                <w:rFonts w:hint="eastAsia"/>
                <w:color w:val="auto"/>
                <w:u w:val="none"/>
                <w:lang w:val="en-US" w:eastAsia="zh-CN"/>
              </w:rPr>
              <w:t>冷库：</w:t>
            </w:r>
            <w:r>
              <w:rPr>
                <w:rFonts w:hint="eastAsia"/>
                <w:color w:val="auto"/>
                <w:u w:val="none"/>
              </w:rPr>
              <w:t>4#车间</w:t>
            </w:r>
            <w:r>
              <w:rPr>
                <w:rFonts w:hint="eastAsia"/>
                <w:color w:val="auto"/>
                <w:u w:val="none"/>
                <w:lang w:val="en-US" w:eastAsia="zh-CN"/>
              </w:rPr>
              <w:t>2</w:t>
            </w:r>
            <w:r>
              <w:rPr>
                <w:rFonts w:hint="eastAsia"/>
                <w:color w:val="auto"/>
                <w:u w:val="none"/>
              </w:rPr>
              <w:t>楼</w:t>
            </w:r>
            <w:r>
              <w:rPr>
                <w:rFonts w:hint="eastAsia"/>
                <w:color w:val="auto"/>
                <w:u w:val="none"/>
                <w:lang w:val="en-US" w:eastAsia="zh-CN"/>
              </w:rPr>
              <w:t>中部设置2个低温冷库，</w:t>
            </w:r>
            <w:r>
              <w:rPr>
                <w:rFonts w:hint="eastAsia"/>
                <w:color w:val="auto"/>
                <w:szCs w:val="21"/>
                <w:u w:val="none"/>
                <w:lang w:val="en-US" w:eastAsia="zh-CN"/>
              </w:rPr>
              <w:t>规格分别为</w:t>
            </w:r>
            <w:r>
              <w:rPr>
                <w:rFonts w:hint="eastAsia" w:cs="Calibri"/>
                <w:b w:val="0"/>
                <w:bCs w:val="0"/>
                <w:color w:val="auto"/>
                <w:szCs w:val="21"/>
                <w:u w:val="none"/>
                <w:lang w:val="en-US" w:eastAsia="zh-CN"/>
              </w:rPr>
              <w:t>83m</w:t>
            </w:r>
            <w:r>
              <w:rPr>
                <w:rFonts w:hint="eastAsia" w:cs="Calibri"/>
                <w:b w:val="0"/>
                <w:bCs w:val="0"/>
                <w:color w:val="auto"/>
                <w:szCs w:val="21"/>
                <w:u w:val="none"/>
                <w:vertAlign w:val="superscript"/>
                <w:lang w:val="en-US" w:eastAsia="zh-CN"/>
              </w:rPr>
              <w:t>3</w:t>
            </w:r>
            <w:r>
              <w:rPr>
                <w:rFonts w:hint="eastAsia" w:cs="Calibri"/>
                <w:b w:val="0"/>
                <w:bCs w:val="0"/>
                <w:color w:val="auto"/>
                <w:szCs w:val="21"/>
                <w:u w:val="none"/>
                <w:lang w:val="en-US" w:eastAsia="zh-CN"/>
              </w:rPr>
              <w:t>、48m</w:t>
            </w:r>
            <w:r>
              <w:rPr>
                <w:rFonts w:hint="eastAsia" w:cs="Calibri"/>
                <w:b w:val="0"/>
                <w:bCs w:val="0"/>
                <w:color w:val="auto"/>
                <w:szCs w:val="21"/>
                <w:u w:val="none"/>
                <w:vertAlign w:val="superscript"/>
                <w:lang w:val="en-US" w:eastAsia="zh-CN"/>
              </w:rPr>
              <w:t>3</w:t>
            </w:r>
            <w:r>
              <w:rPr>
                <w:rFonts w:hint="eastAsia" w:cs="Calibri"/>
                <w:b w:val="0"/>
                <w:bCs w:val="0"/>
                <w:color w:val="auto"/>
                <w:szCs w:val="21"/>
                <w:u w:val="none"/>
                <w:vertAlign w:val="baseline"/>
                <w:lang w:val="en-US" w:eastAsia="zh-CN"/>
              </w:rPr>
              <w:t>，制冷剂采用</w:t>
            </w:r>
            <w:r>
              <w:rPr>
                <w:rFonts w:hint="eastAsia"/>
                <w:color w:val="auto"/>
                <w:kern w:val="0"/>
                <w:szCs w:val="21"/>
                <w:u w:val="none"/>
              </w:rPr>
              <w:t>R22制冷剂</w:t>
            </w:r>
            <w:r>
              <w:rPr>
                <w:rFonts w:hint="eastAsia" w:ascii="Times New Roman" w:hAnsi="Times New Roman" w:eastAsia="宋体" w:cs="Times New Roman"/>
                <w:color w:val="auto"/>
                <w:kern w:val="0"/>
                <w:szCs w:val="21"/>
                <w:u w:val="none"/>
                <w:lang w:eastAsia="zh-CN"/>
              </w:rPr>
              <w:t>（二氟一氯甲烷）</w:t>
            </w:r>
            <w:r>
              <w:rPr>
                <w:rFonts w:hint="eastAsia"/>
                <w:color w:val="auto"/>
                <w:kern w:val="0"/>
                <w:szCs w:val="21"/>
                <w:u w:val="none"/>
                <w:lang w:eastAsia="zh-CN"/>
              </w:rPr>
              <w:t>，</w:t>
            </w:r>
            <w:r>
              <w:rPr>
                <w:rFonts w:hint="eastAsia"/>
                <w:color w:val="auto"/>
                <w:kern w:val="0"/>
                <w:szCs w:val="21"/>
                <w:u w:val="none"/>
                <w:lang w:val="en-US" w:eastAsia="zh-CN"/>
              </w:rPr>
              <w:t>充装量约为200kg。</w:t>
            </w:r>
            <w:r>
              <w:rPr>
                <w:rFonts w:hint="eastAsia"/>
                <w:color w:val="auto"/>
                <w:spacing w:val="-1"/>
                <w:szCs w:val="21"/>
                <w:u w:val="none"/>
              </w:rPr>
              <w:t>冷库安装时已注入了设备使用寿命周期的制冷剂，非设备重大故障，不更换制冷剂</w:t>
            </w:r>
            <w:r>
              <w:rPr>
                <w:rFonts w:hint="eastAsia"/>
                <w:color w:val="auto"/>
                <w:spacing w:val="-1"/>
                <w:szCs w:val="21"/>
                <w:u w:val="none"/>
                <w:lang w:eastAsia="zh-CN"/>
              </w:rPr>
              <w:t>，</w:t>
            </w:r>
            <w:r>
              <w:rPr>
                <w:rFonts w:hint="eastAsia"/>
                <w:color w:val="auto"/>
                <w:spacing w:val="-1"/>
                <w:szCs w:val="21"/>
                <w:u w:val="none"/>
                <w:lang w:val="en-US" w:eastAsia="zh-CN"/>
              </w:rPr>
              <w:t>确需更换时由厂家负责更换并回收，</w:t>
            </w:r>
            <w:r>
              <w:rPr>
                <w:rFonts w:hint="eastAsia"/>
                <w:color w:val="auto"/>
                <w:spacing w:val="-1"/>
                <w:szCs w:val="21"/>
                <w:u w:val="none"/>
              </w:rPr>
              <w:t>因此项目运营期不需要考虑低温冷库的制冷剂更换问题。</w:t>
            </w:r>
          </w:p>
          <w:p>
            <w:pPr>
              <w:pStyle w:val="85"/>
              <w:ind w:firstLine="480"/>
              <w:rPr>
                <w:color w:val="auto"/>
                <w:u w:val="none"/>
              </w:rPr>
            </w:pPr>
            <w:r>
              <w:rPr>
                <w:rFonts w:hint="eastAsia"/>
                <w:color w:val="auto"/>
                <w:u w:val="none"/>
                <w:lang w:val="en-US" w:eastAsia="zh-CN"/>
              </w:rPr>
              <w:t>食用油罐：</w:t>
            </w:r>
            <w:r>
              <w:rPr>
                <w:rFonts w:hint="eastAsia"/>
                <w:color w:val="auto"/>
                <w:u w:val="none"/>
              </w:rPr>
              <w:t>项目分装食用油原料储存于4#</w:t>
            </w:r>
            <w:r>
              <w:rPr>
                <w:rFonts w:hint="eastAsia"/>
                <w:color w:val="auto"/>
                <w:u w:val="none"/>
                <w:lang w:val="en-US" w:eastAsia="zh-CN"/>
              </w:rPr>
              <w:t>车间</w:t>
            </w:r>
            <w:r>
              <w:rPr>
                <w:rFonts w:hint="eastAsia"/>
                <w:color w:val="auto"/>
                <w:u w:val="none"/>
              </w:rPr>
              <w:t>2楼分装食用油生产线储罐区，</w:t>
            </w:r>
            <w:r>
              <w:rPr>
                <w:rFonts w:hint="eastAsia"/>
                <w:color w:val="auto"/>
                <w:u w:val="none"/>
                <w:lang w:val="en-US" w:eastAsia="zh-CN"/>
              </w:rPr>
              <w:t>食品加工</w:t>
            </w:r>
            <w:r>
              <w:rPr>
                <w:rFonts w:hint="eastAsia"/>
                <w:color w:val="auto"/>
                <w:u w:val="none"/>
              </w:rPr>
              <w:t>用食用油原料储存于厂区北侧食用油罐区，各储罐区均需设置围堰。项目食用油储罐设置情况如下：</w:t>
            </w:r>
          </w:p>
          <w:p>
            <w:pPr>
              <w:pStyle w:val="85"/>
              <w:ind w:firstLine="0" w:firstLineChars="0"/>
              <w:jc w:val="center"/>
              <w:rPr>
                <w:b/>
                <w:bCs/>
                <w:color w:val="auto"/>
                <w:u w:val="none"/>
              </w:rPr>
            </w:pPr>
            <w:r>
              <w:rPr>
                <w:rFonts w:hint="eastAsia"/>
                <w:b/>
                <w:bCs/>
                <w:color w:val="auto"/>
                <w:u w:val="none"/>
              </w:rPr>
              <w:t>表2.7-1 食用油储罐设置情况一览表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1640"/>
              <w:gridCol w:w="1315"/>
              <w:gridCol w:w="1261"/>
              <w:gridCol w:w="1261"/>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u w:val="none"/>
                    </w:rPr>
                  </w:pPr>
                  <w:r>
                    <w:rPr>
                      <w:rFonts w:hint="eastAsia" w:ascii="宋体" w:hAnsi="宋体"/>
                      <w:color w:val="auto"/>
                      <w:szCs w:val="21"/>
                      <w:u w:val="none"/>
                    </w:rPr>
                    <w:t>用途</w:t>
                  </w:r>
                </w:p>
              </w:tc>
              <w:tc>
                <w:tcPr>
                  <w:tcW w:w="97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u w:val="none"/>
                    </w:rPr>
                  </w:pPr>
                  <w:r>
                    <w:rPr>
                      <w:rFonts w:hint="eastAsia" w:ascii="宋体" w:hAnsi="宋体"/>
                      <w:color w:val="auto"/>
                      <w:szCs w:val="21"/>
                      <w:u w:val="none"/>
                    </w:rPr>
                    <w:t>名称</w:t>
                  </w:r>
                </w:p>
              </w:tc>
              <w:tc>
                <w:tcPr>
                  <w:tcW w:w="785" w:type="pct"/>
                  <w:tcBorders>
                    <w:top w:val="single" w:color="auto" w:sz="4" w:space="0"/>
                    <w:left w:val="single" w:color="auto" w:sz="4" w:space="0"/>
                    <w:bottom w:val="single" w:color="auto" w:sz="4" w:space="0"/>
                    <w:right w:val="single" w:color="auto" w:sz="4" w:space="0"/>
                  </w:tcBorders>
                  <w:vAlign w:val="center"/>
                </w:tcPr>
                <w:p>
                  <w:pPr>
                    <w:jc w:val="center"/>
                    <w:rPr>
                      <w:rFonts w:cs="Calibri"/>
                      <w:color w:val="auto"/>
                      <w:szCs w:val="21"/>
                      <w:u w:val="none"/>
                    </w:rPr>
                  </w:pPr>
                  <w:r>
                    <w:rPr>
                      <w:rFonts w:hint="eastAsia" w:cs="Calibri"/>
                      <w:color w:val="auto"/>
                      <w:szCs w:val="21"/>
                      <w:u w:val="none"/>
                    </w:rPr>
                    <w:t>规格</w:t>
                  </w: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rFonts w:cs="Calibri"/>
                      <w:color w:val="auto"/>
                      <w:szCs w:val="21"/>
                      <w:u w:val="none"/>
                    </w:rPr>
                  </w:pPr>
                  <w:r>
                    <w:rPr>
                      <w:rFonts w:hint="eastAsia" w:cs="Calibri"/>
                      <w:color w:val="auto"/>
                      <w:szCs w:val="21"/>
                      <w:u w:val="none"/>
                    </w:rPr>
                    <w:t>数量</w:t>
                  </w: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Cs w:val="21"/>
                      <w:u w:val="none"/>
                    </w:rPr>
                    <w:t>最大储存量（t）</w:t>
                  </w:r>
                </w:p>
              </w:tc>
              <w:tc>
                <w:tcPr>
                  <w:tcW w:w="752"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8" w:type="pct"/>
                  <w:vMerge w:val="restart"/>
                  <w:tcBorders>
                    <w:top w:val="single" w:color="auto" w:sz="4" w:space="0"/>
                    <w:left w:val="single" w:color="auto" w:sz="4" w:space="0"/>
                    <w:right w:val="single" w:color="auto" w:sz="4" w:space="0"/>
                  </w:tcBorders>
                  <w:vAlign w:val="center"/>
                </w:tcPr>
                <w:p>
                  <w:pPr>
                    <w:jc w:val="center"/>
                    <w:rPr>
                      <w:rFonts w:hint="eastAsia" w:ascii="宋体" w:hAnsi="宋体"/>
                      <w:color w:val="auto"/>
                      <w:szCs w:val="21"/>
                      <w:u w:val="none"/>
                    </w:rPr>
                  </w:pPr>
                  <w:r>
                    <w:rPr>
                      <w:rFonts w:hint="eastAsia" w:ascii="宋体" w:hAnsi="宋体"/>
                      <w:color w:val="auto"/>
                      <w:szCs w:val="21"/>
                      <w:u w:val="none"/>
                    </w:rPr>
                    <w:t>分装食用油</w:t>
                  </w:r>
                </w:p>
              </w:tc>
              <w:tc>
                <w:tcPr>
                  <w:tcW w:w="979"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ascii="宋体" w:hAnsi="宋体"/>
                      <w:color w:val="auto"/>
                      <w:szCs w:val="21"/>
                      <w:u w:val="none"/>
                    </w:rPr>
                    <w:t>储存罐</w:t>
                  </w:r>
                </w:p>
              </w:tc>
              <w:tc>
                <w:tcPr>
                  <w:tcW w:w="785"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vertAlign w:val="superscript"/>
                    </w:rPr>
                  </w:pPr>
                  <w:r>
                    <w:rPr>
                      <w:rFonts w:hint="eastAsia" w:cs="Calibri"/>
                      <w:color w:val="auto"/>
                      <w:szCs w:val="21"/>
                      <w:u w:val="none"/>
                    </w:rPr>
                    <w:t>90m</w:t>
                  </w:r>
                  <w:r>
                    <w:rPr>
                      <w:rFonts w:hint="eastAsia" w:cs="Calibri"/>
                      <w:color w:val="auto"/>
                      <w:szCs w:val="21"/>
                      <w:u w:val="none"/>
                      <w:vertAlign w:val="superscript"/>
                    </w:rPr>
                    <w:t>3</w:t>
                  </w: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s="Calibri"/>
                      <w:color w:val="auto"/>
                      <w:szCs w:val="21"/>
                      <w:u w:val="none"/>
                    </w:rPr>
                    <w:t>10</w:t>
                  </w:r>
                  <w:r>
                    <w:rPr>
                      <w:rFonts w:hint="eastAsia" w:ascii="宋体" w:hAnsi="宋体"/>
                      <w:color w:val="auto"/>
                      <w:szCs w:val="21"/>
                      <w:u w:val="none"/>
                    </w:rPr>
                    <w:t>个</w:t>
                  </w: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 w:val="22"/>
                      <w:szCs w:val="22"/>
                      <w:u w:val="none"/>
                    </w:rPr>
                    <w:t>729</w:t>
                  </w:r>
                </w:p>
              </w:tc>
              <w:tc>
                <w:tcPr>
                  <w:tcW w:w="752" w:type="pct"/>
                  <w:vMerge w:val="restart"/>
                  <w:tcBorders>
                    <w:top w:val="single" w:color="auto" w:sz="4" w:space="0"/>
                    <w:left w:val="single" w:color="auto" w:sz="4" w:space="0"/>
                    <w:right w:val="single" w:color="auto" w:sz="4" w:space="0"/>
                  </w:tcBorders>
                  <w:vAlign w:val="center"/>
                </w:tcPr>
                <w:p>
                  <w:pPr>
                    <w:jc w:val="center"/>
                    <w:rPr>
                      <w:color w:val="auto"/>
                      <w:szCs w:val="21"/>
                      <w:u w:val="none"/>
                    </w:rPr>
                  </w:pPr>
                  <w:r>
                    <w:rPr>
                      <w:rFonts w:hint="eastAsia"/>
                      <w:color w:val="auto"/>
                      <w:szCs w:val="21"/>
                      <w:u w:val="none"/>
                    </w:rPr>
                    <w:t>密度0.9g/mL，充装量90%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8" w:type="pct"/>
                  <w:vMerge w:val="continue"/>
                  <w:tcBorders>
                    <w:left w:val="single" w:color="auto" w:sz="4" w:space="0"/>
                    <w:right w:val="single" w:color="auto" w:sz="4" w:space="0"/>
                  </w:tcBorders>
                  <w:vAlign w:val="center"/>
                </w:tcPr>
                <w:p>
                  <w:pPr>
                    <w:jc w:val="center"/>
                    <w:rPr>
                      <w:rFonts w:hint="eastAsia" w:ascii="宋体" w:hAnsi="宋体"/>
                      <w:color w:val="auto"/>
                      <w:szCs w:val="21"/>
                      <w:u w:val="none"/>
                    </w:rPr>
                  </w:pPr>
                </w:p>
              </w:tc>
              <w:tc>
                <w:tcPr>
                  <w:tcW w:w="979"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ascii="宋体" w:hAnsi="宋体"/>
                      <w:color w:val="auto"/>
                      <w:szCs w:val="21"/>
                      <w:u w:val="none"/>
                    </w:rPr>
                    <w:t>调配罐</w:t>
                  </w:r>
                </w:p>
              </w:tc>
              <w:tc>
                <w:tcPr>
                  <w:tcW w:w="785"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s="Calibri"/>
                      <w:color w:val="auto"/>
                      <w:szCs w:val="21"/>
                      <w:u w:val="none"/>
                    </w:rPr>
                    <w:t>10m</w:t>
                  </w:r>
                  <w:r>
                    <w:rPr>
                      <w:rFonts w:hint="eastAsia" w:cs="Calibri"/>
                      <w:color w:val="auto"/>
                      <w:szCs w:val="21"/>
                      <w:u w:val="none"/>
                      <w:vertAlign w:val="superscript"/>
                    </w:rPr>
                    <w:t>3</w:t>
                  </w: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s="Calibri"/>
                      <w:color w:val="auto"/>
                      <w:szCs w:val="21"/>
                      <w:u w:val="none"/>
                    </w:rPr>
                    <w:t>2</w:t>
                  </w:r>
                  <w:r>
                    <w:rPr>
                      <w:rFonts w:hint="eastAsia" w:ascii="宋体" w:hAnsi="宋体"/>
                      <w:color w:val="auto"/>
                      <w:szCs w:val="21"/>
                      <w:u w:val="none"/>
                    </w:rPr>
                    <w:t>个</w:t>
                  </w: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 w:val="22"/>
                      <w:szCs w:val="22"/>
                      <w:u w:val="none"/>
                    </w:rPr>
                    <w:t>16.2</w:t>
                  </w:r>
                </w:p>
              </w:tc>
              <w:tc>
                <w:tcPr>
                  <w:tcW w:w="752" w:type="pct"/>
                  <w:vMerge w:val="continue"/>
                  <w:tcBorders>
                    <w:left w:val="single" w:color="auto" w:sz="4" w:space="0"/>
                    <w:right w:val="single" w:color="auto" w:sz="4" w:space="0"/>
                  </w:tcBorders>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8" w:type="pct"/>
                  <w:vMerge w:val="continue"/>
                  <w:tcBorders>
                    <w:left w:val="single" w:color="auto" w:sz="4" w:space="0"/>
                    <w:bottom w:val="single" w:color="auto" w:sz="4" w:space="0"/>
                    <w:right w:val="single" w:color="auto" w:sz="4" w:space="0"/>
                  </w:tcBorders>
                  <w:vAlign w:val="center"/>
                </w:tcPr>
                <w:p>
                  <w:pPr>
                    <w:jc w:val="center"/>
                    <w:rPr>
                      <w:rFonts w:hint="eastAsia" w:ascii="宋体" w:hAnsi="宋体"/>
                      <w:color w:val="auto"/>
                      <w:szCs w:val="21"/>
                      <w:u w:val="none"/>
                    </w:rPr>
                  </w:pPr>
                </w:p>
              </w:tc>
              <w:tc>
                <w:tcPr>
                  <w:tcW w:w="979"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ascii="宋体" w:hAnsi="宋体"/>
                      <w:color w:val="auto"/>
                      <w:szCs w:val="21"/>
                      <w:u w:val="none"/>
                    </w:rPr>
                    <w:t>卧式储存罐</w:t>
                  </w:r>
                </w:p>
              </w:tc>
              <w:tc>
                <w:tcPr>
                  <w:tcW w:w="785"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s="Calibri"/>
                      <w:color w:val="auto"/>
                      <w:szCs w:val="21"/>
                      <w:u w:val="none"/>
                    </w:rPr>
                    <w:t>10m</w:t>
                  </w:r>
                  <w:r>
                    <w:rPr>
                      <w:rFonts w:hint="eastAsia" w:cs="Calibri"/>
                      <w:color w:val="auto"/>
                      <w:szCs w:val="21"/>
                      <w:u w:val="none"/>
                      <w:vertAlign w:val="superscript"/>
                    </w:rPr>
                    <w:t>3</w:t>
                  </w: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s="Calibri"/>
                      <w:color w:val="auto"/>
                      <w:szCs w:val="21"/>
                      <w:u w:val="none"/>
                    </w:rPr>
                    <w:t>2</w:t>
                  </w:r>
                  <w:r>
                    <w:rPr>
                      <w:rFonts w:hint="eastAsia" w:ascii="宋体" w:hAnsi="宋体"/>
                      <w:color w:val="auto"/>
                      <w:szCs w:val="21"/>
                      <w:u w:val="none"/>
                    </w:rPr>
                    <w:t>个</w:t>
                  </w: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 w:val="22"/>
                      <w:szCs w:val="22"/>
                      <w:u w:val="none"/>
                    </w:rPr>
                    <w:t>16.2</w:t>
                  </w:r>
                </w:p>
              </w:tc>
              <w:tc>
                <w:tcPr>
                  <w:tcW w:w="752" w:type="pct"/>
                  <w:vMerge w:val="continue"/>
                  <w:tcBorders>
                    <w:left w:val="single" w:color="auto" w:sz="4" w:space="0"/>
                    <w:right w:val="single" w:color="auto" w:sz="4" w:space="0"/>
                  </w:tcBorders>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u w:val="none"/>
                    </w:rPr>
                  </w:pPr>
                  <w:r>
                    <w:rPr>
                      <w:rFonts w:hint="eastAsia" w:ascii="宋体" w:hAnsi="宋体"/>
                      <w:color w:val="auto"/>
                      <w:szCs w:val="21"/>
                      <w:u w:val="none"/>
                      <w:lang w:val="en-US" w:eastAsia="zh-CN"/>
                    </w:rPr>
                    <w:t>食品加工</w:t>
                  </w:r>
                  <w:r>
                    <w:rPr>
                      <w:rFonts w:hint="eastAsia" w:ascii="宋体" w:hAnsi="宋体"/>
                      <w:color w:val="auto"/>
                      <w:szCs w:val="21"/>
                      <w:u w:val="none"/>
                    </w:rPr>
                    <w:t>用油</w:t>
                  </w:r>
                </w:p>
              </w:tc>
              <w:tc>
                <w:tcPr>
                  <w:tcW w:w="97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u w:val="none"/>
                    </w:rPr>
                  </w:pPr>
                  <w:r>
                    <w:rPr>
                      <w:rFonts w:hint="eastAsia" w:ascii="宋体" w:hAnsi="宋体"/>
                      <w:color w:val="auto"/>
                      <w:szCs w:val="21"/>
                      <w:u w:val="none"/>
                    </w:rPr>
                    <w:t>储罐</w:t>
                  </w:r>
                </w:p>
              </w:tc>
              <w:tc>
                <w:tcPr>
                  <w:tcW w:w="785" w:type="pct"/>
                  <w:tcBorders>
                    <w:top w:val="single" w:color="auto" w:sz="4" w:space="0"/>
                    <w:left w:val="single" w:color="auto" w:sz="4" w:space="0"/>
                    <w:bottom w:val="single" w:color="auto" w:sz="4" w:space="0"/>
                    <w:right w:val="single" w:color="auto" w:sz="4" w:space="0"/>
                  </w:tcBorders>
                  <w:vAlign w:val="center"/>
                </w:tcPr>
                <w:p>
                  <w:pPr>
                    <w:jc w:val="center"/>
                    <w:rPr>
                      <w:rFonts w:cs="Calibri"/>
                      <w:color w:val="auto"/>
                      <w:szCs w:val="21"/>
                      <w:u w:val="none"/>
                      <w:vertAlign w:val="superscript"/>
                    </w:rPr>
                  </w:pPr>
                  <w:r>
                    <w:rPr>
                      <w:rFonts w:hint="eastAsia" w:cs="Calibri"/>
                      <w:color w:val="auto"/>
                      <w:szCs w:val="21"/>
                      <w:u w:val="none"/>
                    </w:rPr>
                    <w:t>200m</w:t>
                  </w:r>
                  <w:r>
                    <w:rPr>
                      <w:rFonts w:hint="eastAsia" w:cs="Calibri"/>
                      <w:color w:val="auto"/>
                      <w:szCs w:val="21"/>
                      <w:u w:val="none"/>
                      <w:vertAlign w:val="superscript"/>
                    </w:rPr>
                    <w:t>3</w:t>
                  </w: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rFonts w:cs="Calibri"/>
                      <w:color w:val="auto"/>
                      <w:szCs w:val="21"/>
                      <w:u w:val="none"/>
                    </w:rPr>
                  </w:pPr>
                  <w:r>
                    <w:rPr>
                      <w:rFonts w:hint="eastAsia" w:cs="Calibri"/>
                      <w:color w:val="auto"/>
                      <w:szCs w:val="21"/>
                      <w:u w:val="none"/>
                    </w:rPr>
                    <w:t>2个</w:t>
                  </w: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 w:val="22"/>
                      <w:szCs w:val="22"/>
                      <w:u w:val="none"/>
                    </w:rPr>
                    <w:t>324</w:t>
                  </w:r>
                </w:p>
              </w:tc>
              <w:tc>
                <w:tcPr>
                  <w:tcW w:w="752" w:type="pct"/>
                  <w:vMerge w:val="continue"/>
                  <w:tcBorders>
                    <w:left w:val="single" w:color="auto" w:sz="4" w:space="0"/>
                    <w:right w:val="single" w:color="auto" w:sz="4" w:space="0"/>
                  </w:tcBorders>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u w:val="none"/>
                    </w:rPr>
                  </w:pPr>
                  <w:r>
                    <w:rPr>
                      <w:rFonts w:hint="eastAsia" w:ascii="宋体" w:hAnsi="宋体"/>
                      <w:color w:val="auto"/>
                      <w:szCs w:val="21"/>
                      <w:u w:val="none"/>
                    </w:rPr>
                    <w:t>合计</w:t>
                  </w:r>
                </w:p>
              </w:tc>
              <w:tc>
                <w:tcPr>
                  <w:tcW w:w="97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u w:val="none"/>
                    </w:rPr>
                  </w:pPr>
                </w:p>
              </w:tc>
              <w:tc>
                <w:tcPr>
                  <w:tcW w:w="785" w:type="pct"/>
                  <w:tcBorders>
                    <w:top w:val="single" w:color="auto" w:sz="4" w:space="0"/>
                    <w:left w:val="single" w:color="auto" w:sz="4" w:space="0"/>
                    <w:bottom w:val="single" w:color="auto" w:sz="4" w:space="0"/>
                    <w:right w:val="single" w:color="auto" w:sz="4" w:space="0"/>
                  </w:tcBorders>
                  <w:vAlign w:val="center"/>
                </w:tcPr>
                <w:p>
                  <w:pPr>
                    <w:jc w:val="center"/>
                    <w:rPr>
                      <w:rFonts w:cs="Calibri"/>
                      <w:color w:val="auto"/>
                      <w:szCs w:val="21"/>
                      <w:u w:val="none"/>
                    </w:rPr>
                  </w:pP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rFonts w:cs="Calibri"/>
                      <w:color w:val="auto"/>
                      <w:szCs w:val="21"/>
                      <w:u w:val="none"/>
                    </w:rPr>
                  </w:pPr>
                </w:p>
              </w:tc>
              <w:tc>
                <w:tcPr>
                  <w:tcW w:w="753"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Cs w:val="21"/>
                      <w:u w:val="none"/>
                    </w:rPr>
                    <w:t>1085.4</w:t>
                  </w:r>
                </w:p>
              </w:tc>
              <w:tc>
                <w:tcPr>
                  <w:tcW w:w="752" w:type="pct"/>
                  <w:tcBorders>
                    <w:left w:val="single" w:color="auto" w:sz="4" w:space="0"/>
                    <w:bottom w:val="single" w:color="auto" w:sz="4" w:space="0"/>
                    <w:right w:val="single" w:color="auto" w:sz="4" w:space="0"/>
                  </w:tcBorders>
                  <w:vAlign w:val="center"/>
                </w:tcPr>
                <w:p>
                  <w:pPr>
                    <w:jc w:val="center"/>
                    <w:rPr>
                      <w:color w:val="auto"/>
                      <w:szCs w:val="21"/>
                      <w:u w:val="none"/>
                    </w:rPr>
                  </w:pPr>
                </w:p>
              </w:tc>
            </w:tr>
          </w:tbl>
          <w:p>
            <w:pPr>
              <w:spacing w:line="360" w:lineRule="auto"/>
              <w:rPr>
                <w:b/>
                <w:color w:val="auto"/>
                <w:sz w:val="24"/>
                <w:u w:val="none"/>
              </w:rPr>
            </w:pPr>
            <w:r>
              <w:rPr>
                <w:rFonts w:hint="eastAsia"/>
                <w:b/>
                <w:color w:val="auto"/>
                <w:sz w:val="24"/>
                <w:u w:val="none"/>
              </w:rPr>
              <w:t xml:space="preserve">2.8 </w:t>
            </w:r>
            <w:r>
              <w:rPr>
                <w:b/>
                <w:color w:val="auto"/>
                <w:sz w:val="24"/>
                <w:u w:val="none"/>
              </w:rPr>
              <w:t>劳动定员、工作制度及食宿安排</w:t>
            </w:r>
          </w:p>
          <w:p>
            <w:pPr>
              <w:spacing w:line="360" w:lineRule="auto"/>
              <w:ind w:firstLine="480" w:firstLineChars="200"/>
              <w:rPr>
                <w:bCs/>
                <w:color w:val="auto"/>
                <w:sz w:val="24"/>
                <w:u w:val="none"/>
              </w:rPr>
            </w:pPr>
            <w:r>
              <w:rPr>
                <w:rFonts w:hint="eastAsia"/>
                <w:bCs/>
                <w:color w:val="auto"/>
                <w:sz w:val="24"/>
                <w:u w:val="none"/>
              </w:rPr>
              <w:t>项目</w:t>
            </w:r>
            <w:r>
              <w:rPr>
                <w:bCs/>
                <w:color w:val="auto"/>
                <w:sz w:val="24"/>
                <w:u w:val="none"/>
              </w:rPr>
              <w:t>劳动定员</w:t>
            </w:r>
            <w:r>
              <w:rPr>
                <w:rFonts w:hint="eastAsia"/>
                <w:bCs/>
                <w:color w:val="auto"/>
                <w:sz w:val="24"/>
                <w:u w:val="none"/>
              </w:rPr>
              <w:t>120</w:t>
            </w:r>
            <w:r>
              <w:rPr>
                <w:bCs/>
                <w:color w:val="auto"/>
                <w:sz w:val="24"/>
                <w:u w:val="none"/>
              </w:rPr>
              <w:t>人，一班制8小时，</w:t>
            </w:r>
            <w:r>
              <w:rPr>
                <w:rFonts w:hint="eastAsia"/>
                <w:bCs/>
                <w:color w:val="auto"/>
                <w:sz w:val="24"/>
                <w:u w:val="none"/>
              </w:rPr>
              <w:t>夜间不生产，</w:t>
            </w:r>
            <w:r>
              <w:rPr>
                <w:bCs/>
                <w:color w:val="auto"/>
                <w:sz w:val="24"/>
                <w:u w:val="none"/>
              </w:rPr>
              <w:t>年工作</w:t>
            </w:r>
            <w:r>
              <w:rPr>
                <w:rFonts w:hint="eastAsia"/>
                <w:bCs/>
                <w:color w:val="auto"/>
                <w:sz w:val="24"/>
                <w:u w:val="none"/>
              </w:rPr>
              <w:t>250</w:t>
            </w:r>
            <w:r>
              <w:rPr>
                <w:bCs/>
                <w:color w:val="auto"/>
                <w:sz w:val="24"/>
                <w:u w:val="none"/>
              </w:rPr>
              <w:t>天</w:t>
            </w:r>
            <w:r>
              <w:rPr>
                <w:rFonts w:hint="eastAsia"/>
                <w:bCs/>
                <w:color w:val="auto"/>
                <w:sz w:val="24"/>
                <w:u w:val="none"/>
              </w:rPr>
              <w:t>；厂区内设有食堂及宿舍，住宿人数约80人</w:t>
            </w:r>
            <w:r>
              <w:rPr>
                <w:bCs/>
                <w:color w:val="auto"/>
                <w:sz w:val="24"/>
                <w:u w:val="none"/>
              </w:rPr>
              <w:t>。</w:t>
            </w:r>
          </w:p>
          <w:p>
            <w:pPr>
              <w:spacing w:line="360" w:lineRule="auto"/>
              <w:rPr>
                <w:b/>
                <w:color w:val="auto"/>
                <w:sz w:val="24"/>
                <w:u w:val="none"/>
              </w:rPr>
            </w:pPr>
            <w:r>
              <w:rPr>
                <w:rFonts w:hint="eastAsia"/>
                <w:b/>
                <w:color w:val="auto"/>
                <w:sz w:val="24"/>
                <w:u w:val="none"/>
              </w:rPr>
              <w:t xml:space="preserve">2.9 </w:t>
            </w:r>
            <w:r>
              <w:rPr>
                <w:b/>
                <w:color w:val="auto"/>
                <w:sz w:val="24"/>
                <w:u w:val="none"/>
              </w:rPr>
              <w:t>项目平面布置</w:t>
            </w:r>
          </w:p>
          <w:p>
            <w:pPr>
              <w:spacing w:line="360" w:lineRule="auto"/>
              <w:ind w:firstLine="480" w:firstLineChars="200"/>
              <w:jc w:val="left"/>
              <w:rPr>
                <w:rFonts w:hint="default" w:eastAsia="宋体"/>
                <w:color w:val="auto"/>
                <w:sz w:val="24"/>
                <w:u w:val="none"/>
                <w:lang w:val="en-US" w:eastAsia="zh-CN"/>
              </w:rPr>
            </w:pPr>
            <w:r>
              <w:rPr>
                <w:rFonts w:hint="eastAsia"/>
                <w:color w:val="auto"/>
                <w:sz w:val="24"/>
                <w:u w:val="none"/>
              </w:rPr>
              <w:t>本项目大体上呈矩形分布，厂区大门位于厂区东侧，办公生活区与生产区分开布置。办公生活区位于厂区东侧，由北至南依次为食堂、员工宿舍楼、办公楼、科研楼。</w:t>
            </w:r>
            <w:r>
              <w:rPr>
                <w:rFonts w:hint="eastAsia"/>
                <w:color w:val="auto"/>
                <w:sz w:val="24"/>
                <w:u w:val="none"/>
                <w:lang w:val="en-US" w:eastAsia="zh-CN"/>
              </w:rPr>
              <w:t>厂区平面布置详见附图2，生产车间平面布置详见附图3.</w:t>
            </w:r>
          </w:p>
          <w:p>
            <w:pPr>
              <w:spacing w:line="360" w:lineRule="auto"/>
              <w:ind w:firstLine="480" w:firstLineChars="200"/>
              <w:jc w:val="left"/>
              <w:rPr>
                <w:color w:val="auto"/>
                <w:sz w:val="24"/>
                <w:u w:val="none"/>
              </w:rPr>
            </w:pPr>
            <w:r>
              <w:rPr>
                <w:rFonts w:hint="eastAsia"/>
                <w:color w:val="auto"/>
                <w:sz w:val="24"/>
                <w:u w:val="none"/>
              </w:rPr>
              <w:t>生产区位于厂区西侧及中部，西至东依次为1#车间、2#车间、3#车间、4#车间、食用油</w:t>
            </w:r>
            <w:r>
              <w:rPr>
                <w:rFonts w:hint="eastAsia"/>
                <w:color w:val="auto"/>
                <w:sz w:val="24"/>
                <w:u w:val="none"/>
                <w:lang w:val="en-US" w:eastAsia="zh-CN"/>
              </w:rPr>
              <w:t>罐区</w:t>
            </w:r>
            <w:r>
              <w:rPr>
                <w:rFonts w:hint="eastAsia"/>
                <w:color w:val="auto"/>
                <w:sz w:val="24"/>
                <w:u w:val="none"/>
              </w:rPr>
              <w:t>，其中1#~3#车间</w:t>
            </w:r>
            <w:r>
              <w:rPr>
                <w:rFonts w:hint="eastAsia"/>
                <w:color w:val="auto"/>
                <w:sz w:val="24"/>
                <w:u w:val="none"/>
                <w:lang w:eastAsia="zh-CN"/>
              </w:rPr>
              <w:t>均为</w:t>
            </w:r>
            <w:r>
              <w:rPr>
                <w:rFonts w:hint="eastAsia"/>
                <w:color w:val="auto"/>
                <w:sz w:val="24"/>
                <w:u w:val="none"/>
              </w:rPr>
              <w:t>1层钢结构厂房，</w:t>
            </w:r>
            <w:r>
              <w:rPr>
                <w:rFonts w:hint="eastAsia"/>
                <w:color w:val="auto"/>
                <w:sz w:val="24"/>
                <w:u w:val="none"/>
                <w:lang w:val="en-US" w:eastAsia="zh-CN"/>
              </w:rPr>
              <w:t>为预留厂房，本项目不使用</w:t>
            </w:r>
            <w:r>
              <w:rPr>
                <w:rFonts w:hint="eastAsia"/>
                <w:color w:val="auto"/>
                <w:sz w:val="24"/>
                <w:u w:val="none"/>
              </w:rPr>
              <w:t>。4#车间为本项目主要生产车间，位于厂区中部，远离东面及西面环境敏感目标。4#车间为3层钢结构厂房，1楼北侧为原料库，南侧为成品库；2楼部分区域为洁净工作区，设置10万级洁净净化系统，北侧为剁辣椒、油辣椒、下饭菜生产线，主要布置预处理间、炒制调味间、内包装间、外包装间；2楼西北侧为植物油分装生产线</w:t>
            </w:r>
            <w:r>
              <w:rPr>
                <w:rFonts w:hint="eastAsia"/>
                <w:color w:val="auto"/>
                <w:sz w:val="24"/>
                <w:u w:val="none"/>
                <w:lang w:eastAsia="zh-CN"/>
              </w:rPr>
              <w:t>，</w:t>
            </w:r>
            <w:r>
              <w:rPr>
                <w:rFonts w:hint="eastAsia"/>
                <w:color w:val="auto"/>
                <w:sz w:val="24"/>
                <w:u w:val="none"/>
                <w:lang w:val="en-US" w:eastAsia="zh-CN"/>
              </w:rPr>
              <w:t>主要布置食用油罐、灌装间、内包装间</w:t>
            </w:r>
            <w:r>
              <w:rPr>
                <w:rFonts w:hint="eastAsia"/>
                <w:color w:val="auto"/>
                <w:sz w:val="24"/>
                <w:u w:val="none"/>
              </w:rPr>
              <w:t>；2楼中部为豆豉生产线，主要布置蒸料</w:t>
            </w:r>
            <w:r>
              <w:rPr>
                <w:rFonts w:hint="eastAsia"/>
                <w:color w:val="auto"/>
                <w:sz w:val="24"/>
                <w:u w:val="none"/>
                <w:lang w:val="en-US" w:eastAsia="zh-CN"/>
              </w:rPr>
              <w:t>间</w:t>
            </w:r>
            <w:r>
              <w:rPr>
                <w:rFonts w:hint="eastAsia"/>
                <w:color w:val="auto"/>
                <w:sz w:val="24"/>
                <w:u w:val="none"/>
              </w:rPr>
              <w:t>、前期发酵</w:t>
            </w:r>
            <w:r>
              <w:rPr>
                <w:rFonts w:hint="eastAsia"/>
                <w:color w:val="auto"/>
                <w:sz w:val="24"/>
                <w:u w:val="none"/>
                <w:lang w:val="en-US" w:eastAsia="zh-CN"/>
              </w:rPr>
              <w:t>间</w:t>
            </w:r>
            <w:r>
              <w:rPr>
                <w:rFonts w:hint="eastAsia"/>
                <w:color w:val="auto"/>
                <w:sz w:val="24"/>
                <w:u w:val="none"/>
              </w:rPr>
              <w:t>、发酵</w:t>
            </w:r>
            <w:r>
              <w:rPr>
                <w:rFonts w:hint="eastAsia"/>
                <w:color w:val="auto"/>
                <w:sz w:val="24"/>
                <w:u w:val="none"/>
                <w:lang w:val="en-US" w:eastAsia="zh-CN"/>
              </w:rPr>
              <w:t>间、腌制发酵间</w:t>
            </w:r>
            <w:r>
              <w:rPr>
                <w:rFonts w:hint="eastAsia"/>
                <w:color w:val="auto"/>
                <w:sz w:val="24"/>
                <w:u w:val="none"/>
              </w:rPr>
              <w:t>、冷库、临时库房、整理调制区、内包装库、内包装间、外包装间；2楼南侧为腐乳生产线，主要布置制坯间、前期发酵间、清洗</w:t>
            </w:r>
            <w:r>
              <w:rPr>
                <w:rFonts w:hint="eastAsia"/>
                <w:color w:val="auto"/>
                <w:sz w:val="24"/>
                <w:u w:val="none"/>
                <w:lang w:val="en-US" w:eastAsia="zh-CN"/>
              </w:rPr>
              <w:t>间</w:t>
            </w:r>
            <w:r>
              <w:rPr>
                <w:rFonts w:hint="eastAsia"/>
                <w:color w:val="auto"/>
                <w:sz w:val="24"/>
                <w:u w:val="none"/>
              </w:rPr>
              <w:t>、腌制</w:t>
            </w:r>
            <w:r>
              <w:rPr>
                <w:rFonts w:hint="eastAsia"/>
                <w:color w:val="auto"/>
                <w:sz w:val="24"/>
                <w:u w:val="none"/>
                <w:lang w:val="en-US" w:eastAsia="zh-CN"/>
              </w:rPr>
              <w:t>间</w:t>
            </w:r>
            <w:r>
              <w:rPr>
                <w:rFonts w:hint="eastAsia"/>
                <w:color w:val="auto"/>
                <w:sz w:val="24"/>
                <w:u w:val="none"/>
              </w:rPr>
              <w:t>、装瓶间、发酵仓库、整理间、外包装间；3楼为包装材料仓库。</w:t>
            </w:r>
          </w:p>
          <w:p>
            <w:pPr>
              <w:spacing w:line="360" w:lineRule="auto"/>
              <w:ind w:firstLine="470" w:firstLineChars="196"/>
              <w:rPr>
                <w:bCs/>
                <w:color w:val="auto"/>
                <w:sz w:val="24"/>
                <w:u w:val="none"/>
              </w:rPr>
            </w:pPr>
            <w:r>
              <w:rPr>
                <w:rFonts w:hint="eastAsia"/>
                <w:color w:val="auto"/>
                <w:sz w:val="24"/>
                <w:u w:val="none"/>
              </w:rPr>
              <w:t>污水处理站在原驿通电子污水站原址建设，位于4#车间北面，尽量远离东面及西面环境敏感目标，污水站臭气收集至除臭系统处理后经排气筒排放，减轻对周边敏感目标的影响。一般固废间及危废间利用原驿通电子固废间及危废间改造建设，位于厂区北侧。锅炉房设置于厂区北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97" w:hRule="atLeast"/>
          <w:jc w:val="center"/>
        </w:trPr>
        <w:tc>
          <w:tcPr>
            <w:tcW w:w="261" w:type="pct"/>
            <w:vAlign w:val="center"/>
          </w:tcPr>
          <w:p>
            <w:pPr>
              <w:pStyle w:val="23"/>
              <w:adjustRightInd w:val="0"/>
              <w:snapToGrid w:val="0"/>
              <w:spacing w:before="0" w:beforeAutospacing="0" w:after="0" w:afterAutospacing="0"/>
              <w:jc w:val="center"/>
              <w:rPr>
                <w:rFonts w:ascii="Times New Roman" w:hAnsi="Times New Roman"/>
                <w:color w:val="auto"/>
                <w:szCs w:val="24"/>
                <w:u w:val="none"/>
                <w:lang w:val="en-US" w:eastAsia="zh-CN"/>
              </w:rPr>
            </w:pPr>
            <w:r>
              <w:rPr>
                <w:rFonts w:ascii="Times New Roman" w:hAnsi="Times New Roman"/>
                <w:color w:val="auto"/>
                <w:szCs w:val="24"/>
                <w:u w:val="none"/>
                <w:lang w:val="en-US" w:eastAsia="zh-CN"/>
              </w:rPr>
              <w:t>工艺流程和产排污环节</w:t>
            </w:r>
          </w:p>
        </w:tc>
        <w:tc>
          <w:tcPr>
            <w:tcW w:w="4738" w:type="pct"/>
          </w:tcPr>
          <w:p>
            <w:pPr>
              <w:snapToGrid w:val="0"/>
              <w:spacing w:line="360" w:lineRule="auto"/>
              <w:rPr>
                <w:b/>
                <w:bCs/>
                <w:color w:val="auto"/>
                <w:sz w:val="24"/>
                <w:u w:val="none"/>
              </w:rPr>
            </w:pPr>
            <w:r>
              <w:rPr>
                <w:rFonts w:hint="eastAsia"/>
                <w:b/>
                <w:bCs/>
                <w:color w:val="auto"/>
                <w:sz w:val="24"/>
                <w:u w:val="none"/>
              </w:rPr>
              <w:t xml:space="preserve">2.10 </w:t>
            </w:r>
            <w:r>
              <w:rPr>
                <w:b/>
                <w:bCs/>
                <w:color w:val="auto"/>
                <w:sz w:val="24"/>
                <w:u w:val="none"/>
              </w:rPr>
              <w:t>施工期工艺流程和产排污环节</w:t>
            </w:r>
          </w:p>
          <w:p>
            <w:pPr>
              <w:spacing w:line="360" w:lineRule="auto"/>
              <w:ind w:firstLine="480" w:firstLineChars="200"/>
              <w:rPr>
                <w:color w:val="auto"/>
                <w:sz w:val="24"/>
                <w:u w:val="none"/>
              </w:rPr>
            </w:pPr>
            <w:r>
              <w:rPr>
                <w:rFonts w:hint="eastAsia"/>
                <w:color w:val="auto"/>
                <w:sz w:val="24"/>
                <w:u w:val="none"/>
              </w:rPr>
              <w:t>本项目利用现有生产车间、办公楼、宿舍楼等建筑进行改造，施工主要为房屋改造及装修、厂区地面硬化、车间防渗、污水处理站建设和设备安装。施工期产生的污染主要为施工粉尘、施工噪声、建筑垃圾，以及施工人员生活垃圾和生活污水等。</w:t>
            </w:r>
          </w:p>
          <w:p>
            <w:pPr>
              <w:spacing w:line="360" w:lineRule="auto"/>
              <w:ind w:firstLine="480" w:firstLineChars="200"/>
              <w:rPr>
                <w:color w:val="auto"/>
                <w:sz w:val="24"/>
                <w:u w:val="none"/>
              </w:rPr>
            </w:pPr>
            <w:r>
              <w:rPr>
                <w:rFonts w:hint="eastAsia"/>
                <w:color w:val="auto"/>
                <w:sz w:val="24"/>
                <w:u w:val="none"/>
              </w:rPr>
              <w:t>本项目施工期工艺流程和产污情况见下图。</w:t>
            </w:r>
          </w:p>
          <w:p>
            <w:pPr>
              <w:spacing w:line="360" w:lineRule="auto"/>
              <w:rPr>
                <w:color w:val="auto"/>
                <w:sz w:val="24"/>
                <w:u w:val="none"/>
              </w:rPr>
            </w:pPr>
            <w:r>
              <w:rPr>
                <w:rFonts w:hint="eastAsia"/>
                <w:color w:val="auto"/>
                <w:u w:val="none"/>
              </w:rPr>
              <w:object>
                <v:shape id="_x0000_i1027" o:spt="75" type="#_x0000_t75" style="height:79pt;width:418.5pt;" o:ole="t" filled="f" o:preferrelative="t" stroked="f" coordsize="21600,21600">
                  <v:path/>
                  <v:fill on="f" focussize="0,0"/>
                  <v:stroke on="f"/>
                  <v:imagedata r:id="rId12" o:title=""/>
                  <o:lock v:ext="edit" aspectratio="t"/>
                  <w10:wrap type="none"/>
                  <w10:anchorlock/>
                </v:shape>
                <o:OLEObject Type="Embed" ProgID="Visio.Drawing.15" ShapeID="_x0000_i1027" DrawAspect="Content" ObjectID="_1468075727" r:id="rId11">
                  <o:LockedField>false</o:LockedField>
                </o:OLEObject>
              </w:object>
            </w:r>
          </w:p>
          <w:p>
            <w:pPr>
              <w:pStyle w:val="58"/>
              <w:jc w:val="center"/>
              <w:rPr>
                <w:rFonts w:ascii="Times New Roman" w:hAnsi="Times New Roman" w:eastAsia="宋体" w:cs="Times New Roman"/>
                <w:b/>
                <w:color w:val="auto"/>
                <w:u w:val="none"/>
              </w:rPr>
            </w:pPr>
            <w:r>
              <w:rPr>
                <w:rFonts w:hint="eastAsia" w:ascii="Times New Roman" w:hAnsi="Times New Roman" w:eastAsia="宋体" w:cs="Times New Roman"/>
                <w:b/>
                <w:color w:val="auto"/>
                <w:u w:val="none"/>
              </w:rPr>
              <w:t>图2.10</w:t>
            </w:r>
            <w:r>
              <w:rPr>
                <w:rFonts w:ascii="Times New Roman" w:hAnsi="Times New Roman" w:eastAsia="宋体" w:cs="Times New Roman"/>
                <w:b/>
                <w:color w:val="auto"/>
                <w:u w:val="none"/>
              </w:rPr>
              <w:t xml:space="preserve">-1 </w:t>
            </w:r>
            <w:r>
              <w:rPr>
                <w:rFonts w:hint="eastAsia" w:ascii="Times New Roman" w:hAnsi="Times New Roman" w:eastAsia="宋体" w:cs="Times New Roman"/>
                <w:b/>
                <w:color w:val="auto"/>
                <w:u w:val="none"/>
              </w:rPr>
              <w:t>施工期工艺流程及产污环节图</w:t>
            </w:r>
          </w:p>
          <w:p>
            <w:pPr>
              <w:snapToGrid w:val="0"/>
              <w:spacing w:line="360" w:lineRule="auto"/>
              <w:rPr>
                <w:b/>
                <w:bCs/>
                <w:color w:val="auto"/>
                <w:sz w:val="24"/>
                <w:u w:val="none"/>
              </w:rPr>
            </w:pPr>
            <w:r>
              <w:rPr>
                <w:rFonts w:hint="eastAsia"/>
                <w:b/>
                <w:bCs/>
                <w:color w:val="auto"/>
                <w:sz w:val="24"/>
                <w:u w:val="none"/>
              </w:rPr>
              <w:t xml:space="preserve">2.11 </w:t>
            </w:r>
            <w:r>
              <w:rPr>
                <w:b/>
                <w:bCs/>
                <w:color w:val="auto"/>
                <w:sz w:val="24"/>
                <w:u w:val="none"/>
              </w:rPr>
              <w:t>营运期工艺流程和产排污环节</w:t>
            </w:r>
          </w:p>
          <w:p>
            <w:pPr>
              <w:spacing w:line="360" w:lineRule="auto"/>
              <w:ind w:firstLine="482" w:firstLineChars="200"/>
              <w:rPr>
                <w:b/>
                <w:bCs/>
                <w:color w:val="auto"/>
                <w:sz w:val="24"/>
                <w:u w:val="none"/>
              </w:rPr>
            </w:pPr>
            <w:r>
              <w:rPr>
                <w:rFonts w:hint="eastAsia"/>
                <w:b/>
                <w:bCs/>
                <w:color w:val="auto"/>
                <w:sz w:val="24"/>
                <w:u w:val="none"/>
              </w:rPr>
              <w:t>2.11.1 麻辣豆豉工艺流程</w:t>
            </w:r>
          </w:p>
          <w:p>
            <w:pPr>
              <w:spacing w:line="360" w:lineRule="auto"/>
              <w:jc w:val="center"/>
              <w:rPr>
                <w:color w:val="auto"/>
                <w:sz w:val="24"/>
                <w:u w:val="none"/>
              </w:rPr>
            </w:pPr>
            <w:r>
              <w:rPr>
                <w:rFonts w:hint="eastAsia"/>
                <w:color w:val="auto"/>
                <w:u w:val="none"/>
              </w:rPr>
              <w:object>
                <v:shape id="_x0000_i1028" o:spt="75" type="#_x0000_t75" style="height:442.95pt;width:339.3pt;" o:ole="t" filled="f" o:preferrelative="t" stroked="f" coordsize="21600,21600">
                  <v:path/>
                  <v:fill on="f" focussize="0,0"/>
                  <v:stroke on="f"/>
                  <v:imagedata r:id="rId14" o:title=""/>
                  <o:lock v:ext="edit" aspectratio="t"/>
                  <w10:wrap type="none"/>
                  <w10:anchorlock/>
                </v:shape>
                <o:OLEObject Type="Embed" ProgID="Visio.Drawing.15" ShapeID="_x0000_i1028" DrawAspect="Content" ObjectID="_1468075728" r:id="rId13">
                  <o:LockedField>false</o:LockedField>
                </o:OLEObject>
              </w:object>
            </w:r>
          </w:p>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图</w:t>
            </w:r>
            <w:r>
              <w:rPr>
                <w:rFonts w:hint="eastAsia" w:ascii="Times New Roman" w:hAnsi="Times New Roman" w:eastAsia="宋体" w:cs="Times New Roman"/>
                <w:b/>
                <w:color w:val="auto"/>
                <w:u w:val="none"/>
              </w:rPr>
              <w:t>2.11-1</w:t>
            </w:r>
            <w:r>
              <w:rPr>
                <w:rFonts w:ascii="Times New Roman" w:hAnsi="Times New Roman" w:eastAsia="宋体" w:cs="Times New Roman"/>
                <w:b/>
                <w:color w:val="auto"/>
                <w:u w:val="none"/>
              </w:rPr>
              <w:t xml:space="preserve"> </w:t>
            </w:r>
            <w:r>
              <w:rPr>
                <w:rFonts w:hint="eastAsia" w:ascii="Times New Roman" w:hAnsi="Times New Roman" w:eastAsia="宋体" w:cs="Times New Roman"/>
                <w:b/>
                <w:color w:val="auto"/>
                <w:u w:val="none"/>
              </w:rPr>
              <w:t>麻辣豆豉</w:t>
            </w:r>
            <w:r>
              <w:rPr>
                <w:rFonts w:ascii="Times New Roman" w:hAnsi="Times New Roman" w:eastAsia="宋体" w:cs="Times New Roman"/>
                <w:b/>
                <w:color w:val="auto"/>
                <w:u w:val="none"/>
              </w:rPr>
              <w:t>生产工艺流程及产污环节图</w:t>
            </w:r>
          </w:p>
          <w:p>
            <w:pPr>
              <w:spacing w:line="360" w:lineRule="auto"/>
              <w:ind w:firstLine="480" w:firstLineChars="200"/>
              <w:rPr>
                <w:color w:val="auto"/>
                <w:sz w:val="24"/>
                <w:u w:val="none"/>
              </w:rPr>
            </w:pPr>
            <w:r>
              <w:rPr>
                <w:color w:val="auto"/>
                <w:sz w:val="24"/>
                <w:u w:val="none"/>
              </w:rPr>
              <w:t>工艺流程简述：</w:t>
            </w:r>
          </w:p>
          <w:p>
            <w:pPr>
              <w:spacing w:line="360" w:lineRule="auto"/>
              <w:ind w:firstLine="480" w:firstLineChars="200"/>
              <w:rPr>
                <w:color w:val="auto"/>
                <w:sz w:val="24"/>
                <w:u w:val="none"/>
              </w:rPr>
            </w:pPr>
            <w:r>
              <w:rPr>
                <w:rFonts w:hint="eastAsia"/>
                <w:color w:val="auto"/>
                <w:sz w:val="24"/>
                <w:u w:val="none"/>
              </w:rPr>
              <w:t>（1）精选：采用色选机</w:t>
            </w:r>
            <w:r>
              <w:rPr>
                <w:color w:val="auto"/>
                <w:sz w:val="24"/>
                <w:u w:val="none"/>
              </w:rPr>
              <w:t>筛选去除少量</w:t>
            </w:r>
            <w:r>
              <w:rPr>
                <w:rFonts w:hint="eastAsia"/>
                <w:color w:val="auto"/>
                <w:sz w:val="24"/>
                <w:u w:val="none"/>
              </w:rPr>
              <w:t>劣质豆。</w:t>
            </w:r>
          </w:p>
          <w:p>
            <w:pPr>
              <w:spacing w:line="360" w:lineRule="auto"/>
              <w:ind w:firstLine="480" w:firstLineChars="200"/>
              <w:rPr>
                <w:color w:val="auto"/>
                <w:sz w:val="24"/>
                <w:u w:val="none"/>
              </w:rPr>
            </w:pPr>
            <w:r>
              <w:rPr>
                <w:rFonts w:hint="eastAsia"/>
                <w:color w:val="auto"/>
                <w:sz w:val="24"/>
                <w:u w:val="none"/>
              </w:rPr>
              <w:t>（2）清洗浸泡：将黄豆在清洗池中清洗2次，清洗后转移至浸泡罐中浸泡15小时</w:t>
            </w:r>
            <w:r>
              <w:rPr>
                <w:color w:val="auto"/>
                <w:sz w:val="24"/>
                <w:u w:val="none"/>
              </w:rPr>
              <w:t>，使豆胚细胞内的蛋白质充分吸水膨胀</w:t>
            </w:r>
            <w:r>
              <w:rPr>
                <w:rFonts w:hint="eastAsia"/>
                <w:color w:val="auto"/>
                <w:sz w:val="24"/>
                <w:u w:val="none"/>
              </w:rPr>
              <w:t>，</w:t>
            </w:r>
            <w:r>
              <w:rPr>
                <w:color w:val="auto"/>
                <w:sz w:val="24"/>
                <w:u w:val="none"/>
              </w:rPr>
              <w:t>含水量45%-50%</w:t>
            </w:r>
            <w:r>
              <w:rPr>
                <w:rFonts w:hint="eastAsia"/>
                <w:color w:val="auto"/>
                <w:sz w:val="24"/>
                <w:u w:val="none"/>
              </w:rPr>
              <w:t>。此工序产生清洗浸泡废水。</w:t>
            </w:r>
          </w:p>
          <w:p>
            <w:pPr>
              <w:spacing w:line="360" w:lineRule="auto"/>
              <w:ind w:firstLine="480" w:firstLineChars="200"/>
              <w:rPr>
                <w:color w:val="auto"/>
                <w:sz w:val="24"/>
                <w:u w:val="none"/>
              </w:rPr>
            </w:pPr>
            <w:r>
              <w:rPr>
                <w:rFonts w:hint="eastAsia"/>
                <w:color w:val="auto"/>
                <w:sz w:val="24"/>
                <w:u w:val="none"/>
              </w:rPr>
              <w:t>（3）蒸煮：将浸泡后的黄豆</w:t>
            </w:r>
            <w:r>
              <w:rPr>
                <w:color w:val="auto"/>
                <w:sz w:val="24"/>
                <w:u w:val="none"/>
              </w:rPr>
              <w:t>放入</w:t>
            </w:r>
            <w:r>
              <w:rPr>
                <w:rFonts w:hint="eastAsia"/>
                <w:color w:val="auto"/>
                <w:sz w:val="24"/>
                <w:u w:val="none"/>
              </w:rPr>
              <w:t>蒸汽罐</w:t>
            </w:r>
            <w:r>
              <w:rPr>
                <w:color w:val="auto"/>
                <w:sz w:val="24"/>
                <w:u w:val="none"/>
              </w:rPr>
              <w:t>内进行蒸煮，</w:t>
            </w:r>
            <w:r>
              <w:rPr>
                <w:rFonts w:hint="eastAsia"/>
                <w:color w:val="auto"/>
                <w:sz w:val="24"/>
                <w:u w:val="none"/>
              </w:rPr>
              <w:t>蒸煮时间为1小时，此环节由蒸汽发生器提供蒸汽通入蒸汽罐内加热将黄豆蒸熟。蒸煮过程产生蒸煮废水。蒸汽发生器采用天然气为燃料，产生废气、排污水及噪声。</w:t>
            </w:r>
          </w:p>
          <w:p>
            <w:pPr>
              <w:spacing w:line="360" w:lineRule="auto"/>
              <w:ind w:firstLine="480" w:firstLineChars="200"/>
              <w:rPr>
                <w:color w:val="auto"/>
                <w:sz w:val="24"/>
                <w:u w:val="none"/>
              </w:rPr>
            </w:pPr>
            <w:r>
              <w:rPr>
                <w:rFonts w:hint="eastAsia"/>
                <w:color w:val="auto"/>
                <w:sz w:val="24"/>
                <w:u w:val="none"/>
              </w:rPr>
              <w:t>（4）前期发酵：将煮熟的黄豆使用</w:t>
            </w:r>
            <w:r>
              <w:rPr>
                <w:color w:val="auto"/>
                <w:sz w:val="24"/>
                <w:u w:val="none"/>
              </w:rPr>
              <w:t>发酵笼</w:t>
            </w:r>
            <w:r>
              <w:rPr>
                <w:rFonts w:hint="eastAsia"/>
                <w:color w:val="auto"/>
                <w:sz w:val="24"/>
                <w:u w:val="none"/>
              </w:rPr>
              <w:t>进行盛装和自然冷却，自然冷却时间为2小时；外购毛霉菌种撒到黄豆表面进行初步发酵，发酵时间约为2天。发酵过程产生异味气体。</w:t>
            </w:r>
          </w:p>
          <w:p>
            <w:pPr>
              <w:spacing w:line="360" w:lineRule="auto"/>
              <w:ind w:firstLine="480" w:firstLineChars="200"/>
              <w:rPr>
                <w:color w:val="auto"/>
                <w:sz w:val="24"/>
                <w:u w:val="none"/>
              </w:rPr>
            </w:pPr>
            <w:r>
              <w:rPr>
                <w:rFonts w:hint="eastAsia"/>
                <w:color w:val="auto"/>
                <w:sz w:val="24"/>
                <w:u w:val="none"/>
              </w:rPr>
              <w:t>（5）腌制：将初步发酵后的黄豆转移至搅拌器，</w:t>
            </w:r>
            <w:r>
              <w:rPr>
                <w:color w:val="auto"/>
                <w:sz w:val="24"/>
                <w:u w:val="none"/>
              </w:rPr>
              <w:t>人工投入适量食盐搅拌</w:t>
            </w:r>
            <w:r>
              <w:rPr>
                <w:rFonts w:hint="eastAsia"/>
                <w:color w:val="auto"/>
                <w:sz w:val="24"/>
                <w:u w:val="none"/>
              </w:rPr>
              <w:t>，搅拌过程产生少量粉尘、异味及噪声</w:t>
            </w:r>
            <w:r>
              <w:rPr>
                <w:color w:val="auto"/>
                <w:sz w:val="24"/>
                <w:u w:val="none"/>
              </w:rPr>
              <w:t>；</w:t>
            </w:r>
          </w:p>
          <w:p>
            <w:pPr>
              <w:spacing w:line="360" w:lineRule="auto"/>
              <w:ind w:firstLine="480" w:firstLineChars="200"/>
              <w:rPr>
                <w:color w:val="auto"/>
                <w:sz w:val="24"/>
                <w:u w:val="none"/>
              </w:rPr>
            </w:pPr>
            <w:r>
              <w:rPr>
                <w:rFonts w:hint="eastAsia"/>
                <w:color w:val="auto"/>
                <w:sz w:val="24"/>
                <w:u w:val="none"/>
              </w:rPr>
              <w:t>（6）后期发酵：腌制后的黄豆采用</w:t>
            </w:r>
            <w:r>
              <w:rPr>
                <w:color w:val="auto"/>
                <w:sz w:val="24"/>
                <w:u w:val="none"/>
              </w:rPr>
              <w:t>后通过</w:t>
            </w:r>
            <w:r>
              <w:rPr>
                <w:rFonts w:hint="eastAsia"/>
                <w:color w:val="auto"/>
                <w:sz w:val="24"/>
                <w:u w:val="none"/>
              </w:rPr>
              <w:t>发酵罐、发酵缸</w:t>
            </w:r>
            <w:r>
              <w:rPr>
                <w:color w:val="auto"/>
                <w:sz w:val="24"/>
                <w:u w:val="none"/>
              </w:rPr>
              <w:t>密封发酵15天</w:t>
            </w:r>
            <w:r>
              <w:rPr>
                <w:rFonts w:hint="eastAsia"/>
                <w:color w:val="auto"/>
                <w:sz w:val="24"/>
                <w:u w:val="none"/>
              </w:rPr>
              <w:t>。发酵过程产生异味气体。</w:t>
            </w:r>
          </w:p>
          <w:p>
            <w:pPr>
              <w:spacing w:line="360" w:lineRule="auto"/>
              <w:ind w:firstLine="480" w:firstLineChars="200"/>
              <w:rPr>
                <w:color w:val="auto"/>
                <w:sz w:val="24"/>
                <w:u w:val="none"/>
              </w:rPr>
            </w:pPr>
            <w:r>
              <w:rPr>
                <w:rFonts w:hint="eastAsia"/>
                <w:color w:val="auto"/>
                <w:sz w:val="24"/>
                <w:u w:val="none"/>
              </w:rPr>
              <w:t>（7）出罐整理：</w:t>
            </w:r>
            <w:r>
              <w:rPr>
                <w:color w:val="auto"/>
                <w:sz w:val="24"/>
                <w:u w:val="none"/>
              </w:rPr>
              <w:t>发酵成熟后，出缸晾晒</w:t>
            </w:r>
            <w:r>
              <w:rPr>
                <w:rFonts w:hint="eastAsia"/>
                <w:color w:val="auto"/>
                <w:sz w:val="24"/>
                <w:u w:val="none"/>
              </w:rPr>
              <w:t>，或采用烘干机</w:t>
            </w:r>
            <w:r>
              <w:rPr>
                <w:color w:val="auto"/>
                <w:sz w:val="24"/>
                <w:u w:val="none"/>
              </w:rPr>
              <w:t>低温烘干</w:t>
            </w:r>
            <w:r>
              <w:rPr>
                <w:rFonts w:hint="eastAsia"/>
                <w:color w:val="auto"/>
                <w:sz w:val="24"/>
                <w:u w:val="none"/>
              </w:rPr>
              <w:t>（</w:t>
            </w:r>
            <w:r>
              <w:rPr>
                <w:color w:val="auto"/>
                <w:sz w:val="24"/>
                <w:u w:val="none"/>
              </w:rPr>
              <w:t>≤60℃</w:t>
            </w:r>
            <w:r>
              <w:rPr>
                <w:rFonts w:hint="eastAsia"/>
                <w:color w:val="auto"/>
                <w:sz w:val="24"/>
                <w:u w:val="none"/>
              </w:rPr>
              <w:t>）</w:t>
            </w:r>
            <w:r>
              <w:rPr>
                <w:b w:val="0"/>
                <w:bCs w:val="0"/>
                <w:color w:val="auto"/>
                <w:sz w:val="24"/>
                <w:u w:val="none"/>
              </w:rPr>
              <w:t>至含水量</w:t>
            </w:r>
            <w:r>
              <w:rPr>
                <w:rFonts w:hint="eastAsia"/>
                <w:b w:val="0"/>
                <w:bCs w:val="0"/>
                <w:color w:val="auto"/>
                <w:sz w:val="24"/>
                <w:u w:val="none"/>
              </w:rPr>
              <w:t>30~35</w:t>
            </w:r>
            <w:r>
              <w:rPr>
                <w:b w:val="0"/>
                <w:bCs w:val="0"/>
                <w:color w:val="auto"/>
                <w:sz w:val="24"/>
                <w:u w:val="none"/>
              </w:rPr>
              <w:t>%</w:t>
            </w:r>
            <w:r>
              <w:rPr>
                <w:rFonts w:hint="eastAsia"/>
                <w:b w:val="0"/>
                <w:bCs w:val="0"/>
                <w:color w:val="auto"/>
                <w:sz w:val="24"/>
                <w:u w:val="none"/>
              </w:rPr>
              <w:t>。</w:t>
            </w:r>
            <w:r>
              <w:rPr>
                <w:rFonts w:hint="eastAsia"/>
                <w:color w:val="auto"/>
                <w:sz w:val="24"/>
                <w:u w:val="none"/>
              </w:rPr>
              <w:t>该过程产生异味气体。</w:t>
            </w:r>
          </w:p>
          <w:p>
            <w:pPr>
              <w:spacing w:line="360" w:lineRule="auto"/>
              <w:ind w:firstLine="480" w:firstLineChars="200"/>
              <w:rPr>
                <w:color w:val="auto"/>
                <w:sz w:val="24"/>
                <w:u w:val="none"/>
              </w:rPr>
            </w:pPr>
            <w:r>
              <w:rPr>
                <w:rFonts w:hint="eastAsia"/>
                <w:color w:val="auto"/>
                <w:sz w:val="24"/>
                <w:u w:val="none"/>
              </w:rPr>
              <w:t>（8）拌料调制：将晒干或烘干的豆豉采用拌料机，加入辣椒、食用油、调味料等辅料搅拌。该过程产生少量粉尘、异味及噪声。</w:t>
            </w:r>
          </w:p>
          <w:p>
            <w:pPr>
              <w:spacing w:line="360" w:lineRule="auto"/>
              <w:ind w:firstLine="480" w:firstLineChars="200"/>
              <w:rPr>
                <w:color w:val="auto"/>
                <w:sz w:val="24"/>
                <w:u w:val="none"/>
              </w:rPr>
            </w:pPr>
            <w:r>
              <w:rPr>
                <w:rFonts w:hint="eastAsia"/>
                <w:color w:val="auto"/>
                <w:sz w:val="24"/>
                <w:u w:val="none"/>
              </w:rPr>
              <w:t>（9）无菌包装：拌料后的豆豉采用真空封口机进行真空包装，包装袋采用紫外灭菌。该工序产生噪声、废包装、废紫外灯管。</w:t>
            </w:r>
          </w:p>
          <w:p>
            <w:pPr>
              <w:spacing w:line="360" w:lineRule="auto"/>
              <w:ind w:firstLine="480" w:firstLineChars="200"/>
              <w:rPr>
                <w:color w:val="auto"/>
                <w:sz w:val="24"/>
                <w:u w:val="none"/>
              </w:rPr>
            </w:pPr>
            <w:r>
              <w:rPr>
                <w:rFonts w:hint="eastAsia"/>
                <w:color w:val="auto"/>
                <w:sz w:val="24"/>
                <w:u w:val="none"/>
              </w:rPr>
              <w:t>（10）贴标、打码：采用贴标机及打码机进行贴标、打码，打码采用水性油墨，产生极少量有机废气及设备噪声。</w:t>
            </w:r>
          </w:p>
          <w:p>
            <w:pPr>
              <w:spacing w:line="360" w:lineRule="auto"/>
              <w:ind w:firstLine="480" w:firstLineChars="200"/>
              <w:rPr>
                <w:color w:val="auto"/>
                <w:sz w:val="24"/>
                <w:u w:val="none"/>
              </w:rPr>
            </w:pPr>
            <w:r>
              <w:rPr>
                <w:rFonts w:hint="eastAsia"/>
                <w:color w:val="auto"/>
                <w:sz w:val="24"/>
                <w:u w:val="none"/>
              </w:rPr>
              <w:t>（11）抽检化验：成品抽样进行质检化验，该过程会产生一定的不合格产品以及少量的检验废水、检验废气、检验废料。</w:t>
            </w:r>
          </w:p>
          <w:p>
            <w:pPr>
              <w:spacing w:line="360" w:lineRule="auto"/>
              <w:ind w:firstLine="480" w:firstLineChars="200"/>
              <w:rPr>
                <w:color w:val="auto"/>
                <w:sz w:val="24"/>
                <w:u w:val="none"/>
              </w:rPr>
            </w:pPr>
            <w:r>
              <w:rPr>
                <w:rFonts w:hint="eastAsia"/>
                <w:color w:val="auto"/>
                <w:sz w:val="24"/>
                <w:u w:val="none"/>
              </w:rPr>
              <w:t>（12）包装成件：成品经检验合格后包装入库。该过程产生废包装及噪声。</w:t>
            </w:r>
          </w:p>
          <w:p>
            <w:pPr>
              <w:spacing w:line="360" w:lineRule="auto"/>
              <w:ind w:firstLine="482" w:firstLineChars="200"/>
              <w:rPr>
                <w:rFonts w:hint="eastAsia"/>
                <w:b/>
                <w:bCs/>
                <w:color w:val="auto"/>
                <w:sz w:val="24"/>
                <w:u w:val="none"/>
              </w:rPr>
            </w:pPr>
          </w:p>
          <w:p>
            <w:pPr>
              <w:spacing w:line="360" w:lineRule="auto"/>
              <w:ind w:firstLine="482" w:firstLineChars="200"/>
              <w:rPr>
                <w:rFonts w:hint="eastAsia"/>
                <w:b/>
                <w:bCs/>
                <w:color w:val="auto"/>
                <w:sz w:val="24"/>
                <w:u w:val="none"/>
              </w:rPr>
            </w:pPr>
          </w:p>
          <w:p>
            <w:pPr>
              <w:spacing w:line="360" w:lineRule="auto"/>
              <w:ind w:firstLine="482" w:firstLineChars="200"/>
              <w:rPr>
                <w:rFonts w:hint="eastAsia"/>
                <w:b/>
                <w:bCs/>
                <w:color w:val="auto"/>
                <w:sz w:val="24"/>
                <w:u w:val="none"/>
              </w:rPr>
            </w:pPr>
          </w:p>
          <w:p>
            <w:pPr>
              <w:spacing w:line="360" w:lineRule="auto"/>
              <w:ind w:firstLine="482" w:firstLineChars="200"/>
              <w:rPr>
                <w:b/>
                <w:bCs/>
                <w:color w:val="auto"/>
                <w:sz w:val="24"/>
                <w:u w:val="none"/>
              </w:rPr>
            </w:pPr>
            <w:r>
              <w:rPr>
                <w:rFonts w:hint="eastAsia"/>
                <w:b/>
                <w:bCs/>
                <w:color w:val="auto"/>
                <w:sz w:val="24"/>
                <w:u w:val="none"/>
              </w:rPr>
              <w:t>2.11.2 腐乳工艺流程：</w:t>
            </w:r>
          </w:p>
          <w:p>
            <w:pPr>
              <w:spacing w:line="360" w:lineRule="auto"/>
              <w:jc w:val="center"/>
              <w:rPr>
                <w:color w:val="auto"/>
                <w:sz w:val="24"/>
                <w:u w:val="none"/>
              </w:rPr>
            </w:pPr>
            <w:r>
              <w:rPr>
                <w:color w:val="auto"/>
                <w:sz w:val="24"/>
                <w:u w:val="none"/>
              </w:rPr>
              <w:object>
                <v:shape id="_x0000_i1029" o:spt="75" type="#_x0000_t75" style="height:553.8pt;width:348.45pt;" o:ole="t" filled="f" o:preferrelative="t" stroked="f" coordsize="21600,21600">
                  <v:path/>
                  <v:fill on="f" focussize="0,0"/>
                  <v:stroke on="f"/>
                  <v:imagedata r:id="rId16" o:title=""/>
                  <o:lock v:ext="edit" aspectratio="f"/>
                  <w10:wrap type="none"/>
                  <w10:anchorlock/>
                </v:shape>
                <o:OLEObject Type="Embed" ProgID="Visio.Drawing.15" ShapeID="_x0000_i1029" DrawAspect="Content" ObjectID="_1468075729" r:id="rId15">
                  <o:LockedField>false</o:LockedField>
                </o:OLEObject>
              </w:object>
            </w:r>
          </w:p>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图</w:t>
            </w:r>
            <w:r>
              <w:rPr>
                <w:rFonts w:hint="eastAsia" w:ascii="Times New Roman" w:hAnsi="Times New Roman" w:eastAsia="宋体" w:cs="Times New Roman"/>
                <w:b/>
                <w:color w:val="auto"/>
                <w:u w:val="none"/>
              </w:rPr>
              <w:t>2.11-2</w:t>
            </w:r>
            <w:r>
              <w:rPr>
                <w:rFonts w:ascii="Times New Roman" w:hAnsi="Times New Roman" w:eastAsia="宋体" w:cs="Times New Roman"/>
                <w:b/>
                <w:color w:val="auto"/>
                <w:u w:val="none"/>
              </w:rPr>
              <w:t xml:space="preserve"> </w:t>
            </w:r>
            <w:r>
              <w:rPr>
                <w:rFonts w:hint="eastAsia" w:ascii="Times New Roman" w:hAnsi="Times New Roman" w:eastAsia="宋体" w:cs="Times New Roman"/>
                <w:b/>
                <w:color w:val="auto"/>
                <w:u w:val="none"/>
              </w:rPr>
              <w:t>腐乳</w:t>
            </w:r>
            <w:r>
              <w:rPr>
                <w:rFonts w:ascii="Times New Roman" w:hAnsi="Times New Roman" w:eastAsia="宋体" w:cs="Times New Roman"/>
                <w:b/>
                <w:color w:val="auto"/>
                <w:u w:val="none"/>
              </w:rPr>
              <w:t>生产工艺流程及产污环节图</w:t>
            </w:r>
          </w:p>
          <w:p>
            <w:pPr>
              <w:spacing w:line="360" w:lineRule="auto"/>
              <w:ind w:firstLine="480" w:firstLineChars="200"/>
              <w:rPr>
                <w:color w:val="auto"/>
                <w:sz w:val="24"/>
                <w:u w:val="none"/>
              </w:rPr>
            </w:pPr>
            <w:r>
              <w:rPr>
                <w:color w:val="auto"/>
                <w:sz w:val="24"/>
                <w:u w:val="none"/>
              </w:rPr>
              <w:t>工艺流程简述：</w:t>
            </w:r>
          </w:p>
          <w:p>
            <w:pPr>
              <w:spacing w:line="360" w:lineRule="auto"/>
              <w:ind w:firstLine="480" w:firstLineChars="200"/>
              <w:rPr>
                <w:color w:val="auto"/>
                <w:sz w:val="24"/>
                <w:u w:val="none"/>
              </w:rPr>
            </w:pPr>
            <w:r>
              <w:rPr>
                <w:rFonts w:hint="eastAsia"/>
                <w:color w:val="auto"/>
                <w:sz w:val="24"/>
                <w:u w:val="none"/>
              </w:rPr>
              <w:t>（1）精选：采用色选机</w:t>
            </w:r>
            <w:r>
              <w:rPr>
                <w:color w:val="auto"/>
                <w:sz w:val="24"/>
                <w:u w:val="none"/>
              </w:rPr>
              <w:t>筛选去除少量</w:t>
            </w:r>
            <w:r>
              <w:rPr>
                <w:rFonts w:hint="eastAsia"/>
                <w:color w:val="auto"/>
                <w:sz w:val="24"/>
                <w:u w:val="none"/>
              </w:rPr>
              <w:t>劣质豆。</w:t>
            </w:r>
          </w:p>
          <w:p>
            <w:pPr>
              <w:spacing w:line="360" w:lineRule="auto"/>
              <w:ind w:firstLine="480" w:firstLineChars="200"/>
              <w:rPr>
                <w:color w:val="auto"/>
                <w:sz w:val="24"/>
                <w:u w:val="none"/>
              </w:rPr>
            </w:pPr>
            <w:r>
              <w:rPr>
                <w:rFonts w:hint="eastAsia"/>
                <w:color w:val="auto"/>
                <w:sz w:val="24"/>
                <w:u w:val="none"/>
              </w:rPr>
              <w:t>（2）清洗浸泡：将黄豆在清洗池中清洗2次，清洗后转移至浸泡罐中浸泡15小时</w:t>
            </w:r>
            <w:r>
              <w:rPr>
                <w:color w:val="auto"/>
                <w:sz w:val="24"/>
                <w:u w:val="none"/>
              </w:rPr>
              <w:t>，使豆胚细胞内的蛋白质充分吸水膨胀</w:t>
            </w:r>
            <w:r>
              <w:rPr>
                <w:rFonts w:hint="eastAsia"/>
                <w:color w:val="auto"/>
                <w:sz w:val="24"/>
                <w:u w:val="none"/>
              </w:rPr>
              <w:t>，</w:t>
            </w:r>
            <w:r>
              <w:rPr>
                <w:color w:val="auto"/>
                <w:sz w:val="24"/>
                <w:u w:val="none"/>
              </w:rPr>
              <w:t>含水量45%-50%</w:t>
            </w:r>
            <w:r>
              <w:rPr>
                <w:rFonts w:hint="eastAsia"/>
                <w:color w:val="auto"/>
                <w:sz w:val="24"/>
                <w:u w:val="none"/>
              </w:rPr>
              <w:t>。此工序产生清洗浸泡废水。</w:t>
            </w:r>
          </w:p>
          <w:p>
            <w:pPr>
              <w:spacing w:line="360" w:lineRule="auto"/>
              <w:ind w:firstLine="480" w:firstLineChars="200"/>
              <w:rPr>
                <w:color w:val="auto"/>
                <w:sz w:val="24"/>
                <w:u w:val="none"/>
              </w:rPr>
            </w:pPr>
            <w:r>
              <w:rPr>
                <w:rFonts w:hint="eastAsia"/>
                <w:color w:val="auto"/>
                <w:sz w:val="24"/>
                <w:u w:val="none"/>
              </w:rPr>
              <w:t>（3）磨浆：浸泡后的大豆进入磨浆机进行磨浆，再采用离心机将豆渣与豆浆分离，豆浆进入煮浆工序，豆渣定期外售。此工序产生豆渣及噪声。</w:t>
            </w:r>
          </w:p>
          <w:p>
            <w:pPr>
              <w:spacing w:line="360" w:lineRule="auto"/>
              <w:ind w:firstLine="480" w:firstLineChars="200"/>
              <w:rPr>
                <w:color w:val="auto"/>
                <w:sz w:val="24"/>
                <w:u w:val="none"/>
              </w:rPr>
            </w:pPr>
            <w:r>
              <w:rPr>
                <w:rFonts w:hint="eastAsia"/>
                <w:color w:val="auto"/>
                <w:sz w:val="24"/>
                <w:u w:val="none"/>
              </w:rPr>
              <w:t>（4）煮浆：将生豆浆放置于煮浆桶中，通过蒸汽发生器提供的蒸汽加热至90~110℃，煮至豆浆表面泡沫破裂，停止加热，便得熟豆浆。</w:t>
            </w:r>
          </w:p>
          <w:p>
            <w:pPr>
              <w:spacing w:line="360" w:lineRule="auto"/>
              <w:ind w:firstLine="480" w:firstLineChars="200"/>
              <w:rPr>
                <w:color w:val="auto"/>
                <w:sz w:val="24"/>
                <w:u w:val="none"/>
              </w:rPr>
            </w:pPr>
            <w:r>
              <w:rPr>
                <w:rFonts w:hint="eastAsia"/>
                <w:color w:val="auto"/>
                <w:sz w:val="24"/>
                <w:u w:val="none"/>
              </w:rPr>
              <w:t>（5）点浆：</w:t>
            </w:r>
            <w:r>
              <w:rPr>
                <w:color w:val="auto"/>
                <w:sz w:val="24"/>
                <w:u w:val="none"/>
              </w:rPr>
              <w:t>先将</w:t>
            </w:r>
            <w:r>
              <w:rPr>
                <w:rFonts w:hint="eastAsia"/>
                <w:color w:val="auto"/>
                <w:sz w:val="24"/>
                <w:u w:val="none"/>
              </w:rPr>
              <w:t>石膏</w:t>
            </w:r>
            <w:r>
              <w:rPr>
                <w:color w:val="auto"/>
                <w:sz w:val="24"/>
                <w:u w:val="none"/>
              </w:rPr>
              <w:t>用温开水溶解成一定浓度的溶液，将煮熟的豆浆冷却至80-85℃左右，然后一边慢慢加入</w:t>
            </w:r>
            <w:r>
              <w:rPr>
                <w:rFonts w:hint="eastAsia"/>
                <w:color w:val="auto"/>
                <w:sz w:val="24"/>
                <w:u w:val="none"/>
              </w:rPr>
              <w:t>石膏</w:t>
            </w:r>
            <w:r>
              <w:rPr>
                <w:color w:val="auto"/>
                <w:sz w:val="24"/>
                <w:u w:val="none"/>
              </w:rPr>
              <w:t>，一边搅拌豆浆，使</w:t>
            </w:r>
            <w:r>
              <w:rPr>
                <w:rFonts w:hint="eastAsia"/>
                <w:color w:val="auto"/>
                <w:sz w:val="24"/>
                <w:u w:val="none"/>
              </w:rPr>
              <w:t>石膏</w:t>
            </w:r>
            <w:r>
              <w:rPr>
                <w:color w:val="auto"/>
                <w:sz w:val="24"/>
                <w:u w:val="none"/>
              </w:rPr>
              <w:t>均匀地溶入豆浆中，使分散的蛋白质团粒很快地聚集，凝固形成豆腐脑。</w:t>
            </w:r>
          </w:p>
          <w:p>
            <w:pPr>
              <w:spacing w:line="360" w:lineRule="auto"/>
              <w:ind w:firstLine="480" w:firstLineChars="200"/>
              <w:rPr>
                <w:color w:val="auto"/>
                <w:sz w:val="24"/>
                <w:u w:val="none"/>
              </w:rPr>
            </w:pPr>
            <w:r>
              <w:rPr>
                <w:rFonts w:hint="eastAsia"/>
                <w:color w:val="auto"/>
                <w:sz w:val="24"/>
                <w:u w:val="none"/>
              </w:rPr>
              <w:t>（6）压榨成型：</w:t>
            </w:r>
            <w:r>
              <w:rPr>
                <w:color w:val="auto"/>
                <w:sz w:val="24"/>
                <w:u w:val="none"/>
              </w:rPr>
              <w:t>将豆腐脑放入压榨机中成型，使豆腐脑脱去一部分水分，形成固定且有弹性的</w:t>
            </w:r>
            <w:r>
              <w:rPr>
                <w:rFonts w:hint="eastAsia"/>
                <w:color w:val="auto"/>
                <w:sz w:val="24"/>
                <w:u w:val="none"/>
              </w:rPr>
              <w:t>豆腐坯（含水率约为70%）</w:t>
            </w:r>
            <w:r>
              <w:rPr>
                <w:color w:val="auto"/>
                <w:sz w:val="24"/>
                <w:u w:val="none"/>
              </w:rPr>
              <w:t>，此过程产生废水、噪声。</w:t>
            </w:r>
          </w:p>
          <w:p>
            <w:pPr>
              <w:spacing w:line="360" w:lineRule="auto"/>
              <w:ind w:firstLine="480" w:firstLineChars="200"/>
              <w:rPr>
                <w:color w:val="auto"/>
                <w:sz w:val="24"/>
                <w:u w:val="none"/>
              </w:rPr>
            </w:pPr>
            <w:r>
              <w:rPr>
                <w:rFonts w:hint="eastAsia"/>
                <w:color w:val="auto"/>
                <w:sz w:val="24"/>
                <w:u w:val="none"/>
              </w:rPr>
              <w:t>（7）切块：</w:t>
            </w:r>
            <w:r>
              <w:rPr>
                <w:color w:val="auto"/>
                <w:sz w:val="24"/>
                <w:u w:val="none"/>
              </w:rPr>
              <w:t>将压榨好的豆腐胚凉至室温，并按照产品要求尺寸进行切块。</w:t>
            </w:r>
            <w:r>
              <w:rPr>
                <w:rFonts w:hint="eastAsia"/>
                <w:color w:val="auto"/>
                <w:sz w:val="24"/>
                <w:u w:val="none"/>
              </w:rPr>
              <w:t>此工序产生豆腐边角料。</w:t>
            </w:r>
          </w:p>
          <w:p>
            <w:pPr>
              <w:spacing w:line="360" w:lineRule="auto"/>
              <w:ind w:firstLine="480" w:firstLineChars="200"/>
              <w:rPr>
                <w:color w:val="auto"/>
                <w:sz w:val="24"/>
                <w:u w:val="none"/>
              </w:rPr>
            </w:pPr>
            <w:r>
              <w:rPr>
                <w:rFonts w:hint="eastAsia"/>
                <w:color w:val="auto"/>
                <w:sz w:val="24"/>
                <w:u w:val="none"/>
              </w:rPr>
              <w:t>（8）摆坯接种：将豆腐块摆放至</w:t>
            </w:r>
            <w:r>
              <w:rPr>
                <w:color w:val="auto"/>
                <w:sz w:val="24"/>
                <w:u w:val="none"/>
              </w:rPr>
              <w:t>发酵笼</w:t>
            </w:r>
            <w:r>
              <w:rPr>
                <w:rFonts w:hint="eastAsia"/>
                <w:color w:val="auto"/>
                <w:sz w:val="24"/>
                <w:u w:val="none"/>
              </w:rPr>
              <w:t>中，通过购买成品毛霉菌菌种，按比例稀释后，制成菌液喷洒在豆腐块上。</w:t>
            </w:r>
          </w:p>
          <w:p>
            <w:pPr>
              <w:spacing w:line="360" w:lineRule="auto"/>
              <w:ind w:firstLine="480" w:firstLineChars="200"/>
              <w:rPr>
                <w:color w:val="auto"/>
                <w:sz w:val="24"/>
                <w:u w:val="none"/>
              </w:rPr>
            </w:pPr>
            <w:r>
              <w:rPr>
                <w:rFonts w:hint="eastAsia"/>
                <w:color w:val="auto"/>
                <w:sz w:val="24"/>
                <w:u w:val="none"/>
              </w:rPr>
              <w:t>（9）前期发酵：将接种的豆腐块放入发酵室，温度控制在15℃~18℃，并保持一定的湿度，约48h，霉菌开始生长，3天后菌丝生长旺盛，5天后布满菌丝。发酵过程产生少量异味。</w:t>
            </w:r>
          </w:p>
          <w:p>
            <w:pPr>
              <w:spacing w:line="360" w:lineRule="auto"/>
              <w:ind w:firstLine="480" w:firstLineChars="200"/>
              <w:rPr>
                <w:color w:val="auto"/>
                <w:sz w:val="24"/>
                <w:u w:val="none"/>
              </w:rPr>
            </w:pPr>
            <w:r>
              <w:rPr>
                <w:rFonts w:hint="eastAsia"/>
                <w:color w:val="auto"/>
                <w:sz w:val="24"/>
                <w:u w:val="none"/>
              </w:rPr>
              <w:t>（10）拌料腌制：将长满毛菌的豆腐块加食用盐、辣椒</w:t>
            </w:r>
            <w:r>
              <w:rPr>
                <w:rFonts w:hint="eastAsia"/>
                <w:color w:val="auto"/>
                <w:sz w:val="24"/>
                <w:u w:val="none"/>
                <w:lang w:eastAsia="zh-CN"/>
              </w:rPr>
              <w:t>、</w:t>
            </w:r>
            <w:r>
              <w:rPr>
                <w:rFonts w:hint="eastAsia"/>
                <w:color w:val="auto"/>
                <w:sz w:val="24"/>
                <w:u w:val="none"/>
                <w:lang w:val="en-US" w:eastAsia="zh-CN"/>
              </w:rPr>
              <w:t>白酒</w:t>
            </w:r>
            <w:r>
              <w:rPr>
                <w:rFonts w:hint="eastAsia"/>
                <w:color w:val="auto"/>
                <w:sz w:val="24"/>
                <w:u w:val="none"/>
              </w:rPr>
              <w:t>腌制，腌制时间约为8天左右。加盐可以析出豆腐中的水分，同时，抑制微生物的生长，避免豆腐腐败变质。将腌制好的豆腐块</w:t>
            </w:r>
            <w:r>
              <w:rPr>
                <w:rFonts w:hint="eastAsia"/>
                <w:color w:val="auto"/>
                <w:sz w:val="24"/>
                <w:u w:val="none"/>
                <w:lang w:val="en-US" w:eastAsia="zh-CN"/>
              </w:rPr>
              <w:t>与白砂糖、调味料、</w:t>
            </w:r>
            <w:r>
              <w:rPr>
                <w:rFonts w:hint="eastAsia"/>
                <w:color w:val="auto"/>
                <w:sz w:val="24"/>
                <w:u w:val="none"/>
              </w:rPr>
              <w:t>食用油搅拌均匀。该过程产生少量异味、粉尘。</w:t>
            </w:r>
          </w:p>
          <w:p>
            <w:pPr>
              <w:spacing w:line="360" w:lineRule="auto"/>
              <w:ind w:firstLine="480" w:firstLineChars="200"/>
              <w:rPr>
                <w:color w:val="auto"/>
                <w:sz w:val="24"/>
                <w:u w:val="none"/>
              </w:rPr>
            </w:pPr>
            <w:r>
              <w:rPr>
                <w:rFonts w:hint="eastAsia"/>
                <w:color w:val="auto"/>
                <w:sz w:val="24"/>
                <w:u w:val="none"/>
              </w:rPr>
              <w:t>（11）装瓶：塑料瓶采用臭氧灭菌，玻璃瓶采用蒸汽灭菌，</w:t>
            </w:r>
            <w:r>
              <w:rPr>
                <w:color w:val="auto"/>
                <w:sz w:val="24"/>
                <w:u w:val="none"/>
              </w:rPr>
              <w:t>将和料均匀的豆腐块装入</w:t>
            </w:r>
            <w:r>
              <w:rPr>
                <w:rFonts w:hint="eastAsia"/>
                <w:color w:val="auto"/>
                <w:sz w:val="24"/>
                <w:u w:val="none"/>
              </w:rPr>
              <w:t>灭菌后的空</w:t>
            </w:r>
            <w:r>
              <w:rPr>
                <w:color w:val="auto"/>
                <w:sz w:val="24"/>
                <w:u w:val="none"/>
              </w:rPr>
              <w:t>瓶内，使腐乳具有独特香味。</w:t>
            </w:r>
            <w:r>
              <w:rPr>
                <w:rFonts w:hint="eastAsia"/>
                <w:color w:val="auto"/>
                <w:sz w:val="24"/>
                <w:u w:val="none"/>
              </w:rPr>
              <w:t>该过程产生噪声。</w:t>
            </w:r>
          </w:p>
          <w:p>
            <w:pPr>
              <w:spacing w:line="360" w:lineRule="auto"/>
              <w:ind w:firstLine="480" w:firstLineChars="200"/>
              <w:rPr>
                <w:color w:val="auto"/>
                <w:sz w:val="24"/>
                <w:u w:val="none"/>
              </w:rPr>
            </w:pPr>
            <w:r>
              <w:rPr>
                <w:rFonts w:hint="eastAsia"/>
                <w:color w:val="auto"/>
                <w:sz w:val="24"/>
                <w:u w:val="none"/>
              </w:rPr>
              <w:t>（12）后期发酵：</w:t>
            </w:r>
            <w:r>
              <w:rPr>
                <w:color w:val="auto"/>
                <w:sz w:val="24"/>
                <w:u w:val="none"/>
              </w:rPr>
              <w:t>豆腐乳进行封瓶后放入</w:t>
            </w:r>
            <w:r>
              <w:rPr>
                <w:rFonts w:hint="eastAsia"/>
                <w:color w:val="auto"/>
                <w:sz w:val="24"/>
                <w:u w:val="none"/>
                <w:lang w:val="en-US" w:eastAsia="zh-CN"/>
              </w:rPr>
              <w:t>发酵</w:t>
            </w:r>
            <w:r>
              <w:rPr>
                <w:color w:val="auto"/>
                <w:sz w:val="24"/>
                <w:u w:val="none"/>
              </w:rPr>
              <w:t>仓库进行后期发酵，发酵约3个月。</w:t>
            </w:r>
          </w:p>
          <w:p>
            <w:pPr>
              <w:spacing w:line="360" w:lineRule="auto"/>
              <w:ind w:firstLine="480" w:firstLineChars="200"/>
              <w:rPr>
                <w:color w:val="auto"/>
                <w:sz w:val="24"/>
                <w:u w:val="none"/>
              </w:rPr>
            </w:pPr>
            <w:r>
              <w:rPr>
                <w:rFonts w:hint="eastAsia"/>
                <w:color w:val="auto"/>
                <w:sz w:val="24"/>
                <w:u w:val="none"/>
              </w:rPr>
              <w:t>（13）贴标、打码：采用贴标机及打码机进行贴标、打码，打码采用水性油墨，产生极少量有机废气及设备噪声。</w:t>
            </w:r>
          </w:p>
          <w:p>
            <w:pPr>
              <w:spacing w:line="360" w:lineRule="auto"/>
              <w:ind w:firstLine="480" w:firstLineChars="200"/>
              <w:rPr>
                <w:color w:val="auto"/>
                <w:sz w:val="24"/>
                <w:u w:val="none"/>
              </w:rPr>
            </w:pPr>
            <w:r>
              <w:rPr>
                <w:rFonts w:hint="eastAsia"/>
                <w:color w:val="auto"/>
                <w:sz w:val="24"/>
                <w:u w:val="none"/>
              </w:rPr>
              <w:t>（14）抽检化验：成品抽样进行质检化验，该过程会产生一定的不合格产品以及少量的检验废水、检验废气、检验废料。</w:t>
            </w:r>
          </w:p>
          <w:p>
            <w:pPr>
              <w:spacing w:line="360" w:lineRule="auto"/>
              <w:ind w:firstLine="480" w:firstLineChars="200"/>
              <w:rPr>
                <w:color w:val="auto"/>
                <w:sz w:val="24"/>
                <w:u w:val="none"/>
              </w:rPr>
            </w:pPr>
            <w:r>
              <w:rPr>
                <w:rFonts w:hint="eastAsia"/>
                <w:color w:val="auto"/>
                <w:sz w:val="24"/>
                <w:u w:val="none"/>
              </w:rPr>
              <w:t>（15）包装成件：成品经检验合格后包装入库。该过程产生废包装及噪声。</w:t>
            </w:r>
          </w:p>
          <w:p>
            <w:pPr>
              <w:spacing w:line="360" w:lineRule="auto"/>
              <w:ind w:firstLine="482" w:firstLineChars="200"/>
              <w:rPr>
                <w:b/>
                <w:bCs/>
                <w:color w:val="auto"/>
                <w:sz w:val="24"/>
                <w:u w:val="none"/>
              </w:rPr>
            </w:pPr>
            <w:r>
              <w:rPr>
                <w:rFonts w:hint="eastAsia"/>
                <w:b/>
                <w:bCs/>
                <w:color w:val="auto"/>
                <w:sz w:val="24"/>
                <w:u w:val="none"/>
              </w:rPr>
              <w:t>2.11.3 油辣椒、下饭菜工艺流程</w:t>
            </w:r>
          </w:p>
          <w:p>
            <w:pPr>
              <w:spacing w:line="360" w:lineRule="auto"/>
              <w:jc w:val="center"/>
              <w:rPr>
                <w:color w:val="auto"/>
                <w:sz w:val="24"/>
                <w:u w:val="none"/>
              </w:rPr>
            </w:pPr>
            <w:r>
              <w:rPr>
                <w:rFonts w:hint="eastAsia"/>
                <w:color w:val="auto"/>
                <w:u w:val="none"/>
              </w:rPr>
              <w:object>
                <v:shape id="_x0000_i1030" o:spt="75" type="#_x0000_t75" style="height:423.85pt;width:353.7pt;" o:ole="t" filled="f" o:preferrelative="t" stroked="f" coordsize="21600,21600">
                  <v:path/>
                  <v:fill on="f" focussize="0,0"/>
                  <v:stroke on="f"/>
                  <v:imagedata r:id="rId18" o:title=""/>
                  <o:lock v:ext="edit" aspectratio="t"/>
                  <w10:wrap type="none"/>
                  <w10:anchorlock/>
                </v:shape>
                <o:OLEObject Type="Embed" ProgID="Visio.Drawing.15" ShapeID="_x0000_i1030" DrawAspect="Content" ObjectID="_1468075730" r:id="rId17">
                  <o:LockedField>false</o:LockedField>
                </o:OLEObject>
              </w:object>
            </w:r>
          </w:p>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图</w:t>
            </w:r>
            <w:r>
              <w:rPr>
                <w:rFonts w:hint="eastAsia" w:ascii="Times New Roman" w:hAnsi="Times New Roman" w:eastAsia="宋体" w:cs="Times New Roman"/>
                <w:b/>
                <w:color w:val="auto"/>
                <w:u w:val="none"/>
              </w:rPr>
              <w:t>2.11-3</w:t>
            </w:r>
            <w:r>
              <w:rPr>
                <w:rFonts w:ascii="Times New Roman" w:hAnsi="Times New Roman" w:eastAsia="宋体" w:cs="Times New Roman"/>
                <w:b/>
                <w:color w:val="auto"/>
                <w:u w:val="none"/>
              </w:rPr>
              <w:t xml:space="preserve"> </w:t>
            </w:r>
            <w:r>
              <w:rPr>
                <w:rFonts w:hint="eastAsia" w:ascii="Times New Roman" w:hAnsi="Times New Roman" w:eastAsia="宋体" w:cs="Times New Roman"/>
                <w:b/>
                <w:color w:val="auto"/>
                <w:u w:val="none"/>
              </w:rPr>
              <w:t>油辣椒、下饭菜</w:t>
            </w:r>
            <w:r>
              <w:rPr>
                <w:rFonts w:ascii="Times New Roman" w:hAnsi="Times New Roman" w:eastAsia="宋体" w:cs="Times New Roman"/>
                <w:b/>
                <w:color w:val="auto"/>
                <w:u w:val="none"/>
              </w:rPr>
              <w:t>生产工艺流程及产污环节图</w:t>
            </w:r>
          </w:p>
          <w:p>
            <w:pPr>
              <w:spacing w:line="360" w:lineRule="auto"/>
              <w:ind w:firstLine="480" w:firstLineChars="200"/>
              <w:rPr>
                <w:color w:val="auto"/>
                <w:sz w:val="24"/>
                <w:u w:val="none"/>
              </w:rPr>
            </w:pPr>
            <w:r>
              <w:rPr>
                <w:color w:val="auto"/>
                <w:sz w:val="24"/>
                <w:u w:val="none"/>
              </w:rPr>
              <w:t>工艺流程简述：</w:t>
            </w:r>
          </w:p>
          <w:p>
            <w:pPr>
              <w:spacing w:line="360" w:lineRule="auto"/>
              <w:ind w:firstLine="480" w:firstLineChars="200"/>
              <w:rPr>
                <w:color w:val="auto"/>
                <w:sz w:val="24"/>
                <w:u w:val="none"/>
              </w:rPr>
            </w:pPr>
            <w:r>
              <w:rPr>
                <w:rFonts w:hint="eastAsia"/>
                <w:color w:val="auto"/>
                <w:sz w:val="24"/>
                <w:u w:val="none"/>
              </w:rPr>
              <w:t>（1）挑选、清洗：油辣椒及下饭菜生产工艺流程基本一致，仅原料种类有所区别，本项目采用</w:t>
            </w:r>
            <w:r>
              <w:rPr>
                <w:color w:val="auto"/>
                <w:sz w:val="24"/>
                <w:u w:val="none"/>
              </w:rPr>
              <w:t>半成品腌制辣椒</w:t>
            </w:r>
            <w:r>
              <w:rPr>
                <w:rFonts w:hint="eastAsia"/>
                <w:color w:val="auto"/>
                <w:sz w:val="24"/>
                <w:u w:val="none"/>
              </w:rPr>
              <w:t>及腌制菜，腌制过程中需使用食用盐，购买的半成品其盐分含量较高，影响食用，需要对半成品腌制辣椒、腌制菜进行挑选、清洗</w:t>
            </w:r>
            <w:r>
              <w:rPr>
                <w:rFonts w:hint="eastAsia"/>
                <w:color w:val="auto"/>
                <w:sz w:val="24"/>
                <w:u w:val="none"/>
                <w:lang w:val="en-US" w:eastAsia="zh-CN"/>
              </w:rPr>
              <w:t>后脱水</w:t>
            </w:r>
            <w:r>
              <w:rPr>
                <w:rFonts w:hint="eastAsia"/>
                <w:color w:val="auto"/>
                <w:sz w:val="24"/>
                <w:u w:val="none"/>
              </w:rPr>
              <w:t>，其他原辅材料也均需要进行挑选、清洗</w:t>
            </w:r>
            <w:r>
              <w:rPr>
                <w:rFonts w:hint="eastAsia"/>
                <w:color w:val="auto"/>
                <w:sz w:val="24"/>
                <w:u w:val="none"/>
                <w:lang w:val="en-US" w:eastAsia="zh-CN"/>
              </w:rPr>
              <w:t>后脱水</w:t>
            </w:r>
            <w:r>
              <w:rPr>
                <w:rFonts w:hint="eastAsia"/>
                <w:color w:val="auto"/>
                <w:sz w:val="24"/>
                <w:u w:val="none"/>
              </w:rPr>
              <w:t>。该工序产生清洗废水、</w:t>
            </w:r>
            <w:r>
              <w:rPr>
                <w:rFonts w:hint="eastAsia"/>
                <w:color w:val="auto"/>
                <w:sz w:val="24"/>
                <w:u w:val="none"/>
                <w:lang w:val="en-US" w:eastAsia="zh-CN"/>
              </w:rPr>
              <w:t>残次</w:t>
            </w:r>
            <w:r>
              <w:rPr>
                <w:rFonts w:hint="eastAsia"/>
                <w:color w:val="auto"/>
                <w:sz w:val="24"/>
                <w:u w:val="none"/>
              </w:rPr>
              <w:t>品及噪声。</w:t>
            </w:r>
          </w:p>
          <w:p>
            <w:pPr>
              <w:spacing w:line="360" w:lineRule="auto"/>
              <w:ind w:firstLine="480" w:firstLineChars="200"/>
              <w:rPr>
                <w:color w:val="auto"/>
                <w:sz w:val="24"/>
                <w:u w:val="none"/>
              </w:rPr>
            </w:pPr>
            <w:r>
              <w:rPr>
                <w:rFonts w:hint="eastAsia"/>
                <w:color w:val="auto"/>
                <w:sz w:val="24"/>
                <w:u w:val="none"/>
              </w:rPr>
              <w:t>（2）蒸煮：原料腌制辣椒、腌制菜未进行系统性消毒，因此需进行蒸煮消毒，由蒸汽发生器提供的蒸汽加热。蒸煮后产生废水。</w:t>
            </w:r>
          </w:p>
          <w:p>
            <w:pPr>
              <w:spacing w:line="360" w:lineRule="auto"/>
              <w:ind w:firstLine="480" w:firstLineChars="200"/>
              <w:rPr>
                <w:color w:val="auto"/>
                <w:sz w:val="24"/>
                <w:u w:val="none"/>
              </w:rPr>
            </w:pPr>
            <w:r>
              <w:rPr>
                <w:rFonts w:hint="eastAsia"/>
                <w:color w:val="auto"/>
                <w:sz w:val="24"/>
                <w:u w:val="none"/>
              </w:rPr>
              <w:t>（3）切剁：采用切菜机、切丝机、绞肉机、菜馅机等设备将原料分切、切碎。该工序产生噪声。</w:t>
            </w:r>
          </w:p>
          <w:p>
            <w:pPr>
              <w:spacing w:line="360" w:lineRule="auto"/>
              <w:ind w:firstLine="480" w:firstLineChars="200"/>
              <w:rPr>
                <w:color w:val="auto"/>
                <w:sz w:val="24"/>
                <w:u w:val="none"/>
              </w:rPr>
            </w:pPr>
            <w:r>
              <w:rPr>
                <w:rFonts w:hint="eastAsia"/>
                <w:color w:val="auto"/>
                <w:sz w:val="24"/>
                <w:u w:val="none"/>
              </w:rPr>
              <w:t>（4）炒制调味：将切碎的原料放至炒锅中，并加入食盐、食用油、调味料等配料炒制。该过程会产生辛辣气味，以及配料特有的香料气味，油烟废气及噪声。</w:t>
            </w:r>
          </w:p>
          <w:p>
            <w:pPr>
              <w:spacing w:line="360" w:lineRule="auto"/>
              <w:ind w:firstLine="480" w:firstLineChars="200"/>
              <w:rPr>
                <w:color w:val="auto"/>
                <w:sz w:val="24"/>
                <w:u w:val="none"/>
              </w:rPr>
            </w:pPr>
            <w:r>
              <w:rPr>
                <w:rFonts w:hint="eastAsia"/>
                <w:color w:val="auto"/>
                <w:sz w:val="24"/>
                <w:u w:val="none"/>
              </w:rPr>
              <w:t>（5）无菌冷却：炒制后的原料在洁净区内自然冷却。该过程会产生辛辣、香料气味。</w:t>
            </w:r>
          </w:p>
          <w:p>
            <w:pPr>
              <w:spacing w:line="360" w:lineRule="auto"/>
              <w:ind w:firstLine="480" w:firstLineChars="200"/>
              <w:rPr>
                <w:color w:val="auto"/>
                <w:sz w:val="24"/>
                <w:u w:val="none"/>
              </w:rPr>
            </w:pPr>
            <w:r>
              <w:rPr>
                <w:rFonts w:hint="eastAsia"/>
                <w:color w:val="auto"/>
                <w:sz w:val="24"/>
                <w:u w:val="none"/>
              </w:rPr>
              <w:t>（6）无菌</w:t>
            </w:r>
            <w:r>
              <w:rPr>
                <w:rFonts w:hint="eastAsia"/>
                <w:color w:val="auto"/>
                <w:sz w:val="24"/>
                <w:u w:val="none"/>
                <w:lang w:eastAsia="zh-CN"/>
              </w:rPr>
              <w:t>灌装</w:t>
            </w:r>
            <w:r>
              <w:rPr>
                <w:rFonts w:hint="eastAsia"/>
                <w:color w:val="auto"/>
                <w:sz w:val="24"/>
                <w:u w:val="none"/>
              </w:rPr>
              <w:t>：塑料瓶采用臭氧灭菌，玻璃瓶采用蒸汽灭菌，冷却后的原料</w:t>
            </w:r>
            <w:r>
              <w:rPr>
                <w:color w:val="auto"/>
                <w:sz w:val="24"/>
                <w:u w:val="none"/>
              </w:rPr>
              <w:t>装入</w:t>
            </w:r>
            <w:r>
              <w:rPr>
                <w:rFonts w:hint="eastAsia"/>
                <w:color w:val="auto"/>
                <w:sz w:val="24"/>
                <w:u w:val="none"/>
              </w:rPr>
              <w:t>灭菌后的空</w:t>
            </w:r>
            <w:r>
              <w:rPr>
                <w:color w:val="auto"/>
                <w:sz w:val="24"/>
                <w:u w:val="none"/>
              </w:rPr>
              <w:t>瓶内。</w:t>
            </w:r>
            <w:r>
              <w:rPr>
                <w:rFonts w:hint="eastAsia"/>
                <w:color w:val="auto"/>
                <w:sz w:val="24"/>
                <w:u w:val="none"/>
              </w:rPr>
              <w:t>该过程产生噪声。</w:t>
            </w:r>
          </w:p>
          <w:p>
            <w:pPr>
              <w:spacing w:line="360" w:lineRule="auto"/>
              <w:ind w:firstLine="480" w:firstLineChars="200"/>
              <w:rPr>
                <w:color w:val="auto"/>
                <w:sz w:val="24"/>
                <w:u w:val="none"/>
              </w:rPr>
            </w:pPr>
            <w:r>
              <w:rPr>
                <w:rFonts w:hint="eastAsia"/>
                <w:color w:val="auto"/>
                <w:sz w:val="24"/>
                <w:u w:val="none"/>
              </w:rPr>
              <w:t>（7）贴标、打码：采用贴标机及打码机进行贴标、打码，打码采用水性油墨，产生极少量有机废气及设备噪声。</w:t>
            </w:r>
          </w:p>
          <w:p>
            <w:pPr>
              <w:spacing w:line="360" w:lineRule="auto"/>
              <w:ind w:firstLine="480" w:firstLineChars="200"/>
              <w:rPr>
                <w:color w:val="auto"/>
                <w:sz w:val="24"/>
                <w:u w:val="none"/>
              </w:rPr>
            </w:pPr>
            <w:r>
              <w:rPr>
                <w:rFonts w:hint="eastAsia"/>
                <w:color w:val="auto"/>
                <w:sz w:val="24"/>
                <w:u w:val="none"/>
              </w:rPr>
              <w:t>（8）抽检化验：成品抽样进行质检化验，该过程会产生一定的不合格产品以及少量的检验废水、检验废气、检验废料。</w:t>
            </w:r>
          </w:p>
          <w:p>
            <w:pPr>
              <w:spacing w:line="360" w:lineRule="auto"/>
              <w:ind w:firstLine="480" w:firstLineChars="200"/>
              <w:rPr>
                <w:rFonts w:hint="eastAsia"/>
                <w:color w:val="auto"/>
                <w:sz w:val="24"/>
                <w:u w:val="none"/>
              </w:rPr>
            </w:pPr>
            <w:r>
              <w:rPr>
                <w:rFonts w:hint="eastAsia"/>
                <w:color w:val="auto"/>
                <w:sz w:val="24"/>
                <w:u w:val="none"/>
              </w:rPr>
              <w:t>（9）包装成件：成品经检验合格后包装入库。该过程产生废包装及噪声。</w:t>
            </w:r>
          </w:p>
          <w:p>
            <w:pPr>
              <w:spacing w:line="360" w:lineRule="auto"/>
              <w:ind w:firstLine="480" w:firstLineChars="200"/>
              <w:rPr>
                <w:rFonts w:hint="eastAsia"/>
                <w:color w:val="auto"/>
                <w:sz w:val="24"/>
                <w:u w:val="none"/>
              </w:rPr>
            </w:pPr>
          </w:p>
          <w:p>
            <w:pPr>
              <w:spacing w:line="360" w:lineRule="auto"/>
              <w:ind w:firstLine="480" w:firstLineChars="200"/>
              <w:rPr>
                <w:rFonts w:hint="eastAsia"/>
                <w:color w:val="auto"/>
                <w:sz w:val="24"/>
                <w:u w:val="none"/>
              </w:rPr>
            </w:pPr>
          </w:p>
          <w:p>
            <w:pPr>
              <w:spacing w:line="360" w:lineRule="auto"/>
              <w:ind w:firstLine="480" w:firstLineChars="200"/>
              <w:rPr>
                <w:rFonts w:hint="eastAsia"/>
                <w:color w:val="auto"/>
                <w:sz w:val="24"/>
                <w:u w:val="none"/>
              </w:rPr>
            </w:pPr>
          </w:p>
          <w:p>
            <w:pPr>
              <w:spacing w:line="360" w:lineRule="auto"/>
              <w:ind w:firstLine="480" w:firstLineChars="200"/>
              <w:rPr>
                <w:rFonts w:hint="eastAsia"/>
                <w:color w:val="auto"/>
                <w:sz w:val="24"/>
                <w:u w:val="none"/>
              </w:rPr>
            </w:pPr>
          </w:p>
          <w:p>
            <w:pPr>
              <w:spacing w:line="360" w:lineRule="auto"/>
              <w:ind w:firstLine="480" w:firstLineChars="200"/>
              <w:rPr>
                <w:rFonts w:hint="eastAsia"/>
                <w:color w:val="auto"/>
                <w:sz w:val="24"/>
                <w:u w:val="none"/>
              </w:rPr>
            </w:pPr>
          </w:p>
          <w:p>
            <w:pPr>
              <w:spacing w:line="360" w:lineRule="auto"/>
              <w:ind w:firstLine="480" w:firstLineChars="200"/>
              <w:rPr>
                <w:rFonts w:hint="eastAsia"/>
                <w:color w:val="auto"/>
                <w:sz w:val="24"/>
                <w:u w:val="none"/>
              </w:rPr>
            </w:pPr>
          </w:p>
          <w:p>
            <w:pPr>
              <w:spacing w:line="360" w:lineRule="auto"/>
              <w:ind w:firstLine="480" w:firstLineChars="200"/>
              <w:rPr>
                <w:rFonts w:hint="eastAsia"/>
                <w:color w:val="auto"/>
                <w:sz w:val="24"/>
                <w:u w:val="none"/>
              </w:rPr>
            </w:pPr>
          </w:p>
          <w:p>
            <w:pPr>
              <w:spacing w:line="360" w:lineRule="auto"/>
              <w:ind w:firstLine="480" w:firstLineChars="200"/>
              <w:rPr>
                <w:rFonts w:hint="eastAsia"/>
                <w:color w:val="auto"/>
                <w:sz w:val="24"/>
                <w:u w:val="none"/>
              </w:rPr>
            </w:pPr>
          </w:p>
          <w:p>
            <w:pPr>
              <w:spacing w:line="360" w:lineRule="auto"/>
              <w:ind w:firstLine="482" w:firstLineChars="200"/>
              <w:rPr>
                <w:b/>
                <w:bCs/>
                <w:color w:val="auto"/>
                <w:sz w:val="24"/>
                <w:u w:val="none"/>
              </w:rPr>
            </w:pPr>
            <w:r>
              <w:rPr>
                <w:rFonts w:hint="eastAsia"/>
                <w:b/>
                <w:bCs/>
                <w:color w:val="auto"/>
                <w:sz w:val="24"/>
                <w:u w:val="none"/>
              </w:rPr>
              <w:t>2.11.4 剁辣椒工艺流程</w:t>
            </w:r>
          </w:p>
          <w:p>
            <w:pPr>
              <w:spacing w:line="360" w:lineRule="auto"/>
              <w:jc w:val="center"/>
              <w:rPr>
                <w:color w:val="auto"/>
                <w:sz w:val="24"/>
                <w:u w:val="none"/>
              </w:rPr>
            </w:pPr>
            <w:r>
              <w:rPr>
                <w:color w:val="auto"/>
                <w:sz w:val="24"/>
                <w:u w:val="none"/>
              </w:rPr>
              <w:object>
                <v:shape id="_x0000_i1031" o:spt="75" type="#_x0000_t75" style="height:417.1pt;width:286.65pt;" o:ole="t" filled="f" o:preferrelative="t" stroked="f" coordsize="21600,21600">
                  <v:path/>
                  <v:fill on="f" focussize="0,0"/>
                  <v:stroke on="f"/>
                  <v:imagedata r:id="rId20" o:title=""/>
                  <o:lock v:ext="edit" aspectratio="f"/>
                  <w10:wrap type="none"/>
                  <w10:anchorlock/>
                </v:shape>
                <o:OLEObject Type="Embed" ProgID="Visio.Drawing.15" ShapeID="_x0000_i1031" DrawAspect="Content" ObjectID="_1468075731" r:id="rId19">
                  <o:LockedField>false</o:LockedField>
                </o:OLEObject>
              </w:object>
            </w:r>
          </w:p>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图</w:t>
            </w:r>
            <w:r>
              <w:rPr>
                <w:rFonts w:hint="eastAsia" w:ascii="Times New Roman" w:hAnsi="Times New Roman" w:eastAsia="宋体" w:cs="Times New Roman"/>
                <w:b/>
                <w:color w:val="auto"/>
                <w:u w:val="none"/>
              </w:rPr>
              <w:t>2.11-4</w:t>
            </w:r>
            <w:r>
              <w:rPr>
                <w:rFonts w:ascii="Times New Roman" w:hAnsi="Times New Roman" w:eastAsia="宋体" w:cs="Times New Roman"/>
                <w:b/>
                <w:color w:val="auto"/>
                <w:u w:val="none"/>
              </w:rPr>
              <w:t xml:space="preserve"> </w:t>
            </w:r>
            <w:r>
              <w:rPr>
                <w:rFonts w:hint="eastAsia" w:ascii="Times New Roman" w:hAnsi="Times New Roman" w:eastAsia="宋体" w:cs="Times New Roman"/>
                <w:b/>
                <w:color w:val="auto"/>
                <w:u w:val="none"/>
              </w:rPr>
              <w:t>剁辣椒</w:t>
            </w:r>
            <w:r>
              <w:rPr>
                <w:rFonts w:ascii="Times New Roman" w:hAnsi="Times New Roman" w:eastAsia="宋体" w:cs="Times New Roman"/>
                <w:b/>
                <w:color w:val="auto"/>
                <w:u w:val="none"/>
              </w:rPr>
              <w:t>生产工艺流程及产污环节图</w:t>
            </w:r>
          </w:p>
          <w:p>
            <w:pPr>
              <w:spacing w:line="360" w:lineRule="auto"/>
              <w:ind w:firstLine="480" w:firstLineChars="200"/>
              <w:rPr>
                <w:rFonts w:hint="eastAsia"/>
                <w:color w:val="auto"/>
                <w:sz w:val="24"/>
                <w:u w:val="none"/>
              </w:rPr>
            </w:pPr>
            <w:r>
              <w:rPr>
                <w:color w:val="auto"/>
                <w:sz w:val="24"/>
                <w:u w:val="none"/>
              </w:rPr>
              <w:t>工艺流程简述：</w:t>
            </w:r>
            <w:r>
              <w:rPr>
                <w:rFonts w:hint="eastAsia"/>
                <w:color w:val="auto"/>
                <w:sz w:val="24"/>
                <w:u w:val="none"/>
              </w:rPr>
              <w:t>剁辣椒与</w:t>
            </w:r>
            <w:r>
              <w:rPr>
                <w:color w:val="auto"/>
                <w:sz w:val="24"/>
                <w:u w:val="none"/>
              </w:rPr>
              <w:t>油辣椒、下饭菜</w:t>
            </w:r>
            <w:r>
              <w:rPr>
                <w:rFonts w:hint="eastAsia"/>
                <w:color w:val="auto"/>
                <w:sz w:val="24"/>
                <w:u w:val="none"/>
              </w:rPr>
              <w:t>共用生产线设备，工艺流程仅略有区别，剁辣椒生产无需添加食用油，无蒸煮及炒制工序，切剁后的原料加水烧开后，采用拌料机拌料调味，该过程产生辛辣气味及噪声，其余工序及产污情况与</w:t>
            </w:r>
            <w:r>
              <w:rPr>
                <w:color w:val="auto"/>
                <w:sz w:val="24"/>
                <w:u w:val="none"/>
              </w:rPr>
              <w:t>油辣椒、下饭菜</w:t>
            </w:r>
            <w:r>
              <w:rPr>
                <w:rFonts w:hint="eastAsia"/>
                <w:color w:val="auto"/>
                <w:sz w:val="24"/>
                <w:u w:val="none"/>
              </w:rPr>
              <w:t>生产过程一致，不再赘述。</w:t>
            </w:r>
          </w:p>
          <w:p>
            <w:pPr>
              <w:spacing w:line="360" w:lineRule="auto"/>
              <w:ind w:firstLine="480" w:firstLineChars="200"/>
              <w:rPr>
                <w:rFonts w:hint="eastAsia"/>
                <w:color w:val="auto"/>
                <w:sz w:val="24"/>
                <w:u w:val="none"/>
              </w:rPr>
            </w:pPr>
          </w:p>
          <w:p>
            <w:pPr>
              <w:spacing w:line="360" w:lineRule="auto"/>
              <w:ind w:firstLine="480" w:firstLineChars="200"/>
              <w:rPr>
                <w:rFonts w:hint="eastAsia"/>
                <w:color w:val="auto"/>
                <w:sz w:val="24"/>
                <w:u w:val="none"/>
              </w:rPr>
            </w:pPr>
          </w:p>
          <w:p>
            <w:pPr>
              <w:spacing w:line="360" w:lineRule="auto"/>
              <w:ind w:firstLine="480" w:firstLineChars="200"/>
              <w:rPr>
                <w:rFonts w:hint="eastAsia"/>
                <w:color w:val="auto"/>
                <w:sz w:val="24"/>
                <w:u w:val="none"/>
              </w:rPr>
            </w:pPr>
          </w:p>
          <w:p>
            <w:pPr>
              <w:spacing w:line="360" w:lineRule="auto"/>
              <w:ind w:firstLine="480" w:firstLineChars="200"/>
              <w:rPr>
                <w:rFonts w:hint="eastAsia"/>
                <w:color w:val="auto"/>
                <w:sz w:val="24"/>
                <w:u w:val="none"/>
              </w:rPr>
            </w:pPr>
          </w:p>
          <w:p>
            <w:pPr>
              <w:spacing w:line="360" w:lineRule="auto"/>
              <w:ind w:firstLine="482" w:firstLineChars="200"/>
              <w:rPr>
                <w:b/>
                <w:bCs/>
                <w:color w:val="auto"/>
                <w:sz w:val="24"/>
                <w:u w:val="none"/>
              </w:rPr>
            </w:pPr>
            <w:r>
              <w:rPr>
                <w:rFonts w:hint="eastAsia"/>
                <w:b/>
                <w:bCs/>
                <w:color w:val="auto"/>
                <w:sz w:val="24"/>
                <w:u w:val="none"/>
              </w:rPr>
              <w:t>2.11.5 分装食用油工艺流程</w:t>
            </w:r>
          </w:p>
          <w:p>
            <w:pPr>
              <w:spacing w:line="360" w:lineRule="auto"/>
              <w:jc w:val="center"/>
              <w:rPr>
                <w:color w:val="auto"/>
                <w:sz w:val="24"/>
                <w:u w:val="none"/>
              </w:rPr>
            </w:pPr>
            <w:r>
              <w:rPr>
                <w:color w:val="auto"/>
                <w:sz w:val="24"/>
                <w:u w:val="none"/>
              </w:rPr>
              <w:object>
                <v:shape id="_x0000_i1032" o:spt="75" type="#_x0000_t75" style="height:268.75pt;width:203.7pt;" o:ole="t" filled="f" o:preferrelative="t" stroked="f" coordsize="21600,21600">
                  <v:path/>
                  <v:fill on="f" focussize="0,0"/>
                  <v:stroke on="f"/>
                  <v:imagedata r:id="rId22" o:title=""/>
                  <o:lock v:ext="edit" aspectratio="f"/>
                  <w10:wrap type="none"/>
                  <w10:anchorlock/>
                </v:shape>
                <o:OLEObject Type="Embed" ProgID="Visio.Drawing.15" ShapeID="_x0000_i1032" DrawAspect="Content" ObjectID="_1468075732" r:id="rId21">
                  <o:LockedField>false</o:LockedField>
                </o:OLEObject>
              </w:object>
            </w:r>
          </w:p>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图</w:t>
            </w:r>
            <w:r>
              <w:rPr>
                <w:rFonts w:hint="eastAsia" w:ascii="Times New Roman" w:hAnsi="Times New Roman" w:eastAsia="宋体" w:cs="Times New Roman"/>
                <w:b/>
                <w:color w:val="auto"/>
                <w:u w:val="none"/>
              </w:rPr>
              <w:t>2.11-5</w:t>
            </w:r>
            <w:r>
              <w:rPr>
                <w:rFonts w:ascii="Times New Roman" w:hAnsi="Times New Roman" w:eastAsia="宋体" w:cs="Times New Roman"/>
                <w:b/>
                <w:color w:val="auto"/>
                <w:u w:val="none"/>
              </w:rPr>
              <w:t xml:space="preserve"> </w:t>
            </w:r>
            <w:r>
              <w:rPr>
                <w:rFonts w:hint="eastAsia" w:ascii="Times New Roman" w:hAnsi="Times New Roman" w:eastAsia="宋体" w:cs="Times New Roman"/>
                <w:b/>
                <w:color w:val="auto"/>
                <w:u w:val="none"/>
              </w:rPr>
              <w:t>分装食用油</w:t>
            </w:r>
            <w:r>
              <w:rPr>
                <w:rFonts w:ascii="Times New Roman" w:hAnsi="Times New Roman" w:eastAsia="宋体" w:cs="Times New Roman"/>
                <w:b/>
                <w:color w:val="auto"/>
                <w:u w:val="none"/>
              </w:rPr>
              <w:t>生产工艺流程及产污环节图</w:t>
            </w:r>
          </w:p>
          <w:p>
            <w:pPr>
              <w:spacing w:line="360" w:lineRule="auto"/>
              <w:ind w:firstLine="480" w:firstLineChars="200"/>
              <w:rPr>
                <w:color w:val="auto"/>
                <w:sz w:val="24"/>
                <w:u w:val="none"/>
              </w:rPr>
            </w:pPr>
            <w:r>
              <w:rPr>
                <w:color w:val="auto"/>
                <w:sz w:val="24"/>
                <w:u w:val="none"/>
              </w:rPr>
              <w:t>工艺流程简述：将外购的散装原油装入指定的储油罐中，在生产时将储罐中的原油抽入</w:t>
            </w:r>
            <w:r>
              <w:rPr>
                <w:rFonts w:hint="eastAsia"/>
                <w:color w:val="auto"/>
                <w:sz w:val="24"/>
                <w:u w:val="none"/>
              </w:rPr>
              <w:t>调配</w:t>
            </w:r>
            <w:r>
              <w:rPr>
                <w:color w:val="auto"/>
                <w:sz w:val="24"/>
                <w:u w:val="none"/>
              </w:rPr>
              <w:t>罐进行调和，</w:t>
            </w:r>
            <w:r>
              <w:rPr>
                <w:rFonts w:hint="eastAsia"/>
                <w:color w:val="auto"/>
                <w:sz w:val="24"/>
                <w:u w:val="none"/>
              </w:rPr>
              <w:t>采用自动</w:t>
            </w:r>
            <w:r>
              <w:rPr>
                <w:color w:val="auto"/>
                <w:sz w:val="24"/>
                <w:u w:val="none"/>
              </w:rPr>
              <w:t>灌装机进行灌装，灌装到指定线后</w:t>
            </w:r>
            <w:r>
              <w:rPr>
                <w:rFonts w:hint="eastAsia"/>
                <w:color w:val="auto"/>
                <w:sz w:val="24"/>
                <w:u w:val="none"/>
              </w:rPr>
              <w:t>采用压盖机</w:t>
            </w:r>
            <w:r>
              <w:rPr>
                <w:color w:val="auto"/>
                <w:sz w:val="24"/>
                <w:u w:val="none"/>
              </w:rPr>
              <w:t>进压盖，接着进行喷码、贴标后输送至外包车间进行包装。</w:t>
            </w:r>
            <w:r>
              <w:rPr>
                <w:rFonts w:hint="eastAsia"/>
                <w:color w:val="auto"/>
                <w:sz w:val="24"/>
                <w:u w:val="none"/>
              </w:rPr>
              <w:t>生产过程产生的污染主要为异味气体、设备噪声、打码废气、废包装，及抽检化验产生一定的不合格产品以及少量的检验废水、检验废气、检验废料。</w:t>
            </w:r>
          </w:p>
          <w:p>
            <w:pPr>
              <w:spacing w:line="360" w:lineRule="auto"/>
              <w:ind w:firstLine="482" w:firstLineChars="200"/>
              <w:rPr>
                <w:b/>
                <w:bCs/>
                <w:color w:val="auto"/>
                <w:sz w:val="24"/>
                <w:u w:val="none"/>
              </w:rPr>
            </w:pPr>
            <w:r>
              <w:rPr>
                <w:rFonts w:hint="eastAsia"/>
                <w:b/>
                <w:bCs/>
                <w:color w:val="auto"/>
                <w:sz w:val="24"/>
                <w:u w:val="none"/>
              </w:rPr>
              <w:t>2.11.6 抽检化验工艺流程</w:t>
            </w:r>
          </w:p>
          <w:p>
            <w:pPr>
              <w:spacing w:line="360" w:lineRule="auto"/>
              <w:ind w:firstLine="480" w:firstLineChars="200"/>
              <w:rPr>
                <w:color w:val="auto"/>
                <w:sz w:val="24"/>
                <w:u w:val="none"/>
              </w:rPr>
            </w:pPr>
            <w:r>
              <w:rPr>
                <w:color w:val="auto"/>
                <w:sz w:val="24"/>
                <w:u w:val="none"/>
              </w:rPr>
              <w:t>项目质检室主要进行菌落总数、大肠菌群检验，</w:t>
            </w:r>
            <w:r>
              <w:rPr>
                <w:rFonts w:hint="eastAsia"/>
                <w:color w:val="auto"/>
                <w:sz w:val="24"/>
                <w:u w:val="none"/>
              </w:rPr>
              <w:t>其他CMA检测交由有资质单位定期负责抽检并出具检测报告，</w:t>
            </w:r>
            <w:r>
              <w:rPr>
                <w:rFonts w:hint="eastAsia"/>
                <w:color w:val="auto"/>
                <w:sz w:val="24"/>
                <w:u w:val="none"/>
                <w:lang w:val="en-US" w:eastAsia="zh-CN"/>
              </w:rPr>
              <w:t>质检室</w:t>
            </w:r>
            <w:r>
              <w:rPr>
                <w:rFonts w:hint="eastAsia"/>
                <w:color w:val="auto"/>
                <w:sz w:val="24"/>
                <w:u w:val="none"/>
              </w:rPr>
              <w:t>不做物理检测、化学检测和阳性对照试验。质检室仅对本企业所用原料、产品进行抽检化验，不对外服务，</w:t>
            </w:r>
            <w:r>
              <w:rPr>
                <w:color w:val="auto"/>
                <w:sz w:val="24"/>
                <w:u w:val="none"/>
              </w:rPr>
              <w:t>其操作流程如下：</w:t>
            </w:r>
          </w:p>
          <w:p>
            <w:pPr>
              <w:spacing w:line="360" w:lineRule="auto"/>
              <w:jc w:val="center"/>
              <w:rPr>
                <w:color w:val="auto"/>
                <w:sz w:val="24"/>
                <w:u w:val="none"/>
              </w:rPr>
            </w:pPr>
            <w:r>
              <w:rPr>
                <w:rFonts w:hint="eastAsia"/>
                <w:color w:val="auto"/>
                <w:u w:val="none"/>
              </w:rPr>
              <w:object>
                <v:shape id="_x0000_i1033" o:spt="75" type="#_x0000_t75" style="height:244.4pt;width:267.95pt;" o:ole="t" filled="f" o:preferrelative="t" stroked="f" coordsize="21600,21600">
                  <v:path/>
                  <v:fill on="f" focussize="0,0"/>
                  <v:stroke on="f"/>
                  <v:imagedata r:id="rId24" o:title=""/>
                  <o:lock v:ext="edit" aspectratio="t"/>
                  <w10:wrap type="none"/>
                  <w10:anchorlock/>
                </v:shape>
                <o:OLEObject Type="Embed" ProgID="Visio.Drawing.15" ShapeID="_x0000_i1033" DrawAspect="Content" ObjectID="_1468075733" r:id="rId23">
                  <o:LockedField>false</o:LockedField>
                </o:OLEObject>
              </w:object>
            </w:r>
          </w:p>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图</w:t>
            </w:r>
            <w:r>
              <w:rPr>
                <w:rFonts w:hint="eastAsia" w:ascii="Times New Roman" w:hAnsi="Times New Roman" w:eastAsia="宋体" w:cs="Times New Roman"/>
                <w:b/>
                <w:color w:val="auto"/>
                <w:u w:val="none"/>
              </w:rPr>
              <w:t>2.11-6</w:t>
            </w:r>
            <w:r>
              <w:rPr>
                <w:rFonts w:ascii="Times New Roman" w:hAnsi="Times New Roman" w:eastAsia="宋体" w:cs="Times New Roman"/>
                <w:b/>
                <w:color w:val="auto"/>
                <w:u w:val="none"/>
              </w:rPr>
              <w:t xml:space="preserve"> </w:t>
            </w:r>
            <w:r>
              <w:rPr>
                <w:rFonts w:hint="eastAsia" w:ascii="Times New Roman" w:hAnsi="Times New Roman" w:eastAsia="宋体" w:cs="Times New Roman"/>
                <w:b/>
                <w:color w:val="auto"/>
                <w:u w:val="none"/>
              </w:rPr>
              <w:t>抽检化验</w:t>
            </w:r>
            <w:r>
              <w:rPr>
                <w:rFonts w:ascii="Times New Roman" w:hAnsi="Times New Roman" w:eastAsia="宋体" w:cs="Times New Roman"/>
                <w:b/>
                <w:color w:val="auto"/>
                <w:u w:val="none"/>
              </w:rPr>
              <w:t>工艺流程及产污环节图</w:t>
            </w:r>
          </w:p>
          <w:p>
            <w:pPr>
              <w:spacing w:line="360" w:lineRule="auto"/>
              <w:ind w:firstLine="480" w:firstLineChars="200"/>
              <w:rPr>
                <w:color w:val="auto"/>
                <w:sz w:val="24"/>
                <w:u w:val="none"/>
              </w:rPr>
            </w:pPr>
            <w:r>
              <w:rPr>
                <w:color w:val="auto"/>
                <w:sz w:val="24"/>
                <w:u w:val="none"/>
              </w:rPr>
              <w:t>工艺流程简述：</w:t>
            </w:r>
            <w:r>
              <w:rPr>
                <w:rFonts w:hint="eastAsia"/>
                <w:color w:val="auto"/>
                <w:sz w:val="24"/>
                <w:u w:val="none"/>
              </w:rPr>
              <w:t>根据样品形态，部分样品需粉碎后，加蒸馏水稀释；</w:t>
            </w:r>
            <w:r>
              <w:rPr>
                <w:color w:val="auto"/>
                <w:sz w:val="24"/>
                <w:u w:val="none"/>
              </w:rPr>
              <w:t>选择2个</w:t>
            </w:r>
            <w:r>
              <w:rPr>
                <w:rFonts w:hint="eastAsia"/>
                <w:color w:val="auto"/>
                <w:sz w:val="24"/>
                <w:u w:val="none"/>
              </w:rPr>
              <w:t>~</w:t>
            </w:r>
            <w:r>
              <w:rPr>
                <w:color w:val="auto"/>
                <w:sz w:val="24"/>
                <w:u w:val="none"/>
              </w:rPr>
              <w:t>3个适宜稀释度的样品匀液，各取</w:t>
            </w:r>
            <w:r>
              <w:rPr>
                <w:rFonts w:hint="eastAsia"/>
                <w:color w:val="auto"/>
                <w:sz w:val="24"/>
                <w:u w:val="none"/>
              </w:rPr>
              <w:t>1</w:t>
            </w:r>
            <w:r>
              <w:rPr>
                <w:color w:val="auto"/>
                <w:sz w:val="24"/>
                <w:u w:val="none"/>
              </w:rPr>
              <w:t>mL分别</w:t>
            </w:r>
            <w:r>
              <w:rPr>
                <w:rFonts w:hint="eastAsia"/>
                <w:color w:val="auto"/>
                <w:sz w:val="24"/>
                <w:u w:val="none"/>
              </w:rPr>
              <w:t>接种至培养皿中，培养48h后，采用显微镜观察及计数，最终得出分析结果。抽检化验过程产生少量的检验废水、HCl、废样品、废培养基、废危化品及试剂瓶。</w:t>
            </w:r>
          </w:p>
          <w:p>
            <w:pPr>
              <w:spacing w:line="360" w:lineRule="auto"/>
              <w:ind w:firstLine="480" w:firstLineChars="200"/>
              <w:rPr>
                <w:color w:val="auto"/>
                <w:sz w:val="24"/>
                <w:u w:val="none"/>
              </w:rPr>
            </w:pPr>
            <w:r>
              <w:rPr>
                <w:rFonts w:hint="eastAsia"/>
                <w:color w:val="auto"/>
                <w:sz w:val="24"/>
                <w:u w:val="none"/>
              </w:rPr>
              <w:t>本项目营运期产污情况见下表。</w:t>
            </w:r>
          </w:p>
          <w:p>
            <w:pPr>
              <w:pStyle w:val="58"/>
              <w:jc w:val="center"/>
              <w:rPr>
                <w:rFonts w:ascii="Times New Roman" w:hAnsi="Times New Roman" w:eastAsia="宋体" w:cs="Times New Roman"/>
                <w:b/>
                <w:color w:val="auto"/>
                <w:u w:val="none"/>
              </w:rPr>
            </w:pPr>
            <w:r>
              <w:rPr>
                <w:rFonts w:ascii="Times New Roman" w:hAnsi="Times New Roman" w:eastAsia="宋体" w:cs="Times New Roman"/>
                <w:b/>
                <w:color w:val="auto"/>
                <w:u w:val="none"/>
              </w:rPr>
              <w:t>表</w:t>
            </w:r>
            <w:r>
              <w:rPr>
                <w:rFonts w:hint="eastAsia" w:ascii="Times New Roman" w:hAnsi="Times New Roman" w:eastAsia="宋体" w:cs="Times New Roman"/>
                <w:b/>
                <w:color w:val="auto"/>
                <w:u w:val="none"/>
              </w:rPr>
              <w:t>2.11-1</w:t>
            </w:r>
            <w:r>
              <w:rPr>
                <w:rFonts w:ascii="Times New Roman" w:hAnsi="Times New Roman" w:eastAsia="宋体" w:cs="Times New Roman"/>
                <w:b/>
                <w:color w:val="auto"/>
                <w:u w:val="none"/>
              </w:rPr>
              <w:t xml:space="preserve"> 本项目主要污染源分布</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785"/>
              <w:gridCol w:w="1339"/>
              <w:gridCol w:w="2381"/>
              <w:gridCol w:w="2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Align w:val="center"/>
                </w:tcPr>
                <w:p>
                  <w:pPr>
                    <w:jc w:val="center"/>
                    <w:rPr>
                      <w:b/>
                      <w:bCs/>
                      <w:color w:val="auto"/>
                      <w:szCs w:val="21"/>
                      <w:u w:val="none"/>
                    </w:rPr>
                  </w:pPr>
                  <w:r>
                    <w:rPr>
                      <w:b/>
                      <w:bCs/>
                      <w:color w:val="auto"/>
                      <w:szCs w:val="21"/>
                      <w:u w:val="none"/>
                    </w:rPr>
                    <w:t>类别</w:t>
                  </w:r>
                </w:p>
              </w:tc>
              <w:tc>
                <w:tcPr>
                  <w:tcW w:w="1065" w:type="pct"/>
                  <w:vAlign w:val="center"/>
                </w:tcPr>
                <w:p>
                  <w:pPr>
                    <w:jc w:val="center"/>
                    <w:rPr>
                      <w:b/>
                      <w:bCs/>
                      <w:color w:val="auto"/>
                      <w:szCs w:val="21"/>
                      <w:u w:val="none"/>
                    </w:rPr>
                  </w:pPr>
                  <w:r>
                    <w:rPr>
                      <w:b/>
                      <w:bCs/>
                      <w:color w:val="auto"/>
                      <w:szCs w:val="21"/>
                      <w:u w:val="none"/>
                    </w:rPr>
                    <w:t>产生工序</w:t>
                  </w:r>
                </w:p>
              </w:tc>
              <w:tc>
                <w:tcPr>
                  <w:tcW w:w="799" w:type="pct"/>
                  <w:vAlign w:val="center"/>
                </w:tcPr>
                <w:p>
                  <w:pPr>
                    <w:jc w:val="center"/>
                    <w:rPr>
                      <w:b/>
                      <w:bCs/>
                      <w:color w:val="auto"/>
                      <w:szCs w:val="21"/>
                      <w:u w:val="none"/>
                    </w:rPr>
                  </w:pPr>
                  <w:r>
                    <w:rPr>
                      <w:b/>
                      <w:bCs/>
                      <w:color w:val="auto"/>
                      <w:szCs w:val="21"/>
                      <w:u w:val="none"/>
                    </w:rPr>
                    <w:t>污染源名称</w:t>
                  </w:r>
                </w:p>
              </w:tc>
              <w:tc>
                <w:tcPr>
                  <w:tcW w:w="1421" w:type="pct"/>
                  <w:vAlign w:val="center"/>
                </w:tcPr>
                <w:p>
                  <w:pPr>
                    <w:jc w:val="center"/>
                    <w:rPr>
                      <w:b/>
                      <w:bCs/>
                      <w:color w:val="auto"/>
                      <w:szCs w:val="21"/>
                      <w:u w:val="none"/>
                    </w:rPr>
                  </w:pPr>
                  <w:r>
                    <w:rPr>
                      <w:b/>
                      <w:bCs/>
                      <w:color w:val="auto"/>
                      <w:szCs w:val="21"/>
                      <w:u w:val="none"/>
                    </w:rPr>
                    <w:t>主要污染物</w:t>
                  </w:r>
                </w:p>
              </w:tc>
              <w:tc>
                <w:tcPr>
                  <w:tcW w:w="1203" w:type="pct"/>
                  <w:vAlign w:val="center"/>
                </w:tcPr>
                <w:p>
                  <w:pPr>
                    <w:jc w:val="center"/>
                    <w:rPr>
                      <w:b/>
                      <w:bCs/>
                      <w:color w:val="auto"/>
                      <w:szCs w:val="21"/>
                      <w:u w:val="none"/>
                    </w:rPr>
                  </w:pPr>
                  <w:r>
                    <w:rPr>
                      <w:b/>
                      <w:bCs/>
                      <w:color w:val="auto"/>
                      <w:szCs w:val="21"/>
                      <w:u w:val="none"/>
                    </w:rPr>
                    <w:t>治理措施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restart"/>
                  <w:vAlign w:val="center"/>
                </w:tcPr>
                <w:p>
                  <w:pPr>
                    <w:jc w:val="center"/>
                    <w:rPr>
                      <w:color w:val="auto"/>
                      <w:szCs w:val="21"/>
                      <w:u w:val="none"/>
                    </w:rPr>
                  </w:pPr>
                  <w:r>
                    <w:rPr>
                      <w:rFonts w:hint="eastAsia"/>
                      <w:color w:val="auto"/>
                      <w:szCs w:val="21"/>
                      <w:u w:val="none"/>
                    </w:rPr>
                    <w:t>废气</w:t>
                  </w:r>
                </w:p>
              </w:tc>
              <w:tc>
                <w:tcPr>
                  <w:tcW w:w="1065" w:type="pct"/>
                  <w:vAlign w:val="center"/>
                </w:tcPr>
                <w:p>
                  <w:pPr>
                    <w:jc w:val="center"/>
                    <w:rPr>
                      <w:color w:val="auto"/>
                      <w:szCs w:val="21"/>
                      <w:u w:val="none"/>
                    </w:rPr>
                  </w:pPr>
                  <w:r>
                    <w:rPr>
                      <w:rFonts w:hint="eastAsia"/>
                      <w:color w:val="auto"/>
                      <w:szCs w:val="21"/>
                      <w:u w:val="none"/>
                    </w:rPr>
                    <w:t>蒸汽发生器</w:t>
                  </w:r>
                </w:p>
              </w:tc>
              <w:tc>
                <w:tcPr>
                  <w:tcW w:w="799" w:type="pct"/>
                  <w:vAlign w:val="center"/>
                </w:tcPr>
                <w:p>
                  <w:pPr>
                    <w:jc w:val="center"/>
                    <w:rPr>
                      <w:color w:val="auto"/>
                      <w:szCs w:val="21"/>
                      <w:u w:val="none"/>
                    </w:rPr>
                  </w:pPr>
                  <w:r>
                    <w:rPr>
                      <w:rFonts w:hint="eastAsia"/>
                      <w:color w:val="auto"/>
                      <w:szCs w:val="21"/>
                      <w:u w:val="none"/>
                    </w:rPr>
                    <w:t>蒸汽发生器废气</w:t>
                  </w:r>
                </w:p>
              </w:tc>
              <w:tc>
                <w:tcPr>
                  <w:tcW w:w="1421" w:type="pct"/>
                  <w:vAlign w:val="center"/>
                </w:tcPr>
                <w:p>
                  <w:pPr>
                    <w:jc w:val="center"/>
                    <w:rPr>
                      <w:color w:val="auto"/>
                      <w:szCs w:val="21"/>
                      <w:u w:val="none"/>
                    </w:rPr>
                  </w:pPr>
                  <w:r>
                    <w:rPr>
                      <w:rFonts w:hint="eastAsia"/>
                      <w:color w:val="auto"/>
                      <w:szCs w:val="21"/>
                      <w:u w:val="none"/>
                    </w:rPr>
                    <w:t>颗粒物、S</w:t>
                  </w:r>
                  <w:r>
                    <w:rPr>
                      <w:color w:val="auto"/>
                      <w:szCs w:val="21"/>
                      <w:u w:val="none"/>
                    </w:rPr>
                    <w:t>O</w:t>
                  </w:r>
                  <w:r>
                    <w:rPr>
                      <w:color w:val="auto"/>
                      <w:szCs w:val="21"/>
                      <w:u w:val="none"/>
                      <w:vertAlign w:val="subscript"/>
                    </w:rPr>
                    <w:t>2</w:t>
                  </w:r>
                  <w:r>
                    <w:rPr>
                      <w:rFonts w:hint="eastAsia"/>
                      <w:color w:val="auto"/>
                      <w:szCs w:val="21"/>
                      <w:u w:val="none"/>
                    </w:rPr>
                    <w:t>、N</w:t>
                  </w:r>
                  <w:r>
                    <w:rPr>
                      <w:color w:val="auto"/>
                      <w:szCs w:val="21"/>
                      <w:u w:val="none"/>
                    </w:rPr>
                    <w:t>O</w:t>
                  </w:r>
                  <w:r>
                    <w:rPr>
                      <w:color w:val="auto"/>
                      <w:szCs w:val="21"/>
                      <w:u w:val="none"/>
                      <w:vertAlign w:val="subscript"/>
                    </w:rPr>
                    <w:t>X</w:t>
                  </w:r>
                  <w:r>
                    <w:rPr>
                      <w:rFonts w:hint="eastAsia"/>
                      <w:color w:val="auto"/>
                      <w:szCs w:val="21"/>
                      <w:u w:val="none"/>
                    </w:rPr>
                    <w:t>、烟气黑度</w:t>
                  </w:r>
                </w:p>
              </w:tc>
              <w:tc>
                <w:tcPr>
                  <w:tcW w:w="1203" w:type="pct"/>
                  <w:vAlign w:val="center"/>
                </w:tcPr>
                <w:p>
                  <w:pPr>
                    <w:jc w:val="center"/>
                    <w:rPr>
                      <w:color w:val="auto"/>
                      <w:szCs w:val="21"/>
                      <w:u w:val="none"/>
                    </w:rPr>
                  </w:pPr>
                  <w:r>
                    <w:rPr>
                      <w:rFonts w:hint="eastAsia"/>
                      <w:color w:val="auto"/>
                      <w:szCs w:val="21"/>
                      <w:u w:val="none"/>
                    </w:rPr>
                    <w:t>低氮燃烧+21m排气筒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发酵、腌制、拌料、冷却、炒制</w:t>
                  </w:r>
                </w:p>
              </w:tc>
              <w:tc>
                <w:tcPr>
                  <w:tcW w:w="799" w:type="pct"/>
                  <w:vAlign w:val="center"/>
                </w:tcPr>
                <w:p>
                  <w:pPr>
                    <w:jc w:val="center"/>
                    <w:rPr>
                      <w:color w:val="auto"/>
                      <w:szCs w:val="21"/>
                      <w:u w:val="none"/>
                    </w:rPr>
                  </w:pPr>
                  <w:r>
                    <w:rPr>
                      <w:rFonts w:hint="eastAsia"/>
                      <w:color w:val="auto"/>
                      <w:szCs w:val="21"/>
                      <w:u w:val="none"/>
                    </w:rPr>
                    <w:t>车间异味</w:t>
                  </w:r>
                </w:p>
              </w:tc>
              <w:tc>
                <w:tcPr>
                  <w:tcW w:w="1421" w:type="pct"/>
                  <w:vAlign w:val="center"/>
                </w:tcPr>
                <w:p>
                  <w:pPr>
                    <w:jc w:val="center"/>
                    <w:rPr>
                      <w:color w:val="auto"/>
                      <w:szCs w:val="21"/>
                      <w:u w:val="none"/>
                    </w:rPr>
                  </w:pPr>
                  <w:r>
                    <w:rPr>
                      <w:rFonts w:hint="eastAsia"/>
                      <w:color w:val="auto"/>
                      <w:szCs w:val="21"/>
                      <w:u w:val="none"/>
                    </w:rPr>
                    <w:t>臭气浓度</w:t>
                  </w:r>
                </w:p>
              </w:tc>
              <w:tc>
                <w:tcPr>
                  <w:tcW w:w="1203"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加强车间排风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拌料</w:t>
                  </w:r>
                </w:p>
              </w:tc>
              <w:tc>
                <w:tcPr>
                  <w:tcW w:w="799" w:type="pct"/>
                  <w:vAlign w:val="center"/>
                </w:tcPr>
                <w:p>
                  <w:pPr>
                    <w:jc w:val="center"/>
                    <w:rPr>
                      <w:color w:val="auto"/>
                      <w:szCs w:val="21"/>
                      <w:u w:val="none"/>
                    </w:rPr>
                  </w:pPr>
                  <w:r>
                    <w:rPr>
                      <w:rFonts w:hint="eastAsia"/>
                      <w:color w:val="auto"/>
                      <w:szCs w:val="21"/>
                      <w:u w:val="none"/>
                    </w:rPr>
                    <w:t>拌料粉尘</w:t>
                  </w:r>
                </w:p>
              </w:tc>
              <w:tc>
                <w:tcPr>
                  <w:tcW w:w="1421" w:type="pct"/>
                  <w:vAlign w:val="center"/>
                </w:tcPr>
                <w:p>
                  <w:pPr>
                    <w:jc w:val="center"/>
                    <w:rPr>
                      <w:color w:val="auto"/>
                      <w:szCs w:val="21"/>
                      <w:u w:val="none"/>
                    </w:rPr>
                  </w:pPr>
                  <w:r>
                    <w:rPr>
                      <w:rFonts w:hint="eastAsia"/>
                      <w:color w:val="auto"/>
                      <w:szCs w:val="21"/>
                      <w:u w:val="none"/>
                    </w:rPr>
                    <w:t>颗粒物</w:t>
                  </w:r>
                </w:p>
              </w:tc>
              <w:tc>
                <w:tcPr>
                  <w:tcW w:w="1203" w:type="pct"/>
                  <w:vAlign w:val="center"/>
                </w:tcPr>
                <w:p>
                  <w:pPr>
                    <w:jc w:val="center"/>
                    <w:rPr>
                      <w:color w:val="auto"/>
                      <w:szCs w:val="21"/>
                      <w:u w:val="none"/>
                    </w:rPr>
                  </w:pPr>
                  <w:r>
                    <w:rPr>
                      <w:rFonts w:hint="eastAsia"/>
                      <w:color w:val="auto"/>
                      <w:szCs w:val="21"/>
                      <w:u w:val="none"/>
                      <w:lang w:val="en-US" w:eastAsia="zh-CN"/>
                    </w:rPr>
                    <w:t>加强车间排风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Merge w:val="restart"/>
                  <w:vAlign w:val="center"/>
                </w:tcPr>
                <w:p>
                  <w:pPr>
                    <w:jc w:val="center"/>
                    <w:rPr>
                      <w:color w:val="auto"/>
                      <w:szCs w:val="21"/>
                      <w:u w:val="none"/>
                    </w:rPr>
                  </w:pPr>
                  <w:r>
                    <w:rPr>
                      <w:rFonts w:hint="eastAsia"/>
                      <w:color w:val="auto"/>
                      <w:szCs w:val="21"/>
                      <w:u w:val="none"/>
                    </w:rPr>
                    <w:t>炒制</w:t>
                  </w:r>
                </w:p>
              </w:tc>
              <w:tc>
                <w:tcPr>
                  <w:tcW w:w="799" w:type="pct"/>
                  <w:vAlign w:val="center"/>
                </w:tcPr>
                <w:p>
                  <w:pPr>
                    <w:jc w:val="center"/>
                    <w:rPr>
                      <w:color w:val="auto"/>
                      <w:szCs w:val="21"/>
                      <w:u w:val="none"/>
                    </w:rPr>
                  </w:pPr>
                  <w:r>
                    <w:rPr>
                      <w:rFonts w:hint="eastAsia"/>
                      <w:color w:val="auto"/>
                      <w:szCs w:val="21"/>
                      <w:u w:val="none"/>
                    </w:rPr>
                    <w:t>炒制油烟</w:t>
                  </w:r>
                </w:p>
              </w:tc>
              <w:tc>
                <w:tcPr>
                  <w:tcW w:w="1421" w:type="pct"/>
                  <w:vAlign w:val="center"/>
                </w:tcPr>
                <w:p>
                  <w:pPr>
                    <w:jc w:val="center"/>
                    <w:rPr>
                      <w:color w:val="auto"/>
                      <w:szCs w:val="21"/>
                      <w:u w:val="none"/>
                    </w:rPr>
                  </w:pPr>
                  <w:r>
                    <w:rPr>
                      <w:rFonts w:hint="eastAsia"/>
                      <w:color w:val="auto"/>
                      <w:szCs w:val="21"/>
                      <w:u w:val="none"/>
                    </w:rPr>
                    <w:t>油烟</w:t>
                  </w:r>
                </w:p>
              </w:tc>
              <w:tc>
                <w:tcPr>
                  <w:tcW w:w="1203" w:type="pct"/>
                  <w:vAlign w:val="center"/>
                </w:tcPr>
                <w:p>
                  <w:pPr>
                    <w:jc w:val="center"/>
                    <w:rPr>
                      <w:rFonts w:hint="eastAsia"/>
                      <w:color w:val="auto"/>
                      <w:szCs w:val="21"/>
                      <w:u w:val="none"/>
                    </w:rPr>
                  </w:pPr>
                  <w:r>
                    <w:rPr>
                      <w:rFonts w:hint="eastAsia"/>
                      <w:color w:val="auto"/>
                      <w:szCs w:val="21"/>
                      <w:u w:val="none"/>
                    </w:rPr>
                    <w:t>二级高效静电油烟净化器+16m排气筒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Merge w:val="continue"/>
                  <w:vAlign w:val="center"/>
                </w:tcPr>
                <w:p>
                  <w:pPr>
                    <w:jc w:val="center"/>
                    <w:rPr>
                      <w:color w:val="auto"/>
                      <w:szCs w:val="21"/>
                      <w:u w:val="none"/>
                    </w:rPr>
                  </w:pPr>
                </w:p>
              </w:tc>
              <w:tc>
                <w:tcPr>
                  <w:tcW w:w="799" w:type="pct"/>
                  <w:vAlign w:val="center"/>
                </w:tcPr>
                <w:p>
                  <w:pPr>
                    <w:jc w:val="center"/>
                    <w:rPr>
                      <w:color w:val="auto"/>
                      <w:szCs w:val="21"/>
                      <w:u w:val="none"/>
                    </w:rPr>
                  </w:pPr>
                  <w:r>
                    <w:rPr>
                      <w:rFonts w:hint="eastAsia"/>
                      <w:color w:val="auto"/>
                      <w:szCs w:val="21"/>
                      <w:u w:val="none"/>
                    </w:rPr>
                    <w:t>天然气燃烧废气</w:t>
                  </w:r>
                </w:p>
              </w:tc>
              <w:tc>
                <w:tcPr>
                  <w:tcW w:w="1421" w:type="pct"/>
                  <w:vAlign w:val="center"/>
                </w:tcPr>
                <w:p>
                  <w:pPr>
                    <w:jc w:val="center"/>
                    <w:rPr>
                      <w:color w:val="auto"/>
                      <w:szCs w:val="21"/>
                      <w:u w:val="none"/>
                    </w:rPr>
                  </w:pPr>
                  <w:r>
                    <w:rPr>
                      <w:rFonts w:hint="eastAsia"/>
                      <w:color w:val="auto"/>
                      <w:szCs w:val="21"/>
                      <w:u w:val="none"/>
                    </w:rPr>
                    <w:t>颗粒物、S</w:t>
                  </w:r>
                  <w:r>
                    <w:rPr>
                      <w:color w:val="auto"/>
                      <w:szCs w:val="21"/>
                      <w:u w:val="none"/>
                    </w:rPr>
                    <w:t>O</w:t>
                  </w:r>
                  <w:r>
                    <w:rPr>
                      <w:color w:val="auto"/>
                      <w:szCs w:val="21"/>
                      <w:u w:val="none"/>
                      <w:vertAlign w:val="subscript"/>
                    </w:rPr>
                    <w:t>2</w:t>
                  </w:r>
                  <w:r>
                    <w:rPr>
                      <w:rFonts w:hint="eastAsia"/>
                      <w:color w:val="auto"/>
                      <w:szCs w:val="21"/>
                      <w:u w:val="none"/>
                    </w:rPr>
                    <w:t>、N</w:t>
                  </w:r>
                  <w:r>
                    <w:rPr>
                      <w:color w:val="auto"/>
                      <w:szCs w:val="21"/>
                      <w:u w:val="none"/>
                    </w:rPr>
                    <w:t>O</w:t>
                  </w:r>
                  <w:r>
                    <w:rPr>
                      <w:color w:val="auto"/>
                      <w:szCs w:val="21"/>
                      <w:u w:val="none"/>
                      <w:vertAlign w:val="subscript"/>
                    </w:rPr>
                    <w:t>X</w:t>
                  </w:r>
                </w:p>
              </w:tc>
              <w:tc>
                <w:tcPr>
                  <w:tcW w:w="1203" w:type="pct"/>
                  <w:vAlign w:val="center"/>
                </w:tcPr>
                <w:p>
                  <w:pPr>
                    <w:jc w:val="center"/>
                    <w:rPr>
                      <w:color w:val="auto"/>
                      <w:szCs w:val="21"/>
                      <w:u w:val="none"/>
                    </w:rPr>
                  </w:pPr>
                  <w:r>
                    <w:rPr>
                      <w:rFonts w:hint="eastAsia"/>
                      <w:color w:val="auto"/>
                      <w:szCs w:val="21"/>
                      <w:u w:val="none"/>
                      <w:lang w:val="en-US" w:eastAsia="zh-CN"/>
                    </w:rPr>
                    <w:t>加强车间排风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打码</w:t>
                  </w:r>
                </w:p>
              </w:tc>
              <w:tc>
                <w:tcPr>
                  <w:tcW w:w="799" w:type="pct"/>
                  <w:vAlign w:val="center"/>
                </w:tcPr>
                <w:p>
                  <w:pPr>
                    <w:jc w:val="center"/>
                    <w:rPr>
                      <w:color w:val="auto"/>
                      <w:szCs w:val="21"/>
                      <w:u w:val="none"/>
                    </w:rPr>
                  </w:pPr>
                  <w:r>
                    <w:rPr>
                      <w:rFonts w:hint="eastAsia"/>
                      <w:color w:val="auto"/>
                      <w:szCs w:val="21"/>
                      <w:u w:val="none"/>
                    </w:rPr>
                    <w:t>打码废气</w:t>
                  </w:r>
                </w:p>
              </w:tc>
              <w:tc>
                <w:tcPr>
                  <w:tcW w:w="1421" w:type="pct"/>
                  <w:vAlign w:val="center"/>
                </w:tcPr>
                <w:p>
                  <w:pPr>
                    <w:jc w:val="center"/>
                    <w:rPr>
                      <w:color w:val="auto"/>
                      <w:szCs w:val="21"/>
                      <w:u w:val="none"/>
                    </w:rPr>
                  </w:pPr>
                  <w:r>
                    <w:rPr>
                      <w:rFonts w:hint="eastAsia"/>
                      <w:color w:val="auto"/>
                      <w:szCs w:val="21"/>
                      <w:u w:val="none"/>
                    </w:rPr>
                    <w:t>极少量非甲烷总烃</w:t>
                  </w:r>
                </w:p>
              </w:tc>
              <w:tc>
                <w:tcPr>
                  <w:tcW w:w="1203" w:type="pct"/>
                  <w:vAlign w:val="center"/>
                </w:tcPr>
                <w:p>
                  <w:pPr>
                    <w:jc w:val="center"/>
                    <w:rPr>
                      <w:color w:val="auto"/>
                      <w:szCs w:val="21"/>
                      <w:u w:val="none"/>
                    </w:rPr>
                  </w:pPr>
                  <w:r>
                    <w:rPr>
                      <w:rFonts w:hint="eastAsia"/>
                      <w:color w:val="auto"/>
                      <w:szCs w:val="21"/>
                      <w:u w:val="none"/>
                      <w:lang w:val="en-US" w:eastAsia="zh-CN"/>
                    </w:rPr>
                    <w:t>加强车间排风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废水处理站</w:t>
                  </w:r>
                </w:p>
              </w:tc>
              <w:tc>
                <w:tcPr>
                  <w:tcW w:w="799" w:type="pct"/>
                  <w:vAlign w:val="center"/>
                </w:tcPr>
                <w:p>
                  <w:pPr>
                    <w:jc w:val="center"/>
                    <w:rPr>
                      <w:color w:val="auto"/>
                      <w:szCs w:val="21"/>
                      <w:u w:val="none"/>
                    </w:rPr>
                  </w:pPr>
                  <w:r>
                    <w:rPr>
                      <w:rFonts w:hint="eastAsia"/>
                      <w:color w:val="auto"/>
                      <w:szCs w:val="21"/>
                      <w:u w:val="none"/>
                    </w:rPr>
                    <w:t>废水处理站恶臭</w:t>
                  </w:r>
                </w:p>
              </w:tc>
              <w:tc>
                <w:tcPr>
                  <w:tcW w:w="1421" w:type="pct"/>
                  <w:vAlign w:val="center"/>
                </w:tcPr>
                <w:p>
                  <w:pPr>
                    <w:jc w:val="center"/>
                    <w:rPr>
                      <w:color w:val="auto"/>
                      <w:szCs w:val="21"/>
                      <w:u w:val="none"/>
                    </w:rPr>
                  </w:pPr>
                  <w:r>
                    <w:rPr>
                      <w:rFonts w:hint="eastAsia"/>
                      <w:color w:val="auto"/>
                      <w:szCs w:val="21"/>
                      <w:u w:val="none"/>
                    </w:rPr>
                    <w:t>H</w:t>
                  </w:r>
                  <w:r>
                    <w:rPr>
                      <w:color w:val="auto"/>
                      <w:szCs w:val="21"/>
                      <w:u w:val="none"/>
                      <w:vertAlign w:val="subscript"/>
                    </w:rPr>
                    <w:t>2</w:t>
                  </w:r>
                  <w:r>
                    <w:rPr>
                      <w:color w:val="auto"/>
                      <w:szCs w:val="21"/>
                      <w:u w:val="none"/>
                    </w:rPr>
                    <w:t>S</w:t>
                  </w:r>
                  <w:r>
                    <w:rPr>
                      <w:rFonts w:hint="eastAsia"/>
                      <w:color w:val="auto"/>
                      <w:szCs w:val="21"/>
                      <w:u w:val="none"/>
                    </w:rPr>
                    <w:t>、N</w:t>
                  </w:r>
                  <w:r>
                    <w:rPr>
                      <w:color w:val="auto"/>
                      <w:szCs w:val="21"/>
                      <w:u w:val="none"/>
                    </w:rPr>
                    <w:t>H</w:t>
                  </w:r>
                  <w:r>
                    <w:rPr>
                      <w:color w:val="auto"/>
                      <w:szCs w:val="21"/>
                      <w:u w:val="none"/>
                      <w:vertAlign w:val="subscript"/>
                    </w:rPr>
                    <w:t>3</w:t>
                  </w:r>
                  <w:r>
                    <w:rPr>
                      <w:rFonts w:hint="eastAsia"/>
                      <w:color w:val="auto"/>
                      <w:szCs w:val="21"/>
                      <w:u w:val="none"/>
                    </w:rPr>
                    <w:t>、臭气浓度</w:t>
                  </w:r>
                </w:p>
              </w:tc>
              <w:tc>
                <w:tcPr>
                  <w:tcW w:w="1203" w:type="pct"/>
                  <w:vAlign w:val="center"/>
                </w:tcPr>
                <w:p>
                  <w:pPr>
                    <w:jc w:val="center"/>
                    <w:rPr>
                      <w:color w:val="auto"/>
                      <w:szCs w:val="21"/>
                      <w:u w:val="none"/>
                    </w:rPr>
                  </w:pPr>
                  <w:r>
                    <w:rPr>
                      <w:rFonts w:hint="eastAsia"/>
                      <w:color w:val="auto"/>
                      <w:szCs w:val="21"/>
                      <w:u w:val="none"/>
                    </w:rPr>
                    <w:t>污水池加盖负压收集+“二级喷淋+生物滤池”+15m排气筒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检验室</w:t>
                  </w:r>
                </w:p>
              </w:tc>
              <w:tc>
                <w:tcPr>
                  <w:tcW w:w="799" w:type="pct"/>
                  <w:vAlign w:val="center"/>
                </w:tcPr>
                <w:p>
                  <w:pPr>
                    <w:jc w:val="center"/>
                    <w:rPr>
                      <w:color w:val="auto"/>
                      <w:szCs w:val="21"/>
                      <w:u w:val="none"/>
                    </w:rPr>
                  </w:pPr>
                  <w:r>
                    <w:rPr>
                      <w:rFonts w:hint="eastAsia"/>
                      <w:color w:val="auto"/>
                      <w:szCs w:val="21"/>
                      <w:u w:val="none"/>
                    </w:rPr>
                    <w:t>检验废气</w:t>
                  </w:r>
                </w:p>
              </w:tc>
              <w:tc>
                <w:tcPr>
                  <w:tcW w:w="1421" w:type="pct"/>
                  <w:vAlign w:val="center"/>
                </w:tcPr>
                <w:p>
                  <w:pPr>
                    <w:jc w:val="center"/>
                    <w:rPr>
                      <w:color w:val="auto"/>
                      <w:szCs w:val="21"/>
                      <w:u w:val="none"/>
                    </w:rPr>
                  </w:pPr>
                  <w:r>
                    <w:rPr>
                      <w:rFonts w:hint="eastAsia"/>
                      <w:color w:val="auto"/>
                      <w:szCs w:val="21"/>
                      <w:u w:val="none"/>
                    </w:rPr>
                    <w:t>极少量HCl</w:t>
                  </w:r>
                </w:p>
              </w:tc>
              <w:tc>
                <w:tcPr>
                  <w:tcW w:w="1203" w:type="pct"/>
                  <w:vAlign w:val="center"/>
                </w:tcPr>
                <w:p>
                  <w:pPr>
                    <w:jc w:val="center"/>
                    <w:rPr>
                      <w:color w:val="auto"/>
                      <w:szCs w:val="21"/>
                      <w:u w:val="none"/>
                    </w:rPr>
                  </w:pPr>
                  <w:r>
                    <w:rPr>
                      <w:rFonts w:hint="eastAsia"/>
                      <w:color w:val="auto"/>
                      <w:szCs w:val="21"/>
                      <w:u w:val="none"/>
                    </w:rPr>
                    <w:t>自然通风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食堂</w:t>
                  </w:r>
                </w:p>
              </w:tc>
              <w:tc>
                <w:tcPr>
                  <w:tcW w:w="799" w:type="pct"/>
                  <w:vAlign w:val="center"/>
                </w:tcPr>
                <w:p>
                  <w:pPr>
                    <w:jc w:val="center"/>
                    <w:rPr>
                      <w:color w:val="auto"/>
                      <w:szCs w:val="21"/>
                      <w:u w:val="none"/>
                    </w:rPr>
                  </w:pPr>
                  <w:r>
                    <w:rPr>
                      <w:rFonts w:hint="eastAsia"/>
                      <w:color w:val="auto"/>
                      <w:szCs w:val="21"/>
                      <w:u w:val="none"/>
                    </w:rPr>
                    <w:t>食堂油烟</w:t>
                  </w:r>
                </w:p>
              </w:tc>
              <w:tc>
                <w:tcPr>
                  <w:tcW w:w="1421" w:type="pct"/>
                  <w:vAlign w:val="center"/>
                </w:tcPr>
                <w:p>
                  <w:pPr>
                    <w:jc w:val="center"/>
                    <w:rPr>
                      <w:color w:val="auto"/>
                      <w:szCs w:val="21"/>
                      <w:u w:val="none"/>
                    </w:rPr>
                  </w:pPr>
                  <w:r>
                    <w:rPr>
                      <w:rFonts w:hint="eastAsia"/>
                      <w:color w:val="auto"/>
                      <w:szCs w:val="21"/>
                      <w:u w:val="none"/>
                    </w:rPr>
                    <w:t>油烟</w:t>
                  </w:r>
                </w:p>
              </w:tc>
              <w:tc>
                <w:tcPr>
                  <w:tcW w:w="1203" w:type="pct"/>
                  <w:vAlign w:val="center"/>
                </w:tcPr>
                <w:p>
                  <w:pPr>
                    <w:jc w:val="center"/>
                    <w:rPr>
                      <w:color w:val="auto"/>
                      <w:szCs w:val="21"/>
                      <w:u w:val="none"/>
                    </w:rPr>
                  </w:pPr>
                  <w:r>
                    <w:rPr>
                      <w:rFonts w:hint="eastAsia"/>
                      <w:color w:val="auto"/>
                      <w:szCs w:val="21"/>
                      <w:u w:val="none"/>
                    </w:rPr>
                    <w:t>油烟净化器+屋顶排放（</w:t>
                  </w:r>
                  <w:r>
                    <w:rPr>
                      <w:rFonts w:hint="eastAsia"/>
                      <w:color w:val="auto"/>
                      <w:szCs w:val="21"/>
                      <w:u w:val="none"/>
                      <w:lang w:val="en-US" w:eastAsia="zh-CN"/>
                    </w:rPr>
                    <w:t>9</w:t>
                  </w:r>
                  <w:r>
                    <w:rPr>
                      <w:rFonts w:hint="eastAsia"/>
                      <w:color w:val="auto"/>
                      <w:szCs w:val="21"/>
                      <w:u w:val="none"/>
                    </w:rPr>
                    <w:t>m高）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restart"/>
                  <w:vAlign w:val="center"/>
                </w:tcPr>
                <w:p>
                  <w:pPr>
                    <w:jc w:val="center"/>
                    <w:rPr>
                      <w:color w:val="auto"/>
                      <w:szCs w:val="21"/>
                      <w:u w:val="none"/>
                    </w:rPr>
                  </w:pPr>
                  <w:r>
                    <w:rPr>
                      <w:color w:val="auto"/>
                      <w:szCs w:val="21"/>
                      <w:u w:val="none"/>
                    </w:rPr>
                    <w:t>废水</w:t>
                  </w:r>
                </w:p>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豆豉生产（原料清洗浸泡、蒸煮）</w:t>
                  </w:r>
                </w:p>
              </w:tc>
              <w:tc>
                <w:tcPr>
                  <w:tcW w:w="799" w:type="pct"/>
                  <w:vAlign w:val="center"/>
                </w:tcPr>
                <w:p>
                  <w:pPr>
                    <w:jc w:val="center"/>
                    <w:rPr>
                      <w:color w:val="auto"/>
                      <w:szCs w:val="21"/>
                      <w:u w:val="none"/>
                    </w:rPr>
                  </w:pPr>
                  <w:r>
                    <w:rPr>
                      <w:rFonts w:hint="eastAsia"/>
                      <w:color w:val="auto"/>
                      <w:szCs w:val="21"/>
                      <w:u w:val="none"/>
                    </w:rPr>
                    <w:t>豆豉生产废水</w:t>
                  </w:r>
                </w:p>
              </w:tc>
              <w:tc>
                <w:tcPr>
                  <w:tcW w:w="1421" w:type="pct"/>
                  <w:vAlign w:val="center"/>
                </w:tcPr>
                <w:p>
                  <w:pPr>
                    <w:jc w:val="center"/>
                    <w:rPr>
                      <w:color w:val="auto"/>
                      <w:szCs w:val="21"/>
                      <w:u w:val="none"/>
                    </w:rPr>
                  </w:pPr>
                  <w:r>
                    <w:rPr>
                      <w:color w:val="auto"/>
                      <w:szCs w:val="21"/>
                      <w:u w:val="none"/>
                    </w:rPr>
                    <w:t>COD、NH</w:t>
                  </w:r>
                  <w:r>
                    <w:rPr>
                      <w:color w:val="auto"/>
                      <w:szCs w:val="21"/>
                      <w:u w:val="none"/>
                      <w:vertAlign w:val="subscript"/>
                    </w:rPr>
                    <w:t>3</w:t>
                  </w:r>
                  <w:r>
                    <w:rPr>
                      <w:color w:val="auto"/>
                      <w:szCs w:val="21"/>
                      <w:u w:val="none"/>
                    </w:rPr>
                    <w:t>-N、</w:t>
                  </w:r>
                  <w:r>
                    <w:rPr>
                      <w:rFonts w:hint="eastAsia"/>
                      <w:color w:val="auto"/>
                      <w:szCs w:val="21"/>
                      <w:u w:val="none"/>
                    </w:rPr>
                    <w:t>总氮、总磷、</w:t>
                  </w:r>
                  <w:r>
                    <w:rPr>
                      <w:color w:val="auto"/>
                      <w:szCs w:val="21"/>
                      <w:u w:val="none"/>
                    </w:rPr>
                    <w:t>SS、BOD</w:t>
                  </w:r>
                  <w:r>
                    <w:rPr>
                      <w:color w:val="auto"/>
                      <w:szCs w:val="21"/>
                      <w:u w:val="none"/>
                      <w:vertAlign w:val="subscript"/>
                    </w:rPr>
                    <w:t>5</w:t>
                  </w:r>
                  <w:r>
                    <w:rPr>
                      <w:color w:val="auto"/>
                      <w:szCs w:val="21"/>
                      <w:u w:val="none"/>
                    </w:rPr>
                    <w:t xml:space="preserve"> </w:t>
                  </w:r>
                </w:p>
              </w:tc>
              <w:tc>
                <w:tcPr>
                  <w:tcW w:w="1203" w:type="pct"/>
                  <w:vMerge w:val="restart"/>
                  <w:vAlign w:val="center"/>
                </w:tcPr>
                <w:p>
                  <w:pPr>
                    <w:jc w:val="center"/>
                    <w:rPr>
                      <w:color w:val="auto"/>
                      <w:szCs w:val="21"/>
                      <w:u w:val="none"/>
                    </w:rPr>
                  </w:pPr>
                  <w:r>
                    <w:rPr>
                      <w:rFonts w:hint="eastAsia"/>
                      <w:color w:val="auto"/>
                      <w:szCs w:val="21"/>
                      <w:u w:val="none"/>
                    </w:rPr>
                    <w:t>经厂区污水处理站处理后排入园区管网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腐乳生产（原料清洗浸泡、压榨成型）</w:t>
                  </w:r>
                </w:p>
              </w:tc>
              <w:tc>
                <w:tcPr>
                  <w:tcW w:w="799" w:type="pct"/>
                  <w:vAlign w:val="center"/>
                </w:tcPr>
                <w:p>
                  <w:pPr>
                    <w:jc w:val="center"/>
                    <w:rPr>
                      <w:color w:val="auto"/>
                      <w:szCs w:val="21"/>
                      <w:u w:val="none"/>
                    </w:rPr>
                  </w:pPr>
                  <w:r>
                    <w:rPr>
                      <w:rFonts w:hint="eastAsia"/>
                      <w:color w:val="auto"/>
                      <w:szCs w:val="21"/>
                      <w:u w:val="none"/>
                    </w:rPr>
                    <w:t>腐乳生产废水</w:t>
                  </w:r>
                </w:p>
              </w:tc>
              <w:tc>
                <w:tcPr>
                  <w:tcW w:w="1421" w:type="pct"/>
                  <w:vAlign w:val="center"/>
                </w:tcPr>
                <w:p>
                  <w:pPr>
                    <w:jc w:val="center"/>
                    <w:rPr>
                      <w:color w:val="auto"/>
                      <w:szCs w:val="21"/>
                      <w:u w:val="none"/>
                    </w:rPr>
                  </w:pPr>
                  <w:r>
                    <w:rPr>
                      <w:color w:val="auto"/>
                      <w:szCs w:val="21"/>
                      <w:u w:val="none"/>
                    </w:rPr>
                    <w:t>COD、NH</w:t>
                  </w:r>
                  <w:r>
                    <w:rPr>
                      <w:color w:val="auto"/>
                      <w:szCs w:val="21"/>
                      <w:u w:val="none"/>
                      <w:vertAlign w:val="subscript"/>
                    </w:rPr>
                    <w:t>3</w:t>
                  </w:r>
                  <w:r>
                    <w:rPr>
                      <w:color w:val="auto"/>
                      <w:szCs w:val="21"/>
                      <w:u w:val="none"/>
                    </w:rPr>
                    <w:t>-N、</w:t>
                  </w:r>
                  <w:r>
                    <w:rPr>
                      <w:rFonts w:hint="eastAsia"/>
                      <w:color w:val="auto"/>
                      <w:szCs w:val="21"/>
                      <w:u w:val="none"/>
                    </w:rPr>
                    <w:t>总氮、总磷、</w:t>
                  </w:r>
                  <w:r>
                    <w:rPr>
                      <w:color w:val="auto"/>
                      <w:szCs w:val="21"/>
                      <w:u w:val="none"/>
                    </w:rPr>
                    <w:t>SS、BOD</w:t>
                  </w:r>
                  <w:r>
                    <w:rPr>
                      <w:color w:val="auto"/>
                      <w:szCs w:val="21"/>
                      <w:u w:val="none"/>
                      <w:vertAlign w:val="subscript"/>
                    </w:rPr>
                    <w:t>5</w:t>
                  </w:r>
                  <w:r>
                    <w:rPr>
                      <w:color w:val="auto"/>
                      <w:szCs w:val="21"/>
                      <w:u w:val="none"/>
                    </w:rPr>
                    <w:t xml:space="preserve"> </w:t>
                  </w: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油辣椒、剁辣椒、下饭菜生产（原料清洗、脱水）</w:t>
                  </w:r>
                </w:p>
              </w:tc>
              <w:tc>
                <w:tcPr>
                  <w:tcW w:w="799" w:type="pct"/>
                  <w:vAlign w:val="center"/>
                </w:tcPr>
                <w:p>
                  <w:pPr>
                    <w:jc w:val="center"/>
                    <w:rPr>
                      <w:color w:val="auto"/>
                      <w:szCs w:val="21"/>
                      <w:u w:val="none"/>
                    </w:rPr>
                  </w:pPr>
                  <w:r>
                    <w:rPr>
                      <w:rFonts w:hint="eastAsia"/>
                      <w:color w:val="auto"/>
                      <w:szCs w:val="21"/>
                      <w:u w:val="none"/>
                    </w:rPr>
                    <w:t>油辣椒、剁辣椒、下饭菜生产废水</w:t>
                  </w:r>
                </w:p>
              </w:tc>
              <w:tc>
                <w:tcPr>
                  <w:tcW w:w="1421" w:type="pct"/>
                  <w:vAlign w:val="center"/>
                </w:tcPr>
                <w:p>
                  <w:pPr>
                    <w:jc w:val="center"/>
                    <w:rPr>
                      <w:color w:val="auto"/>
                      <w:szCs w:val="21"/>
                      <w:u w:val="none"/>
                    </w:rPr>
                  </w:pPr>
                  <w:r>
                    <w:rPr>
                      <w:rFonts w:hint="eastAsia"/>
                      <w:color w:val="auto"/>
                      <w:szCs w:val="21"/>
                      <w:u w:val="none"/>
                    </w:rPr>
                    <w:t>pH、</w:t>
                  </w:r>
                  <w:r>
                    <w:rPr>
                      <w:color w:val="auto"/>
                      <w:szCs w:val="21"/>
                      <w:u w:val="none"/>
                    </w:rPr>
                    <w:t>COD、NH</w:t>
                  </w:r>
                  <w:r>
                    <w:rPr>
                      <w:color w:val="auto"/>
                      <w:szCs w:val="21"/>
                      <w:u w:val="none"/>
                      <w:vertAlign w:val="subscript"/>
                    </w:rPr>
                    <w:t>3</w:t>
                  </w:r>
                  <w:r>
                    <w:rPr>
                      <w:color w:val="auto"/>
                      <w:szCs w:val="21"/>
                      <w:u w:val="none"/>
                    </w:rPr>
                    <w:t>-N、</w:t>
                  </w:r>
                  <w:r>
                    <w:rPr>
                      <w:rFonts w:hint="eastAsia"/>
                      <w:color w:val="auto"/>
                      <w:szCs w:val="21"/>
                      <w:u w:val="none"/>
                    </w:rPr>
                    <w:t>总氮、总磷、</w:t>
                  </w:r>
                  <w:r>
                    <w:rPr>
                      <w:color w:val="auto"/>
                      <w:szCs w:val="21"/>
                      <w:u w:val="none"/>
                    </w:rPr>
                    <w:t>SS、BOD</w:t>
                  </w:r>
                  <w:r>
                    <w:rPr>
                      <w:color w:val="auto"/>
                      <w:szCs w:val="21"/>
                      <w:u w:val="none"/>
                      <w:vertAlign w:val="subscript"/>
                    </w:rPr>
                    <w:t>5</w:t>
                  </w:r>
                  <w:r>
                    <w:rPr>
                      <w:rFonts w:hint="eastAsia"/>
                      <w:color w:val="auto"/>
                      <w:szCs w:val="21"/>
                      <w:u w:val="none"/>
                    </w:rPr>
                    <w:t>、动植物油、含盐量</w:t>
                  </w: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rFonts w:hint="eastAsia"/>
                      <w:color w:val="auto"/>
                      <w:szCs w:val="21"/>
                      <w:u w:val="none"/>
                    </w:rPr>
                  </w:pPr>
                  <w:r>
                    <w:rPr>
                      <w:rFonts w:hint="eastAsia"/>
                      <w:color w:val="auto"/>
                      <w:szCs w:val="21"/>
                      <w:u w:val="none"/>
                    </w:rPr>
                    <w:t>生产设备、器具清洗废水</w:t>
                  </w:r>
                </w:p>
              </w:tc>
              <w:tc>
                <w:tcPr>
                  <w:tcW w:w="799" w:type="pct"/>
                  <w:vAlign w:val="center"/>
                </w:tcPr>
                <w:p>
                  <w:pPr>
                    <w:jc w:val="center"/>
                    <w:rPr>
                      <w:rFonts w:hint="eastAsia"/>
                      <w:color w:val="auto"/>
                      <w:szCs w:val="21"/>
                      <w:u w:val="none"/>
                    </w:rPr>
                  </w:pPr>
                  <w:r>
                    <w:rPr>
                      <w:rFonts w:hint="eastAsia"/>
                      <w:color w:val="auto"/>
                      <w:szCs w:val="21"/>
                      <w:u w:val="none"/>
                    </w:rPr>
                    <w:t>生产设备、器具清洗废水</w:t>
                  </w:r>
                </w:p>
              </w:tc>
              <w:tc>
                <w:tcPr>
                  <w:tcW w:w="1421" w:type="pct"/>
                  <w:vAlign w:val="center"/>
                </w:tcPr>
                <w:p>
                  <w:pPr>
                    <w:jc w:val="center"/>
                    <w:rPr>
                      <w:rFonts w:hint="eastAsia"/>
                      <w:color w:val="auto"/>
                      <w:szCs w:val="21"/>
                      <w:u w:val="none"/>
                    </w:rPr>
                  </w:pPr>
                  <w:r>
                    <w:rPr>
                      <w:rFonts w:hint="eastAsia"/>
                      <w:color w:val="auto"/>
                      <w:szCs w:val="21"/>
                      <w:u w:val="none"/>
                    </w:rPr>
                    <w:t>pH、</w:t>
                  </w:r>
                  <w:r>
                    <w:rPr>
                      <w:color w:val="auto"/>
                      <w:szCs w:val="21"/>
                      <w:u w:val="none"/>
                    </w:rPr>
                    <w:t>COD、NH</w:t>
                  </w:r>
                  <w:r>
                    <w:rPr>
                      <w:color w:val="auto"/>
                      <w:szCs w:val="21"/>
                      <w:u w:val="none"/>
                      <w:vertAlign w:val="subscript"/>
                    </w:rPr>
                    <w:t>3</w:t>
                  </w:r>
                  <w:r>
                    <w:rPr>
                      <w:color w:val="auto"/>
                      <w:szCs w:val="21"/>
                      <w:u w:val="none"/>
                    </w:rPr>
                    <w:t>-N、</w:t>
                  </w:r>
                  <w:r>
                    <w:rPr>
                      <w:rFonts w:hint="eastAsia"/>
                      <w:color w:val="auto"/>
                      <w:szCs w:val="21"/>
                      <w:u w:val="none"/>
                    </w:rPr>
                    <w:t>总氮、总磷、</w:t>
                  </w:r>
                  <w:r>
                    <w:rPr>
                      <w:color w:val="auto"/>
                      <w:szCs w:val="21"/>
                      <w:u w:val="none"/>
                    </w:rPr>
                    <w:t>SS、BOD</w:t>
                  </w:r>
                  <w:r>
                    <w:rPr>
                      <w:color w:val="auto"/>
                      <w:szCs w:val="21"/>
                      <w:u w:val="none"/>
                      <w:vertAlign w:val="subscript"/>
                    </w:rPr>
                    <w:t>5</w:t>
                  </w:r>
                  <w:r>
                    <w:rPr>
                      <w:rFonts w:hint="eastAsia"/>
                      <w:color w:val="auto"/>
                      <w:szCs w:val="21"/>
                      <w:u w:val="none"/>
                    </w:rPr>
                    <w:t>、动植物油</w:t>
                  </w: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生产车间地面清洁</w:t>
                  </w:r>
                </w:p>
              </w:tc>
              <w:tc>
                <w:tcPr>
                  <w:tcW w:w="799" w:type="pct"/>
                  <w:vAlign w:val="center"/>
                </w:tcPr>
                <w:p>
                  <w:pPr>
                    <w:jc w:val="center"/>
                    <w:rPr>
                      <w:color w:val="auto"/>
                      <w:szCs w:val="21"/>
                      <w:u w:val="none"/>
                    </w:rPr>
                  </w:pPr>
                  <w:r>
                    <w:rPr>
                      <w:rFonts w:hint="eastAsia"/>
                      <w:color w:val="auto"/>
                      <w:szCs w:val="21"/>
                      <w:u w:val="none"/>
                    </w:rPr>
                    <w:t>生产车间地面清洁废水</w:t>
                  </w:r>
                </w:p>
              </w:tc>
              <w:tc>
                <w:tcPr>
                  <w:tcW w:w="1421" w:type="pct"/>
                  <w:vAlign w:val="center"/>
                </w:tcPr>
                <w:p>
                  <w:pPr>
                    <w:jc w:val="center"/>
                    <w:rPr>
                      <w:color w:val="auto"/>
                      <w:szCs w:val="21"/>
                      <w:u w:val="none"/>
                    </w:rPr>
                  </w:pPr>
                  <w:r>
                    <w:rPr>
                      <w:rFonts w:hint="eastAsia"/>
                      <w:color w:val="auto"/>
                      <w:szCs w:val="21"/>
                      <w:u w:val="none"/>
                    </w:rPr>
                    <w:t>pH、</w:t>
                  </w:r>
                  <w:r>
                    <w:rPr>
                      <w:color w:val="auto"/>
                      <w:szCs w:val="21"/>
                      <w:u w:val="none"/>
                    </w:rPr>
                    <w:t>COD、NH</w:t>
                  </w:r>
                  <w:r>
                    <w:rPr>
                      <w:color w:val="auto"/>
                      <w:szCs w:val="21"/>
                      <w:u w:val="none"/>
                      <w:vertAlign w:val="subscript"/>
                    </w:rPr>
                    <w:t>3</w:t>
                  </w:r>
                  <w:r>
                    <w:rPr>
                      <w:color w:val="auto"/>
                      <w:szCs w:val="21"/>
                      <w:u w:val="none"/>
                    </w:rPr>
                    <w:t>-N、</w:t>
                  </w:r>
                  <w:r>
                    <w:rPr>
                      <w:rFonts w:hint="eastAsia"/>
                      <w:color w:val="auto"/>
                      <w:szCs w:val="21"/>
                      <w:u w:val="none"/>
                    </w:rPr>
                    <w:t>总氮、总磷、</w:t>
                  </w:r>
                  <w:r>
                    <w:rPr>
                      <w:color w:val="auto"/>
                      <w:szCs w:val="21"/>
                      <w:u w:val="none"/>
                    </w:rPr>
                    <w:t>SS、BOD</w:t>
                  </w:r>
                  <w:r>
                    <w:rPr>
                      <w:color w:val="auto"/>
                      <w:szCs w:val="21"/>
                      <w:u w:val="none"/>
                      <w:vertAlign w:val="subscript"/>
                    </w:rPr>
                    <w:t>5</w:t>
                  </w:r>
                  <w:r>
                    <w:rPr>
                      <w:rFonts w:hint="eastAsia"/>
                      <w:color w:val="auto"/>
                      <w:szCs w:val="21"/>
                      <w:u w:val="none"/>
                    </w:rPr>
                    <w:t>、动植物油</w:t>
                  </w: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纯水制备</w:t>
                  </w:r>
                </w:p>
              </w:tc>
              <w:tc>
                <w:tcPr>
                  <w:tcW w:w="799" w:type="pct"/>
                  <w:vAlign w:val="center"/>
                </w:tcPr>
                <w:p>
                  <w:pPr>
                    <w:jc w:val="center"/>
                    <w:rPr>
                      <w:color w:val="auto"/>
                      <w:szCs w:val="21"/>
                      <w:u w:val="none"/>
                    </w:rPr>
                  </w:pPr>
                  <w:r>
                    <w:rPr>
                      <w:rFonts w:hint="eastAsia"/>
                      <w:color w:val="auto"/>
                      <w:szCs w:val="21"/>
                      <w:u w:val="none"/>
                    </w:rPr>
                    <w:t>纯水制备废水</w:t>
                  </w:r>
                </w:p>
              </w:tc>
              <w:tc>
                <w:tcPr>
                  <w:tcW w:w="1421" w:type="pct"/>
                  <w:vAlign w:val="center"/>
                </w:tcPr>
                <w:p>
                  <w:pPr>
                    <w:jc w:val="center"/>
                    <w:rPr>
                      <w:color w:val="auto"/>
                      <w:szCs w:val="21"/>
                      <w:highlight w:val="yellow"/>
                      <w:u w:val="none"/>
                    </w:rPr>
                  </w:pPr>
                  <w:r>
                    <w:rPr>
                      <w:rFonts w:hint="eastAsia"/>
                      <w:color w:val="auto"/>
                      <w:szCs w:val="21"/>
                      <w:u w:val="none"/>
                    </w:rPr>
                    <w:t>SS、COD、含盐量</w:t>
                  </w: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rFonts w:hint="eastAsia"/>
                      <w:color w:val="auto"/>
                      <w:szCs w:val="21"/>
                      <w:u w:val="none"/>
                    </w:rPr>
                  </w:pPr>
                  <w:r>
                    <w:rPr>
                      <w:rFonts w:hint="eastAsia"/>
                      <w:color w:val="auto"/>
                      <w:szCs w:val="21"/>
                      <w:u w:val="none"/>
                    </w:rPr>
                    <w:t>检验室</w:t>
                  </w:r>
                </w:p>
              </w:tc>
              <w:tc>
                <w:tcPr>
                  <w:tcW w:w="799" w:type="pct"/>
                  <w:vAlign w:val="center"/>
                </w:tcPr>
                <w:p>
                  <w:pPr>
                    <w:jc w:val="center"/>
                    <w:rPr>
                      <w:rFonts w:hint="eastAsia"/>
                      <w:color w:val="auto"/>
                      <w:szCs w:val="21"/>
                      <w:u w:val="none"/>
                    </w:rPr>
                  </w:pPr>
                  <w:r>
                    <w:rPr>
                      <w:rFonts w:hint="eastAsia"/>
                      <w:color w:val="auto"/>
                      <w:szCs w:val="21"/>
                      <w:u w:val="none"/>
                    </w:rPr>
                    <w:t>检验废水</w:t>
                  </w:r>
                </w:p>
              </w:tc>
              <w:tc>
                <w:tcPr>
                  <w:tcW w:w="1421" w:type="pct"/>
                  <w:vAlign w:val="center"/>
                </w:tcPr>
                <w:p>
                  <w:pPr>
                    <w:jc w:val="center"/>
                    <w:rPr>
                      <w:rFonts w:hint="eastAsia"/>
                      <w:color w:val="auto"/>
                      <w:szCs w:val="21"/>
                      <w:u w:val="none"/>
                    </w:rPr>
                  </w:pPr>
                  <w:r>
                    <w:rPr>
                      <w:rFonts w:hint="eastAsia"/>
                      <w:color w:val="auto"/>
                      <w:szCs w:val="21"/>
                      <w:u w:val="none"/>
                    </w:rPr>
                    <w:t>pH、</w:t>
                  </w:r>
                  <w:r>
                    <w:rPr>
                      <w:color w:val="auto"/>
                      <w:szCs w:val="21"/>
                      <w:u w:val="none"/>
                    </w:rPr>
                    <w:t>COD、NH</w:t>
                  </w:r>
                  <w:r>
                    <w:rPr>
                      <w:color w:val="auto"/>
                      <w:szCs w:val="21"/>
                      <w:u w:val="none"/>
                      <w:vertAlign w:val="subscript"/>
                    </w:rPr>
                    <w:t>3</w:t>
                  </w:r>
                  <w:r>
                    <w:rPr>
                      <w:color w:val="auto"/>
                      <w:szCs w:val="21"/>
                      <w:u w:val="none"/>
                    </w:rPr>
                    <w:t>-N、</w:t>
                  </w:r>
                  <w:r>
                    <w:rPr>
                      <w:rFonts w:hint="eastAsia"/>
                      <w:color w:val="auto"/>
                      <w:szCs w:val="21"/>
                      <w:u w:val="none"/>
                    </w:rPr>
                    <w:t>总氮、总磷、</w:t>
                  </w:r>
                  <w:r>
                    <w:rPr>
                      <w:color w:val="auto"/>
                      <w:szCs w:val="21"/>
                      <w:u w:val="none"/>
                    </w:rPr>
                    <w:t>SS、BOD</w:t>
                  </w:r>
                  <w:r>
                    <w:rPr>
                      <w:color w:val="auto"/>
                      <w:szCs w:val="21"/>
                      <w:u w:val="none"/>
                      <w:vertAlign w:val="subscript"/>
                    </w:rPr>
                    <w:t>5</w:t>
                  </w:r>
                  <w:r>
                    <w:rPr>
                      <w:rFonts w:hint="eastAsia"/>
                      <w:color w:val="auto"/>
                      <w:szCs w:val="21"/>
                      <w:u w:val="none"/>
                    </w:rPr>
                    <w:t>、动植物油</w:t>
                  </w:r>
                </w:p>
              </w:tc>
              <w:tc>
                <w:tcPr>
                  <w:tcW w:w="1203" w:type="pct"/>
                  <w:vAlign w:val="center"/>
                </w:tcPr>
                <w:p>
                  <w:pPr>
                    <w:jc w:val="center"/>
                    <w:rPr>
                      <w:color w:val="auto"/>
                      <w:szCs w:val="21"/>
                      <w:u w:val="none"/>
                    </w:rPr>
                  </w:pPr>
                  <w:r>
                    <w:rPr>
                      <w:rFonts w:hint="eastAsia"/>
                      <w:color w:val="auto"/>
                      <w:szCs w:val="21"/>
                      <w:u w:val="none"/>
                    </w:rPr>
                    <w:t>化粪池处理后排入园区管网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color w:val="auto"/>
                      <w:szCs w:val="21"/>
                      <w:u w:val="none"/>
                    </w:rPr>
                    <w:t>员工生活</w:t>
                  </w:r>
                </w:p>
              </w:tc>
              <w:tc>
                <w:tcPr>
                  <w:tcW w:w="799" w:type="pct"/>
                  <w:vAlign w:val="center"/>
                </w:tcPr>
                <w:p>
                  <w:pPr>
                    <w:jc w:val="center"/>
                    <w:rPr>
                      <w:color w:val="auto"/>
                      <w:szCs w:val="21"/>
                      <w:u w:val="none"/>
                    </w:rPr>
                  </w:pPr>
                  <w:r>
                    <w:rPr>
                      <w:color w:val="auto"/>
                      <w:szCs w:val="21"/>
                      <w:u w:val="none"/>
                    </w:rPr>
                    <w:t>生活污水</w:t>
                  </w:r>
                </w:p>
              </w:tc>
              <w:tc>
                <w:tcPr>
                  <w:tcW w:w="1421" w:type="pct"/>
                  <w:vAlign w:val="center"/>
                </w:tcPr>
                <w:p>
                  <w:pPr>
                    <w:jc w:val="center"/>
                    <w:rPr>
                      <w:color w:val="auto"/>
                      <w:szCs w:val="21"/>
                      <w:u w:val="none"/>
                    </w:rPr>
                  </w:pPr>
                  <w:r>
                    <w:rPr>
                      <w:color w:val="auto"/>
                      <w:szCs w:val="21"/>
                      <w:u w:val="none"/>
                    </w:rPr>
                    <w:t>COD、NH</w:t>
                  </w:r>
                  <w:r>
                    <w:rPr>
                      <w:color w:val="auto"/>
                      <w:szCs w:val="21"/>
                      <w:u w:val="none"/>
                      <w:vertAlign w:val="subscript"/>
                    </w:rPr>
                    <w:t>3</w:t>
                  </w:r>
                  <w:r>
                    <w:rPr>
                      <w:color w:val="auto"/>
                      <w:szCs w:val="21"/>
                      <w:u w:val="none"/>
                    </w:rPr>
                    <w:t>-N、</w:t>
                  </w:r>
                  <w:r>
                    <w:rPr>
                      <w:rFonts w:hint="eastAsia"/>
                      <w:color w:val="auto"/>
                      <w:szCs w:val="21"/>
                      <w:u w:val="none"/>
                    </w:rPr>
                    <w:t>总氮、总磷、</w:t>
                  </w:r>
                  <w:r>
                    <w:rPr>
                      <w:color w:val="auto"/>
                      <w:szCs w:val="21"/>
                      <w:u w:val="none"/>
                    </w:rPr>
                    <w:t>SS、BOD</w:t>
                  </w:r>
                  <w:r>
                    <w:rPr>
                      <w:color w:val="auto"/>
                      <w:szCs w:val="21"/>
                      <w:u w:val="none"/>
                      <w:vertAlign w:val="subscript"/>
                    </w:rPr>
                    <w:t>5</w:t>
                  </w:r>
                  <w:r>
                    <w:rPr>
                      <w:rFonts w:hint="eastAsia"/>
                      <w:color w:val="auto"/>
                      <w:szCs w:val="21"/>
                      <w:u w:val="none"/>
                    </w:rPr>
                    <w:t>、动植物油</w:t>
                  </w:r>
                </w:p>
              </w:tc>
              <w:tc>
                <w:tcPr>
                  <w:tcW w:w="1203" w:type="pct"/>
                  <w:vAlign w:val="center"/>
                </w:tcPr>
                <w:p>
                  <w:pPr>
                    <w:jc w:val="center"/>
                    <w:rPr>
                      <w:color w:val="auto"/>
                      <w:szCs w:val="21"/>
                      <w:u w:val="none"/>
                    </w:rPr>
                  </w:pPr>
                  <w:r>
                    <w:rPr>
                      <w:rFonts w:hint="eastAsia"/>
                      <w:color w:val="auto"/>
                      <w:szCs w:val="21"/>
                      <w:u w:val="none"/>
                    </w:rPr>
                    <w:t>食堂废水经隔油池处理后与其他生活污水经化粪池处理后排入园区管网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Align w:val="center"/>
                </w:tcPr>
                <w:p>
                  <w:pPr>
                    <w:jc w:val="center"/>
                    <w:rPr>
                      <w:color w:val="auto"/>
                      <w:szCs w:val="21"/>
                      <w:u w:val="none"/>
                    </w:rPr>
                  </w:pPr>
                  <w:r>
                    <w:rPr>
                      <w:color w:val="auto"/>
                      <w:szCs w:val="21"/>
                      <w:u w:val="none"/>
                    </w:rPr>
                    <w:t>噪声</w:t>
                  </w:r>
                </w:p>
              </w:tc>
              <w:tc>
                <w:tcPr>
                  <w:tcW w:w="1065" w:type="pct"/>
                  <w:vAlign w:val="center"/>
                </w:tcPr>
                <w:p>
                  <w:pPr>
                    <w:jc w:val="center"/>
                    <w:rPr>
                      <w:color w:val="auto"/>
                      <w:szCs w:val="21"/>
                      <w:u w:val="none"/>
                    </w:rPr>
                  </w:pPr>
                  <w:r>
                    <w:rPr>
                      <w:rFonts w:hint="eastAsia"/>
                      <w:color w:val="auto"/>
                      <w:szCs w:val="21"/>
                      <w:u w:val="none"/>
                    </w:rPr>
                    <w:t>切菜机、炒锅、包装机、风机、水泵等</w:t>
                  </w:r>
                </w:p>
              </w:tc>
              <w:tc>
                <w:tcPr>
                  <w:tcW w:w="799" w:type="pct"/>
                  <w:vAlign w:val="center"/>
                </w:tcPr>
                <w:p>
                  <w:pPr>
                    <w:jc w:val="center"/>
                    <w:rPr>
                      <w:color w:val="auto"/>
                      <w:szCs w:val="21"/>
                      <w:u w:val="none"/>
                    </w:rPr>
                  </w:pPr>
                  <w:r>
                    <w:rPr>
                      <w:color w:val="auto"/>
                      <w:szCs w:val="21"/>
                      <w:u w:val="none"/>
                    </w:rPr>
                    <w:t>设备噪声</w:t>
                  </w:r>
                </w:p>
              </w:tc>
              <w:tc>
                <w:tcPr>
                  <w:tcW w:w="1421" w:type="pct"/>
                  <w:vAlign w:val="center"/>
                </w:tcPr>
                <w:p>
                  <w:pPr>
                    <w:jc w:val="center"/>
                    <w:rPr>
                      <w:color w:val="auto"/>
                      <w:szCs w:val="21"/>
                      <w:u w:val="none"/>
                    </w:rPr>
                  </w:pPr>
                  <w:r>
                    <w:rPr>
                      <w:color w:val="auto"/>
                      <w:szCs w:val="21"/>
                      <w:u w:val="none"/>
                    </w:rPr>
                    <w:t>Leq</w:t>
                  </w:r>
                </w:p>
              </w:tc>
              <w:tc>
                <w:tcPr>
                  <w:tcW w:w="1203" w:type="pct"/>
                  <w:vAlign w:val="center"/>
                </w:tcPr>
                <w:p>
                  <w:pPr>
                    <w:jc w:val="center"/>
                    <w:rPr>
                      <w:color w:val="auto"/>
                      <w:szCs w:val="21"/>
                      <w:u w:val="none"/>
                    </w:rPr>
                  </w:pPr>
                  <w:r>
                    <w:rPr>
                      <w:color w:val="auto"/>
                      <w:szCs w:val="21"/>
                      <w:u w:val="none"/>
                    </w:rPr>
                    <w:t>基础减震、厂房隔声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restart"/>
                  <w:vAlign w:val="center"/>
                </w:tcPr>
                <w:p>
                  <w:pPr>
                    <w:jc w:val="center"/>
                    <w:rPr>
                      <w:color w:val="auto"/>
                      <w:szCs w:val="21"/>
                      <w:u w:val="none"/>
                    </w:rPr>
                  </w:pPr>
                  <w:r>
                    <w:rPr>
                      <w:color w:val="auto"/>
                      <w:szCs w:val="21"/>
                      <w:u w:val="none"/>
                    </w:rPr>
                    <w:t>固废</w:t>
                  </w:r>
                </w:p>
              </w:tc>
              <w:tc>
                <w:tcPr>
                  <w:tcW w:w="1065" w:type="pct"/>
                  <w:vAlign w:val="center"/>
                </w:tcPr>
                <w:p>
                  <w:pPr>
                    <w:jc w:val="center"/>
                    <w:rPr>
                      <w:color w:val="auto"/>
                      <w:szCs w:val="21"/>
                      <w:u w:val="none"/>
                    </w:rPr>
                  </w:pPr>
                  <w:r>
                    <w:rPr>
                      <w:rFonts w:hint="eastAsia"/>
                      <w:color w:val="auto"/>
                      <w:szCs w:val="21"/>
                      <w:u w:val="none"/>
                    </w:rPr>
                    <w:t>原料挑选</w:t>
                  </w:r>
                </w:p>
              </w:tc>
              <w:tc>
                <w:tcPr>
                  <w:tcW w:w="799" w:type="pct"/>
                  <w:vAlign w:val="center"/>
                </w:tcPr>
                <w:p>
                  <w:pPr>
                    <w:jc w:val="center"/>
                    <w:rPr>
                      <w:color w:val="auto"/>
                      <w:szCs w:val="21"/>
                      <w:u w:val="none"/>
                    </w:rPr>
                  </w:pPr>
                  <w:r>
                    <w:rPr>
                      <w:rFonts w:hint="eastAsia"/>
                      <w:color w:val="auto"/>
                      <w:szCs w:val="21"/>
                      <w:u w:val="none"/>
                    </w:rPr>
                    <w:t>不合格原料</w:t>
                  </w:r>
                </w:p>
              </w:tc>
              <w:tc>
                <w:tcPr>
                  <w:tcW w:w="1421" w:type="pct"/>
                  <w:vMerge w:val="restart"/>
                  <w:vAlign w:val="center"/>
                </w:tcPr>
                <w:p>
                  <w:pPr>
                    <w:jc w:val="center"/>
                    <w:rPr>
                      <w:color w:val="auto"/>
                      <w:szCs w:val="21"/>
                      <w:u w:val="none"/>
                    </w:rPr>
                  </w:pPr>
                  <w:r>
                    <w:rPr>
                      <w:rFonts w:hint="eastAsia"/>
                      <w:color w:val="auto"/>
                      <w:szCs w:val="21"/>
                      <w:u w:val="none"/>
                    </w:rPr>
                    <w:t>一般工业固废</w:t>
                  </w:r>
                </w:p>
              </w:tc>
              <w:tc>
                <w:tcPr>
                  <w:tcW w:w="1203" w:type="pct"/>
                  <w:vMerge w:val="restart"/>
                  <w:vAlign w:val="center"/>
                </w:tcPr>
                <w:p>
                  <w:pPr>
                    <w:jc w:val="center"/>
                    <w:rPr>
                      <w:rFonts w:hint="eastAsia"/>
                      <w:color w:val="auto"/>
                      <w:szCs w:val="21"/>
                      <w:u w:val="none"/>
                    </w:rPr>
                  </w:pPr>
                  <w:r>
                    <w:rPr>
                      <w:rFonts w:hint="eastAsia"/>
                      <w:color w:val="auto"/>
                      <w:szCs w:val="21"/>
                      <w:u w:val="none"/>
                    </w:rPr>
                    <w:t>送相关单位综合回收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磨浆</w:t>
                  </w:r>
                </w:p>
              </w:tc>
              <w:tc>
                <w:tcPr>
                  <w:tcW w:w="799" w:type="pct"/>
                  <w:vAlign w:val="center"/>
                </w:tcPr>
                <w:p>
                  <w:pPr>
                    <w:jc w:val="center"/>
                    <w:rPr>
                      <w:color w:val="auto"/>
                      <w:szCs w:val="21"/>
                      <w:u w:val="none"/>
                    </w:rPr>
                  </w:pPr>
                  <w:r>
                    <w:rPr>
                      <w:rFonts w:hint="eastAsia"/>
                      <w:color w:val="auto"/>
                      <w:szCs w:val="21"/>
                      <w:u w:val="none"/>
                    </w:rPr>
                    <w:t>豆渣</w:t>
                  </w:r>
                </w:p>
              </w:tc>
              <w:tc>
                <w:tcPr>
                  <w:tcW w:w="1421" w:type="pct"/>
                  <w:vMerge w:val="continue"/>
                  <w:vAlign w:val="center"/>
                </w:tcPr>
                <w:p>
                  <w:pPr>
                    <w:jc w:val="center"/>
                    <w:rPr>
                      <w:color w:val="auto"/>
                      <w:szCs w:val="21"/>
                      <w:u w:val="none"/>
                    </w:rPr>
                  </w:pP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豆腐切块</w:t>
                  </w:r>
                </w:p>
              </w:tc>
              <w:tc>
                <w:tcPr>
                  <w:tcW w:w="799" w:type="pct"/>
                  <w:vAlign w:val="center"/>
                </w:tcPr>
                <w:p>
                  <w:pPr>
                    <w:jc w:val="center"/>
                    <w:rPr>
                      <w:color w:val="auto"/>
                      <w:szCs w:val="21"/>
                      <w:u w:val="none"/>
                    </w:rPr>
                  </w:pPr>
                  <w:r>
                    <w:rPr>
                      <w:rFonts w:hint="eastAsia"/>
                      <w:color w:val="auto"/>
                      <w:szCs w:val="21"/>
                      <w:u w:val="none"/>
                    </w:rPr>
                    <w:t>废边角料</w:t>
                  </w:r>
                </w:p>
              </w:tc>
              <w:tc>
                <w:tcPr>
                  <w:tcW w:w="1421" w:type="pct"/>
                  <w:vMerge w:val="continue"/>
                  <w:vAlign w:val="center"/>
                </w:tcPr>
                <w:p>
                  <w:pPr>
                    <w:jc w:val="center"/>
                    <w:rPr>
                      <w:color w:val="auto"/>
                      <w:szCs w:val="21"/>
                      <w:u w:val="none"/>
                    </w:rPr>
                  </w:pP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产品检验</w:t>
                  </w:r>
                </w:p>
              </w:tc>
              <w:tc>
                <w:tcPr>
                  <w:tcW w:w="799" w:type="pct"/>
                  <w:vAlign w:val="center"/>
                </w:tcPr>
                <w:p>
                  <w:pPr>
                    <w:jc w:val="center"/>
                    <w:rPr>
                      <w:color w:val="auto"/>
                      <w:szCs w:val="21"/>
                      <w:u w:val="none"/>
                    </w:rPr>
                  </w:pPr>
                  <w:r>
                    <w:rPr>
                      <w:rFonts w:hint="eastAsia"/>
                      <w:color w:val="auto"/>
                      <w:szCs w:val="21"/>
                      <w:u w:val="none"/>
                    </w:rPr>
                    <w:t>不合格产品、废检验样品</w:t>
                  </w:r>
                </w:p>
              </w:tc>
              <w:tc>
                <w:tcPr>
                  <w:tcW w:w="1421" w:type="pct"/>
                  <w:vMerge w:val="continue"/>
                  <w:vAlign w:val="center"/>
                </w:tcPr>
                <w:p>
                  <w:pPr>
                    <w:jc w:val="center"/>
                    <w:rPr>
                      <w:color w:val="auto"/>
                      <w:szCs w:val="21"/>
                      <w:u w:val="none"/>
                    </w:rPr>
                  </w:pP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原料拆包、产品包装</w:t>
                  </w:r>
                </w:p>
              </w:tc>
              <w:tc>
                <w:tcPr>
                  <w:tcW w:w="799" w:type="pct"/>
                  <w:vAlign w:val="center"/>
                </w:tcPr>
                <w:p>
                  <w:pPr>
                    <w:jc w:val="center"/>
                    <w:rPr>
                      <w:color w:val="auto"/>
                      <w:szCs w:val="21"/>
                      <w:u w:val="none"/>
                    </w:rPr>
                  </w:pPr>
                  <w:r>
                    <w:rPr>
                      <w:rFonts w:hint="eastAsia"/>
                      <w:color w:val="auto"/>
                      <w:szCs w:val="21"/>
                      <w:u w:val="none"/>
                    </w:rPr>
                    <w:t>废包装材料</w:t>
                  </w:r>
                </w:p>
              </w:tc>
              <w:tc>
                <w:tcPr>
                  <w:tcW w:w="1421" w:type="pct"/>
                  <w:vMerge w:val="continue"/>
                  <w:vAlign w:val="center"/>
                </w:tcPr>
                <w:p>
                  <w:pPr>
                    <w:jc w:val="center"/>
                    <w:rPr>
                      <w:color w:val="auto"/>
                      <w:szCs w:val="21"/>
                      <w:u w:val="none"/>
                    </w:rPr>
                  </w:pP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油烟净化器</w:t>
                  </w:r>
                </w:p>
              </w:tc>
              <w:tc>
                <w:tcPr>
                  <w:tcW w:w="799" w:type="pct"/>
                  <w:vAlign w:val="center"/>
                </w:tcPr>
                <w:p>
                  <w:pPr>
                    <w:jc w:val="center"/>
                    <w:rPr>
                      <w:color w:val="auto"/>
                      <w:szCs w:val="21"/>
                      <w:u w:val="none"/>
                    </w:rPr>
                  </w:pPr>
                  <w:r>
                    <w:rPr>
                      <w:rFonts w:hint="eastAsia"/>
                      <w:color w:val="auto"/>
                      <w:szCs w:val="21"/>
                      <w:u w:val="none"/>
                    </w:rPr>
                    <w:t>废油脂</w:t>
                  </w:r>
                </w:p>
              </w:tc>
              <w:tc>
                <w:tcPr>
                  <w:tcW w:w="1421" w:type="pct"/>
                  <w:vMerge w:val="continue"/>
                  <w:vAlign w:val="center"/>
                </w:tcPr>
                <w:p>
                  <w:pPr>
                    <w:jc w:val="center"/>
                    <w:rPr>
                      <w:color w:val="auto"/>
                      <w:szCs w:val="21"/>
                      <w:u w:val="none"/>
                    </w:rPr>
                  </w:pP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隔油池</w:t>
                  </w:r>
                </w:p>
              </w:tc>
              <w:tc>
                <w:tcPr>
                  <w:tcW w:w="799" w:type="pct"/>
                  <w:vAlign w:val="center"/>
                </w:tcPr>
                <w:p>
                  <w:pPr>
                    <w:jc w:val="center"/>
                    <w:rPr>
                      <w:color w:val="auto"/>
                      <w:szCs w:val="21"/>
                      <w:u w:val="none"/>
                    </w:rPr>
                  </w:pPr>
                  <w:r>
                    <w:rPr>
                      <w:rFonts w:hint="eastAsia"/>
                      <w:color w:val="auto"/>
                      <w:szCs w:val="21"/>
                      <w:u w:val="none"/>
                    </w:rPr>
                    <w:t>废油脂</w:t>
                  </w:r>
                </w:p>
              </w:tc>
              <w:tc>
                <w:tcPr>
                  <w:tcW w:w="1421" w:type="pct"/>
                  <w:vMerge w:val="continue"/>
                  <w:vAlign w:val="center"/>
                </w:tcPr>
                <w:p>
                  <w:pPr>
                    <w:jc w:val="center"/>
                    <w:rPr>
                      <w:color w:val="auto"/>
                      <w:szCs w:val="21"/>
                      <w:u w:val="none"/>
                    </w:rPr>
                  </w:pP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污水处理</w:t>
                  </w:r>
                </w:p>
              </w:tc>
              <w:tc>
                <w:tcPr>
                  <w:tcW w:w="799" w:type="pct"/>
                  <w:vAlign w:val="center"/>
                </w:tcPr>
                <w:p>
                  <w:pPr>
                    <w:jc w:val="center"/>
                    <w:rPr>
                      <w:color w:val="auto"/>
                      <w:szCs w:val="21"/>
                      <w:u w:val="none"/>
                    </w:rPr>
                  </w:pPr>
                  <w:r>
                    <w:rPr>
                      <w:rFonts w:hint="eastAsia"/>
                      <w:color w:val="auto"/>
                      <w:szCs w:val="21"/>
                      <w:u w:val="none"/>
                    </w:rPr>
                    <w:t>污泥</w:t>
                  </w:r>
                </w:p>
              </w:tc>
              <w:tc>
                <w:tcPr>
                  <w:tcW w:w="1421" w:type="pct"/>
                  <w:vMerge w:val="continue"/>
                  <w:vAlign w:val="center"/>
                </w:tcPr>
                <w:p>
                  <w:pPr>
                    <w:jc w:val="center"/>
                    <w:rPr>
                      <w:color w:val="auto"/>
                      <w:szCs w:val="21"/>
                      <w:u w:val="none"/>
                    </w:rPr>
                  </w:pP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纯水制备</w:t>
                  </w:r>
                </w:p>
              </w:tc>
              <w:tc>
                <w:tcPr>
                  <w:tcW w:w="799" w:type="pct"/>
                  <w:vAlign w:val="center"/>
                </w:tcPr>
                <w:p>
                  <w:pPr>
                    <w:jc w:val="center"/>
                    <w:rPr>
                      <w:color w:val="auto"/>
                      <w:szCs w:val="21"/>
                      <w:u w:val="none"/>
                    </w:rPr>
                  </w:pPr>
                  <w:r>
                    <w:rPr>
                      <w:rFonts w:hint="eastAsia"/>
                      <w:color w:val="auto"/>
                      <w:szCs w:val="21"/>
                      <w:u w:val="none"/>
                    </w:rPr>
                    <w:t>废过滤材料及反渗透膜</w:t>
                  </w:r>
                </w:p>
              </w:tc>
              <w:tc>
                <w:tcPr>
                  <w:tcW w:w="1421" w:type="pct"/>
                  <w:vMerge w:val="continue"/>
                  <w:vAlign w:val="center"/>
                </w:tcPr>
                <w:p>
                  <w:pPr>
                    <w:jc w:val="center"/>
                    <w:rPr>
                      <w:color w:val="auto"/>
                      <w:szCs w:val="21"/>
                      <w:u w:val="none"/>
                    </w:rPr>
                  </w:pPr>
                </w:p>
              </w:tc>
              <w:tc>
                <w:tcPr>
                  <w:tcW w:w="1203" w:type="pct"/>
                  <w:vMerge w:val="restart"/>
                  <w:vAlign w:val="center"/>
                </w:tcPr>
                <w:p>
                  <w:pPr>
                    <w:jc w:val="center"/>
                    <w:rPr>
                      <w:rFonts w:hint="eastAsia"/>
                      <w:color w:val="auto"/>
                      <w:szCs w:val="21"/>
                      <w:u w:val="none"/>
                    </w:rPr>
                  </w:pPr>
                  <w:r>
                    <w:rPr>
                      <w:rFonts w:hint="eastAsia"/>
                      <w:color w:val="auto"/>
                      <w:szCs w:val="21"/>
                      <w:u w:val="none"/>
                    </w:rPr>
                    <w:t>供应商回收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空气过滤系统</w:t>
                  </w:r>
                </w:p>
              </w:tc>
              <w:tc>
                <w:tcPr>
                  <w:tcW w:w="799" w:type="pct"/>
                  <w:vAlign w:val="center"/>
                </w:tcPr>
                <w:p>
                  <w:pPr>
                    <w:jc w:val="center"/>
                    <w:rPr>
                      <w:color w:val="auto"/>
                      <w:szCs w:val="21"/>
                      <w:u w:val="none"/>
                    </w:rPr>
                  </w:pPr>
                  <w:r>
                    <w:rPr>
                      <w:rFonts w:hint="eastAsia"/>
                      <w:color w:val="auto"/>
                      <w:szCs w:val="21"/>
                      <w:u w:val="none"/>
                    </w:rPr>
                    <w:t>废过滤材料</w:t>
                  </w:r>
                </w:p>
              </w:tc>
              <w:tc>
                <w:tcPr>
                  <w:tcW w:w="1421" w:type="pct"/>
                  <w:vMerge w:val="continue"/>
                  <w:vAlign w:val="center"/>
                </w:tcPr>
                <w:p>
                  <w:pPr>
                    <w:jc w:val="center"/>
                    <w:rPr>
                      <w:color w:val="auto"/>
                      <w:szCs w:val="21"/>
                      <w:u w:val="none"/>
                    </w:rPr>
                  </w:pP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紫外灭菌</w:t>
                  </w:r>
                </w:p>
              </w:tc>
              <w:tc>
                <w:tcPr>
                  <w:tcW w:w="799" w:type="pct"/>
                  <w:vAlign w:val="center"/>
                </w:tcPr>
                <w:p>
                  <w:pPr>
                    <w:jc w:val="center"/>
                    <w:rPr>
                      <w:color w:val="auto"/>
                      <w:szCs w:val="21"/>
                      <w:u w:val="none"/>
                    </w:rPr>
                  </w:pPr>
                  <w:r>
                    <w:rPr>
                      <w:rFonts w:hint="eastAsia"/>
                      <w:color w:val="auto"/>
                      <w:szCs w:val="21"/>
                      <w:u w:val="none"/>
                    </w:rPr>
                    <w:t>废紫外灯管</w:t>
                  </w:r>
                </w:p>
              </w:tc>
              <w:tc>
                <w:tcPr>
                  <w:tcW w:w="1421" w:type="pct"/>
                  <w:vMerge w:val="restart"/>
                  <w:vAlign w:val="center"/>
                </w:tcPr>
                <w:p>
                  <w:pPr>
                    <w:jc w:val="center"/>
                    <w:rPr>
                      <w:color w:val="auto"/>
                      <w:szCs w:val="21"/>
                      <w:u w:val="none"/>
                    </w:rPr>
                  </w:pPr>
                  <w:r>
                    <w:rPr>
                      <w:rFonts w:hint="eastAsia"/>
                      <w:color w:val="auto"/>
                      <w:szCs w:val="21"/>
                      <w:u w:val="none"/>
                    </w:rPr>
                    <w:t>危险废物</w:t>
                  </w:r>
                </w:p>
              </w:tc>
              <w:tc>
                <w:tcPr>
                  <w:tcW w:w="1203" w:type="pct"/>
                  <w:vMerge w:val="restart"/>
                  <w:vAlign w:val="center"/>
                </w:tcPr>
                <w:p>
                  <w:pPr>
                    <w:jc w:val="center"/>
                    <w:rPr>
                      <w:color w:val="auto"/>
                      <w:szCs w:val="21"/>
                      <w:u w:val="none"/>
                    </w:rPr>
                  </w:pPr>
                  <w:r>
                    <w:rPr>
                      <w:rFonts w:hint="eastAsia"/>
                      <w:color w:val="auto"/>
                      <w:szCs w:val="21"/>
                      <w:u w:val="none"/>
                    </w:rPr>
                    <w:t>有资质单位处置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设备维修</w:t>
                  </w:r>
                </w:p>
              </w:tc>
              <w:tc>
                <w:tcPr>
                  <w:tcW w:w="799" w:type="pct"/>
                  <w:vAlign w:val="center"/>
                </w:tcPr>
                <w:p>
                  <w:pPr>
                    <w:jc w:val="center"/>
                    <w:rPr>
                      <w:color w:val="auto"/>
                      <w:szCs w:val="21"/>
                      <w:u w:val="none"/>
                    </w:rPr>
                  </w:pPr>
                  <w:r>
                    <w:rPr>
                      <w:rFonts w:hint="eastAsia"/>
                      <w:color w:val="auto"/>
                      <w:szCs w:val="21"/>
                      <w:u w:val="none"/>
                    </w:rPr>
                    <w:t>废润滑油及废油桶</w:t>
                  </w:r>
                </w:p>
              </w:tc>
              <w:tc>
                <w:tcPr>
                  <w:tcW w:w="1421" w:type="pct"/>
                  <w:vMerge w:val="continue"/>
                  <w:vAlign w:val="center"/>
                </w:tcPr>
                <w:p>
                  <w:pPr>
                    <w:jc w:val="center"/>
                    <w:rPr>
                      <w:color w:val="auto"/>
                      <w:szCs w:val="21"/>
                      <w:u w:val="none"/>
                    </w:rPr>
                  </w:pP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color w:val="auto"/>
                      <w:szCs w:val="21"/>
                      <w:u w:val="none"/>
                    </w:rPr>
                  </w:pPr>
                  <w:r>
                    <w:rPr>
                      <w:rFonts w:hint="eastAsia"/>
                      <w:color w:val="auto"/>
                      <w:szCs w:val="21"/>
                      <w:u w:val="none"/>
                    </w:rPr>
                    <w:t>检验室</w:t>
                  </w:r>
                </w:p>
              </w:tc>
              <w:tc>
                <w:tcPr>
                  <w:tcW w:w="799" w:type="pct"/>
                  <w:vAlign w:val="center"/>
                </w:tcPr>
                <w:p>
                  <w:pPr>
                    <w:jc w:val="center"/>
                    <w:rPr>
                      <w:color w:val="auto"/>
                      <w:szCs w:val="21"/>
                      <w:u w:val="none"/>
                    </w:rPr>
                  </w:pPr>
                  <w:r>
                    <w:rPr>
                      <w:rFonts w:hint="eastAsia"/>
                      <w:color w:val="auto"/>
                      <w:szCs w:val="21"/>
                      <w:u w:val="none"/>
                    </w:rPr>
                    <w:t>废化学药品及包装瓶</w:t>
                  </w:r>
                </w:p>
              </w:tc>
              <w:tc>
                <w:tcPr>
                  <w:tcW w:w="1421" w:type="pct"/>
                  <w:vMerge w:val="continue"/>
                  <w:vAlign w:val="center"/>
                </w:tcPr>
                <w:p>
                  <w:pPr>
                    <w:jc w:val="center"/>
                    <w:rPr>
                      <w:color w:val="auto"/>
                      <w:szCs w:val="21"/>
                      <w:u w:val="none"/>
                    </w:rPr>
                  </w:pPr>
                </w:p>
              </w:tc>
              <w:tc>
                <w:tcPr>
                  <w:tcW w:w="1203" w:type="pct"/>
                  <w:vMerge w:val="continue"/>
                  <w:vAlign w:val="center"/>
                </w:tcPr>
                <w:p>
                  <w:pPr>
                    <w:jc w:val="center"/>
                    <w:rPr>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10" w:type="pct"/>
                  <w:vMerge w:val="continue"/>
                  <w:vAlign w:val="center"/>
                </w:tcPr>
                <w:p>
                  <w:pPr>
                    <w:jc w:val="center"/>
                    <w:rPr>
                      <w:color w:val="auto"/>
                      <w:szCs w:val="21"/>
                      <w:u w:val="none"/>
                    </w:rPr>
                  </w:pPr>
                </w:p>
              </w:tc>
              <w:tc>
                <w:tcPr>
                  <w:tcW w:w="1065" w:type="pct"/>
                  <w:vAlign w:val="center"/>
                </w:tcPr>
                <w:p>
                  <w:pPr>
                    <w:jc w:val="center"/>
                    <w:rPr>
                      <w:rFonts w:hint="eastAsia"/>
                      <w:color w:val="auto"/>
                      <w:szCs w:val="21"/>
                      <w:u w:val="none"/>
                    </w:rPr>
                  </w:pPr>
                  <w:r>
                    <w:rPr>
                      <w:rFonts w:hint="eastAsia"/>
                      <w:color w:val="auto"/>
                      <w:szCs w:val="21"/>
                      <w:u w:val="none"/>
                    </w:rPr>
                    <w:t>办公生活</w:t>
                  </w:r>
                </w:p>
              </w:tc>
              <w:tc>
                <w:tcPr>
                  <w:tcW w:w="799" w:type="pct"/>
                  <w:vAlign w:val="center"/>
                </w:tcPr>
                <w:p>
                  <w:pPr>
                    <w:jc w:val="center"/>
                    <w:rPr>
                      <w:rFonts w:hint="eastAsia"/>
                      <w:color w:val="auto"/>
                      <w:szCs w:val="21"/>
                      <w:u w:val="none"/>
                    </w:rPr>
                  </w:pPr>
                  <w:r>
                    <w:rPr>
                      <w:rFonts w:hint="eastAsia"/>
                      <w:color w:val="auto"/>
                      <w:szCs w:val="21"/>
                      <w:u w:val="none"/>
                    </w:rPr>
                    <w:t>生活垃圾</w:t>
                  </w:r>
                </w:p>
              </w:tc>
              <w:tc>
                <w:tcPr>
                  <w:tcW w:w="1421" w:type="pct"/>
                  <w:vAlign w:val="center"/>
                </w:tcPr>
                <w:p>
                  <w:pPr>
                    <w:jc w:val="center"/>
                    <w:rPr>
                      <w:color w:val="auto"/>
                      <w:szCs w:val="21"/>
                      <w:u w:val="none"/>
                    </w:rPr>
                  </w:pPr>
                  <w:r>
                    <w:rPr>
                      <w:rFonts w:hint="eastAsia"/>
                      <w:color w:val="auto"/>
                      <w:szCs w:val="21"/>
                      <w:u w:val="none"/>
                    </w:rPr>
                    <w:t>生活垃圾</w:t>
                  </w:r>
                </w:p>
              </w:tc>
              <w:tc>
                <w:tcPr>
                  <w:tcW w:w="1203" w:type="pct"/>
                  <w:vAlign w:val="center"/>
                </w:tcPr>
                <w:p>
                  <w:pPr>
                    <w:jc w:val="center"/>
                    <w:rPr>
                      <w:color w:val="auto"/>
                      <w:szCs w:val="21"/>
                      <w:u w:val="none"/>
                    </w:rPr>
                  </w:pPr>
                  <w:r>
                    <w:rPr>
                      <w:rFonts w:hint="eastAsia"/>
                      <w:color w:val="auto"/>
                      <w:szCs w:val="21"/>
                      <w:u w:val="none"/>
                    </w:rPr>
                    <w:t>环卫部门处置</w:t>
                  </w:r>
                </w:p>
              </w:tc>
            </w:tr>
          </w:tbl>
          <w:p>
            <w:pPr>
              <w:spacing w:line="360" w:lineRule="auto"/>
              <w:ind w:firstLine="480" w:firstLineChars="200"/>
              <w:rPr>
                <w:color w:val="auto"/>
                <w:sz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261" w:type="pct"/>
            <w:vAlign w:val="center"/>
          </w:tcPr>
          <w:p>
            <w:pPr>
              <w:pStyle w:val="23"/>
              <w:adjustRightInd w:val="0"/>
              <w:snapToGrid w:val="0"/>
              <w:spacing w:before="0" w:beforeAutospacing="0" w:after="0" w:afterAutospacing="0"/>
              <w:jc w:val="center"/>
              <w:rPr>
                <w:rFonts w:ascii="Times New Roman" w:hAnsi="Times New Roman"/>
                <w:color w:val="auto"/>
                <w:szCs w:val="24"/>
                <w:u w:val="none"/>
                <w:lang w:val="en-US" w:eastAsia="zh-CN"/>
              </w:rPr>
            </w:pPr>
            <w:r>
              <w:rPr>
                <w:rFonts w:ascii="Times New Roman" w:hAnsi="Times New Roman"/>
                <w:bCs/>
                <w:color w:val="auto"/>
                <w:kern w:val="2"/>
                <w:szCs w:val="24"/>
                <w:u w:val="none"/>
                <w:lang w:val="en-US" w:eastAsia="zh-CN"/>
              </w:rPr>
              <w:t>与项目有关的原有环境污染问题</w:t>
            </w:r>
          </w:p>
        </w:tc>
        <w:tc>
          <w:tcPr>
            <w:tcW w:w="4738" w:type="pct"/>
            <w:vAlign w:val="center"/>
          </w:tcPr>
          <w:p>
            <w:pPr>
              <w:spacing w:line="360" w:lineRule="auto"/>
              <w:rPr>
                <w:b/>
                <w:bCs/>
                <w:color w:val="auto"/>
                <w:sz w:val="24"/>
                <w:u w:val="none"/>
              </w:rPr>
            </w:pPr>
            <w:r>
              <w:rPr>
                <w:rFonts w:hint="eastAsia"/>
                <w:b/>
                <w:bCs/>
                <w:color w:val="auto"/>
                <w:sz w:val="24"/>
                <w:u w:val="none"/>
              </w:rPr>
              <w:t>2.12</w:t>
            </w:r>
            <w:r>
              <w:rPr>
                <w:rFonts w:hint="eastAsia"/>
                <w:b/>
                <w:bCs/>
                <w:color w:val="auto"/>
                <w:sz w:val="24"/>
                <w:u w:val="none"/>
                <w:lang w:val="en-US" w:eastAsia="zh-CN"/>
              </w:rPr>
              <w:t xml:space="preserve"> </w:t>
            </w:r>
            <w:r>
              <w:rPr>
                <w:rFonts w:hint="eastAsia"/>
                <w:b/>
                <w:bCs/>
                <w:color w:val="auto"/>
                <w:sz w:val="24"/>
                <w:u w:val="none"/>
              </w:rPr>
              <w:t>搬迁前原场址环境污染问题</w:t>
            </w:r>
          </w:p>
          <w:p>
            <w:pPr>
              <w:spacing w:line="360" w:lineRule="auto"/>
              <w:ind w:firstLine="482" w:firstLineChars="200"/>
              <w:rPr>
                <w:rFonts w:hint="eastAsia"/>
                <w:color w:val="auto"/>
                <w:sz w:val="24"/>
                <w:u w:val="none"/>
                <w:lang w:val="en-US" w:eastAsia="zh-CN"/>
              </w:rPr>
            </w:pPr>
            <w:r>
              <w:rPr>
                <w:rFonts w:hint="eastAsia"/>
                <w:b/>
                <w:bCs/>
                <w:color w:val="auto"/>
                <w:sz w:val="24"/>
                <w:u w:val="none"/>
              </w:rPr>
              <w:t xml:space="preserve">2.12.1 </w:t>
            </w:r>
            <w:r>
              <w:rPr>
                <w:rFonts w:hint="eastAsia"/>
                <w:b/>
                <w:bCs/>
                <w:color w:val="auto"/>
                <w:sz w:val="24"/>
                <w:u w:val="none"/>
                <w:lang w:val="en-US" w:eastAsia="zh-CN"/>
              </w:rPr>
              <w:t>老厂概况</w:t>
            </w:r>
          </w:p>
          <w:p>
            <w:pPr>
              <w:spacing w:line="360" w:lineRule="auto"/>
              <w:ind w:firstLine="480" w:firstLineChars="200"/>
              <w:rPr>
                <w:rFonts w:hint="eastAsia"/>
                <w:color w:val="auto"/>
                <w:sz w:val="24"/>
                <w:u w:val="none"/>
              </w:rPr>
            </w:pPr>
            <w:r>
              <w:rPr>
                <w:color w:val="auto"/>
                <w:sz w:val="24"/>
                <w:u w:val="none"/>
              </w:rPr>
              <w:t>湖南金甸甸食品有限公司成立于2008年4月9日，</w:t>
            </w:r>
            <w:r>
              <w:rPr>
                <w:rFonts w:hint="eastAsia"/>
                <w:color w:val="auto"/>
                <w:sz w:val="24"/>
                <w:u w:val="none"/>
              </w:rPr>
              <w:t>原生产场址位于岳阳市湘阴县洋沙湖镇金龙村，占地面积1860m</w:t>
            </w:r>
            <w:r>
              <w:rPr>
                <w:rFonts w:hint="eastAsia"/>
                <w:color w:val="auto"/>
                <w:sz w:val="24"/>
                <w:u w:val="none"/>
                <w:vertAlign w:val="superscript"/>
              </w:rPr>
              <w:t>2</w:t>
            </w:r>
            <w:r>
              <w:rPr>
                <w:rFonts w:hint="eastAsia"/>
                <w:color w:val="auto"/>
                <w:sz w:val="24"/>
                <w:u w:val="none"/>
              </w:rPr>
              <w:t>，2008年委托编制环境影响报告表，并于2008年6月2日取得原湘阴县环境保护局审查意见</w:t>
            </w:r>
            <w:r>
              <w:rPr>
                <w:rFonts w:hint="eastAsia"/>
                <w:color w:val="auto"/>
                <w:sz w:val="24"/>
                <w:u w:val="none"/>
                <w:lang w:eastAsia="zh-CN"/>
              </w:rPr>
              <w:t>（</w:t>
            </w:r>
            <w:r>
              <w:rPr>
                <w:rFonts w:hint="eastAsia"/>
                <w:color w:val="auto"/>
                <w:sz w:val="24"/>
                <w:u w:val="none"/>
                <w:lang w:val="en-US" w:eastAsia="zh-CN"/>
              </w:rPr>
              <w:t>附件10</w:t>
            </w:r>
            <w:r>
              <w:rPr>
                <w:rFonts w:hint="eastAsia"/>
                <w:color w:val="auto"/>
                <w:sz w:val="24"/>
                <w:u w:val="none"/>
                <w:lang w:eastAsia="zh-CN"/>
              </w:rPr>
              <w:t>）</w:t>
            </w:r>
            <w:r>
              <w:rPr>
                <w:rFonts w:hint="eastAsia"/>
                <w:color w:val="auto"/>
                <w:sz w:val="24"/>
                <w:u w:val="none"/>
              </w:rPr>
              <w:t>，于2009年6月30日通过环保验收（附件</w:t>
            </w:r>
            <w:r>
              <w:rPr>
                <w:rFonts w:hint="eastAsia"/>
                <w:color w:val="auto"/>
                <w:sz w:val="24"/>
                <w:u w:val="none"/>
                <w:lang w:val="en-US" w:eastAsia="zh-CN"/>
              </w:rPr>
              <w:t>11</w:t>
            </w:r>
            <w:r>
              <w:rPr>
                <w:rFonts w:hint="eastAsia"/>
                <w:color w:val="auto"/>
                <w:sz w:val="24"/>
                <w:u w:val="none"/>
              </w:rPr>
              <w:t>）</w:t>
            </w:r>
            <w:r>
              <w:rPr>
                <w:rFonts w:hint="eastAsia"/>
                <w:color w:val="auto"/>
                <w:sz w:val="24"/>
                <w:u w:val="none"/>
                <w:lang w:eastAsia="zh-CN"/>
              </w:rPr>
              <w:t>，</w:t>
            </w:r>
            <w:r>
              <w:rPr>
                <w:rFonts w:hint="eastAsia"/>
                <w:color w:val="auto"/>
                <w:sz w:val="24"/>
                <w:u w:val="none"/>
                <w:lang w:val="en-US" w:eastAsia="zh-CN"/>
              </w:rPr>
              <w:t>于2023年8月18日变更排污许可登记（附件12）</w:t>
            </w:r>
            <w:r>
              <w:rPr>
                <w:rFonts w:hint="eastAsia"/>
                <w:color w:val="auto"/>
                <w:sz w:val="24"/>
                <w:u w:val="none"/>
              </w:rPr>
              <w:t>。老厂主要外购豆豉、辣椒、植物油等生产麻辣豆豉、油辣椒约2000吨/年。</w:t>
            </w:r>
          </w:p>
          <w:p>
            <w:pPr>
              <w:spacing w:line="360" w:lineRule="auto"/>
              <w:ind w:firstLine="480" w:firstLineChars="200"/>
              <w:rPr>
                <w:rFonts w:hint="default" w:eastAsia="宋体"/>
                <w:color w:val="auto"/>
                <w:sz w:val="24"/>
                <w:u w:val="none"/>
                <w:lang w:val="en-US" w:eastAsia="zh-CN"/>
              </w:rPr>
            </w:pPr>
            <w:r>
              <w:rPr>
                <w:rFonts w:hint="eastAsia"/>
                <w:color w:val="auto"/>
                <w:sz w:val="24"/>
                <w:u w:val="none"/>
                <w:lang w:val="en-US" w:eastAsia="zh-CN"/>
              </w:rPr>
              <w:t>老厂区工程内容见下表：</w:t>
            </w:r>
          </w:p>
          <w:p>
            <w:pPr>
              <w:spacing w:line="360" w:lineRule="auto"/>
              <w:jc w:val="center"/>
              <w:rPr>
                <w:rFonts w:hint="default" w:eastAsia="宋体"/>
                <w:b/>
                <w:bCs/>
                <w:color w:val="auto"/>
                <w:sz w:val="24"/>
                <w:u w:val="none"/>
                <w:lang w:val="en-US" w:eastAsia="zh-CN"/>
              </w:rPr>
            </w:pPr>
            <w:r>
              <w:rPr>
                <w:rFonts w:hint="eastAsia"/>
                <w:b/>
                <w:bCs/>
                <w:color w:val="auto"/>
                <w:sz w:val="24"/>
                <w:u w:val="none"/>
                <w:lang w:val="en-US" w:eastAsia="zh-CN"/>
              </w:rPr>
              <w:t>表2-12-1 老厂区工程内容</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57"/>
              <w:gridCol w:w="1342"/>
              <w:gridCol w:w="617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Align w:val="center"/>
                </w:tcPr>
                <w:p>
                  <w:pPr>
                    <w:jc w:val="center"/>
                    <w:rPr>
                      <w:b/>
                      <w:color w:val="auto"/>
                      <w:szCs w:val="21"/>
                      <w:u w:val="none"/>
                    </w:rPr>
                  </w:pPr>
                  <w:r>
                    <w:rPr>
                      <w:b/>
                      <w:color w:val="auto"/>
                      <w:szCs w:val="21"/>
                      <w:u w:val="none"/>
                    </w:rPr>
                    <w:t>类别</w:t>
                  </w:r>
                </w:p>
              </w:tc>
              <w:tc>
                <w:tcPr>
                  <w:tcW w:w="801" w:type="pct"/>
                  <w:vAlign w:val="center"/>
                </w:tcPr>
                <w:p>
                  <w:pPr>
                    <w:jc w:val="center"/>
                    <w:rPr>
                      <w:b/>
                      <w:color w:val="auto"/>
                      <w:szCs w:val="21"/>
                      <w:u w:val="none"/>
                    </w:rPr>
                  </w:pPr>
                  <w:r>
                    <w:rPr>
                      <w:b/>
                      <w:color w:val="auto"/>
                      <w:szCs w:val="21"/>
                      <w:u w:val="none"/>
                    </w:rPr>
                    <w:t>名称</w:t>
                  </w:r>
                </w:p>
              </w:tc>
              <w:tc>
                <w:tcPr>
                  <w:tcW w:w="3686" w:type="pct"/>
                  <w:vAlign w:val="center"/>
                </w:tcPr>
                <w:p>
                  <w:pPr>
                    <w:jc w:val="center"/>
                    <w:rPr>
                      <w:b/>
                      <w:color w:val="auto"/>
                      <w:szCs w:val="21"/>
                      <w:u w:val="none"/>
                    </w:rPr>
                  </w:pPr>
                  <w:r>
                    <w:rPr>
                      <w:b/>
                      <w:color w:val="auto"/>
                      <w:szCs w:val="21"/>
                      <w:u w:val="none"/>
                    </w:rPr>
                    <w:t>工程内容及规模</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restart"/>
                  <w:vAlign w:val="center"/>
                </w:tcPr>
                <w:p>
                  <w:pPr>
                    <w:jc w:val="center"/>
                    <w:rPr>
                      <w:color w:val="auto"/>
                      <w:szCs w:val="21"/>
                      <w:u w:val="none"/>
                    </w:rPr>
                  </w:pPr>
                  <w:r>
                    <w:rPr>
                      <w:color w:val="auto"/>
                      <w:szCs w:val="21"/>
                      <w:u w:val="none"/>
                    </w:rPr>
                    <w:t>主体工程</w:t>
                  </w:r>
                </w:p>
              </w:tc>
              <w:tc>
                <w:tcPr>
                  <w:tcW w:w="801" w:type="pct"/>
                  <w:vAlign w:val="center"/>
                </w:tcPr>
                <w:p>
                  <w:pPr>
                    <w:adjustRightInd w:val="0"/>
                    <w:snapToGrid w:val="0"/>
                    <w:jc w:val="center"/>
                    <w:rPr>
                      <w:rFonts w:hint="default" w:eastAsia="宋体"/>
                      <w:color w:val="auto"/>
                      <w:szCs w:val="21"/>
                      <w:u w:val="none"/>
                      <w:lang w:val="en-US" w:eastAsia="zh-CN"/>
                    </w:rPr>
                  </w:pPr>
                  <w:r>
                    <w:rPr>
                      <w:rFonts w:hint="eastAsia"/>
                      <w:color w:val="auto"/>
                      <w:szCs w:val="21"/>
                      <w:u w:val="none"/>
                      <w:lang w:val="en-US" w:eastAsia="zh-CN"/>
                    </w:rPr>
                    <w:t>生产车间</w:t>
                  </w:r>
                </w:p>
              </w:tc>
              <w:tc>
                <w:tcPr>
                  <w:tcW w:w="3686" w:type="pct"/>
                  <w:vAlign w:val="center"/>
                </w:tcPr>
                <w:p>
                  <w:pPr>
                    <w:jc w:val="center"/>
                    <w:rPr>
                      <w:rFonts w:hint="default" w:eastAsia="宋体"/>
                      <w:color w:val="auto"/>
                      <w:szCs w:val="21"/>
                      <w:u w:val="none"/>
                      <w:vertAlign w:val="baseline"/>
                      <w:lang w:val="en-US" w:eastAsia="zh-CN"/>
                    </w:rPr>
                  </w:pPr>
                  <w:r>
                    <w:rPr>
                      <w:rFonts w:hint="eastAsia"/>
                      <w:color w:val="auto"/>
                      <w:szCs w:val="21"/>
                      <w:u w:val="none"/>
                      <w:lang w:val="en-US" w:eastAsia="zh-CN"/>
                    </w:rPr>
                    <w:t>建筑面积约500m</w:t>
                  </w:r>
                  <w:r>
                    <w:rPr>
                      <w:rFonts w:hint="eastAsia"/>
                      <w:color w:val="auto"/>
                      <w:szCs w:val="21"/>
                      <w:u w:val="none"/>
                      <w:vertAlign w:val="superscript"/>
                      <w:lang w:val="en-US" w:eastAsia="zh-CN"/>
                    </w:rPr>
                    <w:t>2</w:t>
                  </w:r>
                  <w:r>
                    <w:rPr>
                      <w:rFonts w:hint="eastAsia"/>
                      <w:color w:val="auto"/>
                      <w:szCs w:val="21"/>
                      <w:u w:val="none"/>
                      <w:vertAlign w:val="baseline"/>
                      <w:lang w:val="en-US" w:eastAsia="zh-CN"/>
                    </w:rPr>
                    <w:t>，设置豆豉生产线，</w:t>
                  </w:r>
                  <w:r>
                    <w:rPr>
                      <w:color w:val="auto"/>
                      <w:szCs w:val="21"/>
                      <w:u w:val="none"/>
                    </w:rPr>
                    <w:t>油辣椒生产线</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continue"/>
                  <w:vAlign w:val="center"/>
                </w:tcPr>
                <w:p>
                  <w:pPr>
                    <w:jc w:val="center"/>
                    <w:rPr>
                      <w:color w:val="auto"/>
                      <w:szCs w:val="21"/>
                      <w:u w:val="none"/>
                    </w:rPr>
                  </w:pPr>
                </w:p>
              </w:tc>
              <w:tc>
                <w:tcPr>
                  <w:tcW w:w="801" w:type="pct"/>
                  <w:vAlign w:val="center"/>
                </w:tcPr>
                <w:p>
                  <w:pPr>
                    <w:adjustRightInd w:val="0"/>
                    <w:snapToGrid w:val="0"/>
                    <w:jc w:val="center"/>
                    <w:rPr>
                      <w:rFonts w:hint="default"/>
                      <w:color w:val="auto"/>
                      <w:szCs w:val="21"/>
                      <w:u w:val="none"/>
                      <w:lang w:val="en-US" w:eastAsia="zh-CN"/>
                    </w:rPr>
                  </w:pPr>
                  <w:r>
                    <w:rPr>
                      <w:rFonts w:hint="eastAsia"/>
                      <w:color w:val="auto"/>
                      <w:szCs w:val="21"/>
                      <w:u w:val="none"/>
                      <w:lang w:val="en-US" w:eastAsia="zh-CN"/>
                    </w:rPr>
                    <w:t>仓库</w:t>
                  </w:r>
                </w:p>
              </w:tc>
              <w:tc>
                <w:tcPr>
                  <w:tcW w:w="3686" w:type="pct"/>
                  <w:vAlign w:val="center"/>
                </w:tcPr>
                <w:p>
                  <w:pPr>
                    <w:jc w:val="center"/>
                    <w:rPr>
                      <w:rFonts w:hint="eastAsia"/>
                      <w:color w:val="auto"/>
                      <w:szCs w:val="21"/>
                      <w:u w:val="none"/>
                      <w:lang w:val="en-US" w:eastAsia="zh-CN"/>
                    </w:rPr>
                  </w:pPr>
                  <w:r>
                    <w:rPr>
                      <w:rFonts w:hint="eastAsia"/>
                      <w:color w:val="auto"/>
                      <w:szCs w:val="21"/>
                      <w:u w:val="none"/>
                      <w:lang w:val="en-US" w:eastAsia="zh-CN"/>
                    </w:rPr>
                    <w:t>建筑面积约500m</w:t>
                  </w:r>
                  <w:r>
                    <w:rPr>
                      <w:rFonts w:hint="eastAsia"/>
                      <w:color w:val="auto"/>
                      <w:szCs w:val="21"/>
                      <w:u w:val="none"/>
                      <w:vertAlign w:val="superscript"/>
                      <w:lang w:val="en-US" w:eastAsia="zh-CN"/>
                    </w:rPr>
                    <w:t>2</w:t>
                  </w:r>
                  <w:r>
                    <w:rPr>
                      <w:rFonts w:hint="eastAsia"/>
                      <w:color w:val="auto"/>
                      <w:szCs w:val="21"/>
                      <w:u w:val="none"/>
                      <w:lang w:val="en-US" w:eastAsia="zh-CN"/>
                    </w:rPr>
                    <w:t>，设置原料区、产品区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restart"/>
                  <w:vAlign w:val="center"/>
                </w:tcPr>
                <w:p>
                  <w:pPr>
                    <w:jc w:val="center"/>
                    <w:rPr>
                      <w:color w:val="auto"/>
                      <w:szCs w:val="21"/>
                      <w:u w:val="none"/>
                    </w:rPr>
                  </w:pPr>
                  <w:r>
                    <w:rPr>
                      <w:color w:val="auto"/>
                      <w:szCs w:val="21"/>
                      <w:u w:val="none"/>
                    </w:rPr>
                    <w:t>辅助工程</w:t>
                  </w:r>
                </w:p>
              </w:tc>
              <w:tc>
                <w:tcPr>
                  <w:tcW w:w="801" w:type="pct"/>
                  <w:vAlign w:val="center"/>
                </w:tcPr>
                <w:p>
                  <w:pPr>
                    <w:jc w:val="center"/>
                    <w:rPr>
                      <w:color w:val="auto"/>
                      <w:szCs w:val="21"/>
                      <w:u w:val="none"/>
                    </w:rPr>
                  </w:pPr>
                  <w:r>
                    <w:rPr>
                      <w:rFonts w:hint="eastAsia"/>
                      <w:color w:val="auto"/>
                      <w:szCs w:val="21"/>
                      <w:u w:val="none"/>
                    </w:rPr>
                    <w:t>办公</w:t>
                  </w:r>
                  <w:r>
                    <w:rPr>
                      <w:rFonts w:hint="eastAsia"/>
                      <w:color w:val="auto"/>
                      <w:szCs w:val="21"/>
                      <w:u w:val="none"/>
                      <w:lang w:val="en-US" w:eastAsia="zh-CN"/>
                    </w:rPr>
                    <w:t>生活</w:t>
                  </w:r>
                  <w:r>
                    <w:rPr>
                      <w:rFonts w:hint="eastAsia"/>
                      <w:color w:val="auto"/>
                      <w:szCs w:val="21"/>
                      <w:u w:val="none"/>
                    </w:rPr>
                    <w:t>楼</w:t>
                  </w:r>
                </w:p>
              </w:tc>
              <w:tc>
                <w:tcPr>
                  <w:tcW w:w="3686"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设置办公室、宿舍</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continue"/>
                  <w:vAlign w:val="center"/>
                </w:tcPr>
                <w:p>
                  <w:pPr>
                    <w:jc w:val="center"/>
                    <w:rPr>
                      <w:color w:val="auto"/>
                      <w:szCs w:val="21"/>
                      <w:u w:val="none"/>
                    </w:rPr>
                  </w:pPr>
                </w:p>
              </w:tc>
              <w:tc>
                <w:tcPr>
                  <w:tcW w:w="801" w:type="pct"/>
                  <w:vAlign w:val="center"/>
                </w:tcPr>
                <w:p>
                  <w:pPr>
                    <w:jc w:val="center"/>
                    <w:rPr>
                      <w:color w:val="auto"/>
                      <w:szCs w:val="21"/>
                      <w:u w:val="none"/>
                    </w:rPr>
                  </w:pPr>
                  <w:r>
                    <w:rPr>
                      <w:rFonts w:hint="eastAsia"/>
                      <w:color w:val="auto"/>
                      <w:szCs w:val="21"/>
                      <w:u w:val="none"/>
                    </w:rPr>
                    <w:t>锅炉房</w:t>
                  </w:r>
                </w:p>
              </w:tc>
              <w:tc>
                <w:tcPr>
                  <w:tcW w:w="3686"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设置0.5t生物质蒸汽发生器1台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continue"/>
                  <w:vAlign w:val="center"/>
                </w:tcPr>
                <w:p>
                  <w:pPr>
                    <w:jc w:val="center"/>
                    <w:rPr>
                      <w:color w:val="auto"/>
                      <w:szCs w:val="21"/>
                      <w:u w:val="none"/>
                    </w:rPr>
                  </w:pPr>
                </w:p>
              </w:tc>
              <w:tc>
                <w:tcPr>
                  <w:tcW w:w="801" w:type="pct"/>
                  <w:vAlign w:val="center"/>
                </w:tcPr>
                <w:p>
                  <w:pPr>
                    <w:jc w:val="center"/>
                    <w:rPr>
                      <w:color w:val="auto"/>
                      <w:szCs w:val="21"/>
                      <w:u w:val="none"/>
                    </w:rPr>
                  </w:pPr>
                  <w:r>
                    <w:rPr>
                      <w:rFonts w:hint="eastAsia"/>
                      <w:color w:val="auto"/>
                      <w:szCs w:val="21"/>
                      <w:u w:val="none"/>
                    </w:rPr>
                    <w:t>食用油罐区</w:t>
                  </w:r>
                </w:p>
              </w:tc>
              <w:tc>
                <w:tcPr>
                  <w:tcW w:w="3686"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1个</w:t>
                  </w:r>
                  <w:r>
                    <w:rPr>
                      <w:rFonts w:hint="eastAsia"/>
                      <w:color w:val="auto"/>
                      <w:szCs w:val="21"/>
                      <w:highlight w:val="none"/>
                      <w:u w:val="none"/>
                      <w:lang w:val="en-US" w:eastAsia="zh-CN"/>
                    </w:rPr>
                    <w:t>80t</w:t>
                  </w:r>
                  <w:r>
                    <w:rPr>
                      <w:rFonts w:hint="eastAsia"/>
                      <w:color w:val="auto"/>
                      <w:szCs w:val="21"/>
                      <w:u w:val="none"/>
                      <w:lang w:val="en-US" w:eastAsia="zh-CN"/>
                    </w:rPr>
                    <w:t>食用油罐</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restart"/>
                  <w:vAlign w:val="center"/>
                </w:tcPr>
                <w:p>
                  <w:pPr>
                    <w:jc w:val="center"/>
                    <w:rPr>
                      <w:color w:val="auto"/>
                      <w:szCs w:val="21"/>
                      <w:u w:val="none"/>
                    </w:rPr>
                  </w:pPr>
                  <w:r>
                    <w:rPr>
                      <w:color w:val="auto"/>
                      <w:szCs w:val="21"/>
                      <w:u w:val="none"/>
                    </w:rPr>
                    <w:t>公用工程</w:t>
                  </w:r>
                </w:p>
              </w:tc>
              <w:tc>
                <w:tcPr>
                  <w:tcW w:w="801" w:type="pct"/>
                  <w:vAlign w:val="center"/>
                </w:tcPr>
                <w:p>
                  <w:pPr>
                    <w:jc w:val="center"/>
                    <w:rPr>
                      <w:color w:val="auto"/>
                      <w:szCs w:val="21"/>
                      <w:u w:val="none"/>
                    </w:rPr>
                  </w:pPr>
                  <w:r>
                    <w:rPr>
                      <w:color w:val="auto"/>
                      <w:szCs w:val="21"/>
                      <w:u w:val="none"/>
                    </w:rPr>
                    <w:t>供水</w:t>
                  </w:r>
                </w:p>
              </w:tc>
              <w:tc>
                <w:tcPr>
                  <w:tcW w:w="3686"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市政供水</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continue"/>
                  <w:vAlign w:val="center"/>
                </w:tcPr>
                <w:p>
                  <w:pPr>
                    <w:jc w:val="center"/>
                    <w:rPr>
                      <w:color w:val="auto"/>
                      <w:szCs w:val="21"/>
                      <w:u w:val="none"/>
                    </w:rPr>
                  </w:pPr>
                </w:p>
              </w:tc>
              <w:tc>
                <w:tcPr>
                  <w:tcW w:w="801" w:type="pct"/>
                  <w:vAlign w:val="center"/>
                </w:tcPr>
                <w:p>
                  <w:pPr>
                    <w:jc w:val="center"/>
                    <w:rPr>
                      <w:rFonts w:hint="eastAsia" w:eastAsia="宋体"/>
                      <w:color w:val="auto"/>
                      <w:szCs w:val="21"/>
                      <w:u w:val="none"/>
                      <w:lang w:val="en-US" w:eastAsia="zh-CN"/>
                    </w:rPr>
                  </w:pPr>
                  <w:r>
                    <w:rPr>
                      <w:rFonts w:hint="eastAsia"/>
                      <w:color w:val="auto"/>
                      <w:szCs w:val="21"/>
                      <w:u w:val="none"/>
                      <w:lang w:val="en-US" w:eastAsia="zh-CN"/>
                    </w:rPr>
                    <w:t>排水</w:t>
                  </w:r>
                </w:p>
              </w:tc>
              <w:tc>
                <w:tcPr>
                  <w:tcW w:w="3686" w:type="pct"/>
                  <w:vAlign w:val="center"/>
                </w:tcPr>
                <w:p>
                  <w:pPr>
                    <w:jc w:val="center"/>
                    <w:rPr>
                      <w:rFonts w:hint="default"/>
                      <w:color w:val="auto"/>
                      <w:szCs w:val="21"/>
                      <w:u w:val="none"/>
                      <w:lang w:val="en-US" w:eastAsia="zh-CN"/>
                    </w:rPr>
                  </w:pPr>
                  <w:r>
                    <w:rPr>
                      <w:rFonts w:hint="eastAsia"/>
                      <w:color w:val="auto"/>
                      <w:szCs w:val="21"/>
                      <w:u w:val="none"/>
                      <w:lang w:val="en-US" w:eastAsia="zh-CN"/>
                    </w:rPr>
                    <w:t>废水回用于周边农田灌溉施肥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continue"/>
                  <w:vAlign w:val="center"/>
                </w:tcPr>
                <w:p>
                  <w:pPr>
                    <w:jc w:val="center"/>
                    <w:rPr>
                      <w:color w:val="auto"/>
                      <w:szCs w:val="21"/>
                      <w:u w:val="none"/>
                    </w:rPr>
                  </w:pPr>
                </w:p>
              </w:tc>
              <w:tc>
                <w:tcPr>
                  <w:tcW w:w="801" w:type="pct"/>
                  <w:vAlign w:val="center"/>
                </w:tcPr>
                <w:p>
                  <w:pPr>
                    <w:jc w:val="center"/>
                    <w:rPr>
                      <w:color w:val="auto"/>
                      <w:szCs w:val="21"/>
                      <w:u w:val="none"/>
                    </w:rPr>
                  </w:pPr>
                  <w:r>
                    <w:rPr>
                      <w:color w:val="auto"/>
                      <w:szCs w:val="21"/>
                      <w:u w:val="none"/>
                    </w:rPr>
                    <w:t>供电</w:t>
                  </w:r>
                </w:p>
              </w:tc>
              <w:tc>
                <w:tcPr>
                  <w:tcW w:w="3686"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市政供电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restart"/>
                  <w:vAlign w:val="center"/>
                </w:tcPr>
                <w:p>
                  <w:pPr>
                    <w:jc w:val="center"/>
                    <w:rPr>
                      <w:color w:val="auto"/>
                      <w:szCs w:val="21"/>
                      <w:u w:val="none"/>
                    </w:rPr>
                  </w:pPr>
                  <w:r>
                    <w:rPr>
                      <w:color w:val="auto"/>
                      <w:szCs w:val="21"/>
                      <w:u w:val="none"/>
                    </w:rPr>
                    <w:t>环保工程</w:t>
                  </w:r>
                </w:p>
              </w:tc>
              <w:tc>
                <w:tcPr>
                  <w:tcW w:w="801" w:type="pct"/>
                  <w:vAlign w:val="center"/>
                </w:tcPr>
                <w:p>
                  <w:pPr>
                    <w:jc w:val="center"/>
                    <w:rPr>
                      <w:color w:val="auto"/>
                      <w:szCs w:val="21"/>
                      <w:u w:val="none"/>
                    </w:rPr>
                  </w:pPr>
                  <w:r>
                    <w:rPr>
                      <w:color w:val="auto"/>
                      <w:szCs w:val="21"/>
                      <w:u w:val="none"/>
                    </w:rPr>
                    <w:t>废</w:t>
                  </w:r>
                  <w:r>
                    <w:rPr>
                      <w:rFonts w:hint="eastAsia"/>
                      <w:color w:val="auto"/>
                      <w:szCs w:val="21"/>
                      <w:u w:val="none"/>
                    </w:rPr>
                    <w:t>水</w:t>
                  </w:r>
                </w:p>
              </w:tc>
              <w:tc>
                <w:tcPr>
                  <w:tcW w:w="3686" w:type="pct"/>
                  <w:vAlign w:val="center"/>
                </w:tcPr>
                <w:p>
                  <w:pPr>
                    <w:ind w:firstLine="420" w:firstLineChars="200"/>
                    <w:jc w:val="left"/>
                    <w:rPr>
                      <w:rFonts w:hint="default" w:eastAsia="宋体"/>
                      <w:color w:val="auto"/>
                      <w:szCs w:val="21"/>
                      <w:u w:val="none"/>
                      <w:lang w:val="en-US" w:eastAsia="zh-CN"/>
                    </w:rPr>
                  </w:pPr>
                  <w:r>
                    <w:rPr>
                      <w:rFonts w:hint="eastAsia"/>
                      <w:color w:val="auto"/>
                      <w:szCs w:val="21"/>
                      <w:u w:val="none"/>
                      <w:lang w:val="en-US" w:eastAsia="zh-CN"/>
                    </w:rPr>
                    <w:t>生活污水经化粪池处理，生产废水经厂区污水处理站（格栅+隔油+调节+气浮+混凝沉淀）处理后，废水回用于周边农田灌溉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continue"/>
                  <w:vAlign w:val="center"/>
                </w:tcPr>
                <w:p>
                  <w:pPr>
                    <w:jc w:val="center"/>
                    <w:rPr>
                      <w:color w:val="auto"/>
                      <w:szCs w:val="21"/>
                      <w:u w:val="none"/>
                    </w:rPr>
                  </w:pPr>
                </w:p>
              </w:tc>
              <w:tc>
                <w:tcPr>
                  <w:tcW w:w="801" w:type="pct"/>
                  <w:vAlign w:val="center"/>
                </w:tcPr>
                <w:p>
                  <w:pPr>
                    <w:jc w:val="center"/>
                    <w:rPr>
                      <w:color w:val="auto"/>
                      <w:szCs w:val="21"/>
                      <w:u w:val="none"/>
                    </w:rPr>
                  </w:pPr>
                  <w:r>
                    <w:rPr>
                      <w:rFonts w:hint="eastAsia"/>
                      <w:color w:val="auto"/>
                      <w:szCs w:val="21"/>
                      <w:u w:val="none"/>
                    </w:rPr>
                    <w:t>废气</w:t>
                  </w:r>
                </w:p>
              </w:tc>
              <w:tc>
                <w:tcPr>
                  <w:tcW w:w="3686" w:type="pct"/>
                  <w:vAlign w:val="center"/>
                </w:tcPr>
                <w:p>
                  <w:pPr>
                    <w:ind w:firstLine="420" w:firstLineChars="200"/>
                    <w:jc w:val="left"/>
                    <w:rPr>
                      <w:rFonts w:hint="default" w:eastAsia="宋体"/>
                      <w:color w:val="auto"/>
                      <w:szCs w:val="21"/>
                      <w:highlight w:val="yellow"/>
                      <w:u w:val="none"/>
                      <w:lang w:val="en-US" w:eastAsia="zh-CN"/>
                    </w:rPr>
                  </w:pPr>
                  <w:r>
                    <w:rPr>
                      <w:rFonts w:hint="eastAsia"/>
                      <w:color w:val="auto"/>
                      <w:szCs w:val="21"/>
                      <w:highlight w:val="none"/>
                      <w:u w:val="none"/>
                      <w:lang w:val="en-US" w:eastAsia="zh-CN"/>
                    </w:rPr>
                    <w:t>炒制废气经油烟净化器处理后排放至车间外；蒸汽发生器废气经水膜除尘器处理后由9m排气筒排放</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continue"/>
                  <w:vAlign w:val="center"/>
                </w:tcPr>
                <w:p>
                  <w:pPr>
                    <w:jc w:val="center"/>
                    <w:rPr>
                      <w:color w:val="auto"/>
                      <w:szCs w:val="21"/>
                      <w:u w:val="none"/>
                    </w:rPr>
                  </w:pPr>
                </w:p>
              </w:tc>
              <w:tc>
                <w:tcPr>
                  <w:tcW w:w="801" w:type="pct"/>
                  <w:vAlign w:val="center"/>
                </w:tcPr>
                <w:p>
                  <w:pPr>
                    <w:jc w:val="center"/>
                    <w:rPr>
                      <w:color w:val="auto"/>
                      <w:szCs w:val="21"/>
                      <w:u w:val="none"/>
                    </w:rPr>
                  </w:pPr>
                  <w:r>
                    <w:rPr>
                      <w:color w:val="auto"/>
                      <w:szCs w:val="21"/>
                      <w:u w:val="none"/>
                    </w:rPr>
                    <w:t>噪声</w:t>
                  </w:r>
                </w:p>
              </w:tc>
              <w:tc>
                <w:tcPr>
                  <w:tcW w:w="3686" w:type="pct"/>
                  <w:vAlign w:val="center"/>
                </w:tcPr>
                <w:p>
                  <w:pPr>
                    <w:ind w:firstLine="420" w:firstLineChars="200"/>
                    <w:jc w:val="left"/>
                    <w:rPr>
                      <w:rFonts w:hint="default" w:eastAsia="宋体"/>
                      <w:color w:val="auto"/>
                      <w:szCs w:val="21"/>
                      <w:highlight w:val="yellow"/>
                      <w:u w:val="none"/>
                      <w:lang w:val="en-US" w:eastAsia="zh-CN"/>
                    </w:rPr>
                  </w:pPr>
                  <w:r>
                    <w:rPr>
                      <w:rFonts w:hint="eastAsia"/>
                      <w:color w:val="auto"/>
                      <w:szCs w:val="21"/>
                      <w:highlight w:val="none"/>
                      <w:u w:val="none"/>
                      <w:lang w:val="en-US" w:eastAsia="zh-CN"/>
                    </w:rPr>
                    <w:t>厂房隔声，减震基础等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2" w:type="pct"/>
                  <w:vMerge w:val="continue"/>
                  <w:vAlign w:val="center"/>
                </w:tcPr>
                <w:p>
                  <w:pPr>
                    <w:jc w:val="center"/>
                    <w:rPr>
                      <w:color w:val="auto"/>
                      <w:szCs w:val="21"/>
                      <w:u w:val="none"/>
                    </w:rPr>
                  </w:pPr>
                </w:p>
              </w:tc>
              <w:tc>
                <w:tcPr>
                  <w:tcW w:w="801" w:type="pct"/>
                  <w:vAlign w:val="center"/>
                </w:tcPr>
                <w:p>
                  <w:pPr>
                    <w:jc w:val="center"/>
                    <w:rPr>
                      <w:color w:val="auto"/>
                      <w:szCs w:val="21"/>
                      <w:u w:val="none"/>
                    </w:rPr>
                  </w:pPr>
                  <w:r>
                    <w:rPr>
                      <w:color w:val="auto"/>
                      <w:szCs w:val="21"/>
                      <w:u w:val="none"/>
                    </w:rPr>
                    <w:t>固废</w:t>
                  </w:r>
                </w:p>
              </w:tc>
              <w:tc>
                <w:tcPr>
                  <w:tcW w:w="3686" w:type="pct"/>
                  <w:vAlign w:val="center"/>
                </w:tcPr>
                <w:p>
                  <w:pPr>
                    <w:ind w:firstLine="420" w:firstLineChars="200"/>
                    <w:jc w:val="left"/>
                    <w:rPr>
                      <w:rFonts w:hint="default" w:eastAsia="宋体"/>
                      <w:color w:val="auto"/>
                      <w:szCs w:val="21"/>
                      <w:highlight w:val="yellow"/>
                      <w:u w:val="none"/>
                      <w:lang w:val="en-US" w:eastAsia="zh-CN"/>
                    </w:rPr>
                  </w:pPr>
                  <w:r>
                    <w:rPr>
                      <w:rFonts w:hint="eastAsia"/>
                      <w:color w:val="auto"/>
                      <w:szCs w:val="21"/>
                      <w:highlight w:val="none"/>
                      <w:u w:val="none"/>
                      <w:lang w:val="en-US" w:eastAsia="zh-CN"/>
                    </w:rPr>
                    <w:t>设置固废间，一般固废外售综合利用；生活垃圾交由环卫部门处置</w:t>
                  </w:r>
                </w:p>
              </w:tc>
            </w:tr>
          </w:tbl>
          <w:p>
            <w:pPr>
              <w:spacing w:line="360" w:lineRule="auto"/>
              <w:ind w:firstLine="480" w:firstLineChars="200"/>
              <w:rPr>
                <w:rFonts w:hint="default" w:eastAsia="宋体"/>
                <w:color w:val="auto"/>
                <w:sz w:val="24"/>
                <w:u w:val="none"/>
                <w:lang w:val="en-US" w:eastAsia="zh-CN"/>
              </w:rPr>
            </w:pPr>
            <w:r>
              <w:rPr>
                <w:rFonts w:hint="eastAsia"/>
                <w:color w:val="auto"/>
                <w:sz w:val="24"/>
                <w:u w:val="none"/>
                <w:lang w:val="en-US" w:eastAsia="zh-CN"/>
              </w:rPr>
              <w:t>老厂区生产规模如下：</w:t>
            </w:r>
          </w:p>
          <w:p>
            <w:pPr>
              <w:pStyle w:val="58"/>
              <w:jc w:val="center"/>
              <w:rPr>
                <w:rFonts w:hint="default" w:ascii="Times New Roman" w:hAnsi="Times New Roman" w:eastAsia="宋体" w:cs="Times New Roman"/>
                <w:b/>
                <w:color w:val="auto"/>
                <w:u w:val="none"/>
                <w:lang w:val="en-US" w:eastAsia="zh-CN"/>
              </w:rPr>
            </w:pPr>
            <w:r>
              <w:rPr>
                <w:rFonts w:ascii="Times New Roman" w:hAnsi="Times New Roman" w:eastAsia="宋体" w:cs="Times New Roman"/>
                <w:b/>
                <w:color w:val="auto"/>
                <w:u w:val="none"/>
              </w:rPr>
              <w:t>表</w:t>
            </w:r>
            <w:r>
              <w:rPr>
                <w:rFonts w:hint="eastAsia" w:ascii="Times New Roman" w:hAnsi="Times New Roman" w:eastAsia="宋体" w:cs="Times New Roman"/>
                <w:b/>
                <w:color w:val="auto"/>
                <w:u w:val="none"/>
              </w:rPr>
              <w:t>2.</w:t>
            </w:r>
            <w:r>
              <w:rPr>
                <w:rFonts w:hint="eastAsia" w:ascii="Times New Roman" w:hAnsi="Times New Roman" w:eastAsia="宋体" w:cs="Times New Roman"/>
                <w:b/>
                <w:color w:val="auto"/>
                <w:u w:val="none"/>
                <w:lang w:val="en-US" w:eastAsia="zh-CN"/>
              </w:rPr>
              <w:t>12-2</w:t>
            </w:r>
            <w:r>
              <w:rPr>
                <w:rFonts w:ascii="Times New Roman" w:hAnsi="Times New Roman" w:eastAsia="宋体" w:cs="Times New Roman"/>
                <w:b/>
                <w:color w:val="auto"/>
                <w:u w:val="none"/>
              </w:rPr>
              <w:t xml:space="preserve"> </w:t>
            </w:r>
            <w:r>
              <w:rPr>
                <w:rFonts w:hint="eastAsia" w:ascii="Times New Roman" w:hAnsi="Times New Roman" w:eastAsia="宋体" w:cs="Times New Roman"/>
                <w:b/>
                <w:color w:val="auto"/>
                <w:u w:val="none"/>
                <w:lang w:val="en-US" w:eastAsia="zh-CN"/>
              </w:rPr>
              <w:t>老厂区生产规模</w:t>
            </w:r>
          </w:p>
          <w:tbl>
            <w:tblPr>
              <w:tblStyle w:val="2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812"/>
              <w:gridCol w:w="3480"/>
              <w:gridCol w:w="1967"/>
              <w:gridCol w:w="21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485" w:type="pct"/>
                  <w:vAlign w:val="center"/>
                </w:tcPr>
                <w:p>
                  <w:pPr>
                    <w:jc w:val="center"/>
                    <w:rPr>
                      <w:b/>
                      <w:color w:val="auto"/>
                      <w:szCs w:val="21"/>
                      <w:u w:val="none"/>
                    </w:rPr>
                  </w:pPr>
                  <w:r>
                    <w:rPr>
                      <w:rFonts w:hint="eastAsia"/>
                      <w:b/>
                      <w:color w:val="auto"/>
                      <w:szCs w:val="21"/>
                      <w:u w:val="none"/>
                    </w:rPr>
                    <w:t>序号</w:t>
                  </w:r>
                </w:p>
              </w:tc>
              <w:tc>
                <w:tcPr>
                  <w:tcW w:w="2077" w:type="pct"/>
                  <w:vAlign w:val="center"/>
                </w:tcPr>
                <w:p>
                  <w:pPr>
                    <w:jc w:val="center"/>
                    <w:rPr>
                      <w:b/>
                      <w:color w:val="auto"/>
                      <w:szCs w:val="21"/>
                      <w:u w:val="none"/>
                    </w:rPr>
                  </w:pPr>
                  <w:r>
                    <w:rPr>
                      <w:rFonts w:hint="eastAsia"/>
                      <w:b/>
                      <w:color w:val="auto"/>
                      <w:szCs w:val="21"/>
                      <w:u w:val="none"/>
                    </w:rPr>
                    <w:t>产品名称</w:t>
                  </w:r>
                </w:p>
              </w:tc>
              <w:tc>
                <w:tcPr>
                  <w:tcW w:w="1174" w:type="pct"/>
                  <w:shd w:val="clear" w:color="auto" w:fill="auto"/>
                  <w:vAlign w:val="center"/>
                </w:tcPr>
                <w:p>
                  <w:pPr>
                    <w:jc w:val="center"/>
                    <w:rPr>
                      <w:rFonts w:ascii="Times New Roman" w:hAnsi="Times New Roman" w:eastAsia="宋体" w:cs="Times New Roman"/>
                      <w:b/>
                      <w:color w:val="auto"/>
                      <w:kern w:val="2"/>
                      <w:sz w:val="21"/>
                      <w:szCs w:val="21"/>
                      <w:u w:val="none"/>
                      <w:lang w:val="en-US" w:eastAsia="zh-CN" w:bidi="ar-SA"/>
                    </w:rPr>
                  </w:pPr>
                  <w:r>
                    <w:rPr>
                      <w:rFonts w:hint="eastAsia"/>
                      <w:b/>
                      <w:color w:val="auto"/>
                      <w:szCs w:val="21"/>
                      <w:u w:val="none"/>
                    </w:rPr>
                    <w:t>净重（吨/年）</w:t>
                  </w:r>
                </w:p>
              </w:tc>
              <w:tc>
                <w:tcPr>
                  <w:tcW w:w="1263" w:type="pct"/>
                  <w:vAlign w:val="center"/>
                </w:tcPr>
                <w:p>
                  <w:pPr>
                    <w:jc w:val="center"/>
                    <w:rPr>
                      <w:rFonts w:hint="eastAsia" w:eastAsia="宋体"/>
                      <w:b/>
                      <w:color w:val="auto"/>
                      <w:szCs w:val="21"/>
                      <w:u w:val="none"/>
                      <w:lang w:val="en-US" w:eastAsia="zh-CN"/>
                    </w:rPr>
                  </w:pPr>
                  <w:r>
                    <w:rPr>
                      <w:rFonts w:hint="eastAsia"/>
                      <w:b/>
                      <w:color w:val="auto"/>
                      <w:szCs w:val="21"/>
                      <w:u w:val="none"/>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53" w:hRule="atLeast"/>
                <w:jc w:val="center"/>
              </w:trPr>
              <w:tc>
                <w:tcPr>
                  <w:tcW w:w="485" w:type="pct"/>
                  <w:vAlign w:val="center"/>
                </w:tcPr>
                <w:p>
                  <w:pPr>
                    <w:jc w:val="center"/>
                    <w:rPr>
                      <w:color w:val="auto"/>
                      <w:szCs w:val="21"/>
                      <w:u w:val="none"/>
                    </w:rPr>
                  </w:pPr>
                  <w:r>
                    <w:rPr>
                      <w:color w:val="auto"/>
                      <w:szCs w:val="21"/>
                      <w:u w:val="none"/>
                    </w:rPr>
                    <w:t>1</w:t>
                  </w:r>
                </w:p>
              </w:tc>
              <w:tc>
                <w:tcPr>
                  <w:tcW w:w="2077" w:type="pct"/>
                  <w:vAlign w:val="center"/>
                </w:tcPr>
                <w:p>
                  <w:pPr>
                    <w:jc w:val="center"/>
                    <w:rPr>
                      <w:color w:val="auto"/>
                      <w:szCs w:val="21"/>
                      <w:u w:val="none"/>
                    </w:rPr>
                  </w:pPr>
                  <w:r>
                    <w:rPr>
                      <w:rFonts w:hint="eastAsia"/>
                      <w:color w:val="auto"/>
                      <w:szCs w:val="21"/>
                      <w:u w:val="none"/>
                    </w:rPr>
                    <w:t>麻辣豆豉</w:t>
                  </w:r>
                </w:p>
              </w:tc>
              <w:tc>
                <w:tcPr>
                  <w:tcW w:w="1174"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eastAsia"/>
                      <w:color w:val="auto"/>
                      <w:szCs w:val="21"/>
                      <w:u w:val="none"/>
                      <w:lang w:val="en-US" w:eastAsia="zh-CN"/>
                    </w:rPr>
                    <w:t>1800</w:t>
                  </w:r>
                </w:p>
              </w:tc>
              <w:tc>
                <w:tcPr>
                  <w:tcW w:w="1263" w:type="pct"/>
                  <w:vAlign w:val="center"/>
                </w:tcPr>
                <w:p>
                  <w:pPr>
                    <w:jc w:val="center"/>
                    <w:rPr>
                      <w:rFonts w:hint="eastAsia" w:eastAsia="宋体"/>
                      <w:color w:val="auto"/>
                      <w:szCs w:val="21"/>
                      <w:u w:val="none"/>
                      <w:lang w:val="en-US" w:eastAsia="zh-CN"/>
                    </w:rPr>
                  </w:pPr>
                  <w:r>
                    <w:rPr>
                      <w:rFonts w:hint="eastAsia"/>
                      <w:color w:val="auto"/>
                      <w:szCs w:val="21"/>
                      <w:u w:val="none"/>
                      <w:lang w:val="en-US" w:eastAsia="zh-CN"/>
                    </w:rPr>
                    <w:t>袋装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485" w:type="pct"/>
                  <w:vAlign w:val="center"/>
                </w:tcPr>
                <w:p>
                  <w:pPr>
                    <w:jc w:val="center"/>
                    <w:rPr>
                      <w:color w:val="auto"/>
                      <w:szCs w:val="21"/>
                      <w:u w:val="none"/>
                    </w:rPr>
                  </w:pPr>
                  <w:r>
                    <w:rPr>
                      <w:rFonts w:hint="eastAsia"/>
                      <w:color w:val="auto"/>
                      <w:szCs w:val="21"/>
                      <w:u w:val="none"/>
                    </w:rPr>
                    <w:t>2</w:t>
                  </w:r>
                </w:p>
              </w:tc>
              <w:tc>
                <w:tcPr>
                  <w:tcW w:w="2077" w:type="pct"/>
                  <w:vAlign w:val="center"/>
                </w:tcPr>
                <w:p>
                  <w:pPr>
                    <w:jc w:val="center"/>
                    <w:rPr>
                      <w:rFonts w:hint="default" w:eastAsia="宋体"/>
                      <w:color w:val="auto"/>
                      <w:szCs w:val="21"/>
                      <w:u w:val="none"/>
                      <w:lang w:val="en-US" w:eastAsia="zh-CN"/>
                    </w:rPr>
                  </w:pPr>
                  <w:r>
                    <w:rPr>
                      <w:rFonts w:hint="eastAsia"/>
                      <w:color w:val="auto"/>
                      <w:szCs w:val="21"/>
                      <w:u w:val="none"/>
                      <w:lang w:val="en-US" w:eastAsia="zh-CN"/>
                    </w:rPr>
                    <w:t>油辣椒</w:t>
                  </w:r>
                </w:p>
              </w:tc>
              <w:tc>
                <w:tcPr>
                  <w:tcW w:w="1174"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eastAsia"/>
                      <w:color w:val="auto"/>
                      <w:szCs w:val="21"/>
                      <w:u w:val="none"/>
                      <w:lang w:val="en-US" w:eastAsia="zh-CN"/>
                    </w:rPr>
                    <w:t>200</w:t>
                  </w:r>
                </w:p>
              </w:tc>
              <w:tc>
                <w:tcPr>
                  <w:tcW w:w="1263" w:type="pct"/>
                  <w:vAlign w:val="center"/>
                </w:tcPr>
                <w:p>
                  <w:pPr>
                    <w:jc w:val="center"/>
                    <w:rPr>
                      <w:rFonts w:hint="eastAsia" w:eastAsia="宋体"/>
                      <w:color w:val="auto"/>
                      <w:szCs w:val="21"/>
                      <w:u w:val="none"/>
                      <w:lang w:val="en-US" w:eastAsia="zh-CN"/>
                    </w:rPr>
                  </w:pPr>
                  <w:r>
                    <w:rPr>
                      <w:rFonts w:hint="eastAsia"/>
                      <w:color w:val="auto"/>
                      <w:szCs w:val="21"/>
                      <w:u w:val="none"/>
                      <w:lang w:val="en-US" w:eastAsia="zh-CN"/>
                    </w:rPr>
                    <w:t>瓶装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485" w:type="pct"/>
                  <w:vAlign w:val="center"/>
                </w:tcPr>
                <w:p>
                  <w:pPr>
                    <w:jc w:val="center"/>
                    <w:rPr>
                      <w:rFonts w:hint="eastAsia" w:eastAsia="宋体"/>
                      <w:color w:val="auto"/>
                      <w:szCs w:val="21"/>
                      <w:u w:val="none"/>
                      <w:lang w:val="en-US" w:eastAsia="zh-CN"/>
                    </w:rPr>
                  </w:pPr>
                  <w:r>
                    <w:rPr>
                      <w:rFonts w:hint="eastAsia"/>
                      <w:color w:val="auto"/>
                      <w:szCs w:val="21"/>
                      <w:u w:val="none"/>
                      <w:lang w:val="en-US" w:eastAsia="zh-CN"/>
                    </w:rPr>
                    <w:t>3</w:t>
                  </w:r>
                </w:p>
              </w:tc>
              <w:tc>
                <w:tcPr>
                  <w:tcW w:w="2077" w:type="pct"/>
                  <w:vAlign w:val="center"/>
                </w:tcPr>
                <w:p>
                  <w:pPr>
                    <w:jc w:val="center"/>
                    <w:rPr>
                      <w:rFonts w:hint="default"/>
                      <w:color w:val="auto"/>
                      <w:szCs w:val="21"/>
                      <w:u w:val="none"/>
                      <w:lang w:val="en-US" w:eastAsia="zh-CN"/>
                    </w:rPr>
                  </w:pPr>
                  <w:r>
                    <w:rPr>
                      <w:rFonts w:hint="eastAsia"/>
                      <w:color w:val="auto"/>
                      <w:szCs w:val="21"/>
                      <w:u w:val="none"/>
                      <w:lang w:val="en-US" w:eastAsia="zh-CN"/>
                    </w:rPr>
                    <w:t>合计</w:t>
                  </w:r>
                </w:p>
              </w:tc>
              <w:tc>
                <w:tcPr>
                  <w:tcW w:w="1174" w:type="pct"/>
                  <w:shd w:val="clear" w:color="auto" w:fill="auto"/>
                  <w:vAlign w:val="center"/>
                </w:tcPr>
                <w:p>
                  <w:pPr>
                    <w:jc w:val="center"/>
                    <w:rPr>
                      <w:rFonts w:hint="default"/>
                      <w:color w:val="auto"/>
                      <w:szCs w:val="21"/>
                      <w:u w:val="none"/>
                      <w:lang w:val="en-US" w:eastAsia="zh-CN"/>
                    </w:rPr>
                  </w:pPr>
                  <w:r>
                    <w:rPr>
                      <w:rFonts w:hint="eastAsia"/>
                      <w:color w:val="auto"/>
                      <w:szCs w:val="21"/>
                      <w:u w:val="none"/>
                      <w:lang w:val="en-US" w:eastAsia="zh-CN"/>
                    </w:rPr>
                    <w:t>2000</w:t>
                  </w:r>
                </w:p>
              </w:tc>
              <w:tc>
                <w:tcPr>
                  <w:tcW w:w="1263" w:type="pct"/>
                  <w:vAlign w:val="center"/>
                </w:tcPr>
                <w:p>
                  <w:pPr>
                    <w:jc w:val="center"/>
                    <w:rPr>
                      <w:rFonts w:hint="eastAsia"/>
                      <w:color w:val="auto"/>
                      <w:szCs w:val="21"/>
                      <w:u w:val="none"/>
                      <w:lang w:val="en-US" w:eastAsia="zh-CN"/>
                    </w:rPr>
                  </w:pPr>
                </w:p>
              </w:tc>
            </w:tr>
          </w:tbl>
          <w:p>
            <w:pPr>
              <w:spacing w:line="360" w:lineRule="auto"/>
              <w:ind w:firstLine="480" w:firstLineChars="200"/>
              <w:rPr>
                <w:rFonts w:hint="default" w:eastAsia="宋体"/>
                <w:color w:val="auto"/>
                <w:sz w:val="24"/>
                <w:u w:val="none"/>
                <w:lang w:val="en-US" w:eastAsia="zh-CN"/>
              </w:rPr>
            </w:pPr>
            <w:r>
              <w:rPr>
                <w:rFonts w:hint="eastAsia"/>
                <w:color w:val="auto"/>
                <w:sz w:val="24"/>
                <w:u w:val="none"/>
                <w:lang w:val="en-US" w:eastAsia="zh-CN"/>
              </w:rPr>
              <w:t>老厂区原辅材料消耗如下：</w:t>
            </w:r>
          </w:p>
          <w:p>
            <w:pPr>
              <w:pStyle w:val="58"/>
              <w:jc w:val="center"/>
              <w:rPr>
                <w:rFonts w:hint="default" w:ascii="Times New Roman" w:hAnsi="Times New Roman" w:eastAsia="宋体" w:cs="Times New Roman"/>
                <w:b/>
                <w:color w:val="auto"/>
                <w:u w:val="none"/>
                <w:lang w:val="en-US" w:eastAsia="zh-CN"/>
              </w:rPr>
            </w:pPr>
            <w:r>
              <w:rPr>
                <w:rFonts w:ascii="Times New Roman" w:hAnsi="Times New Roman" w:eastAsia="宋体" w:cs="Times New Roman"/>
                <w:b/>
                <w:color w:val="auto"/>
                <w:u w:val="none"/>
              </w:rPr>
              <w:t>表</w:t>
            </w:r>
            <w:r>
              <w:rPr>
                <w:rFonts w:hint="eastAsia" w:ascii="Times New Roman" w:hAnsi="Times New Roman" w:eastAsia="宋体" w:cs="Times New Roman"/>
                <w:b/>
                <w:color w:val="auto"/>
                <w:u w:val="none"/>
              </w:rPr>
              <w:t>2.</w:t>
            </w:r>
            <w:r>
              <w:rPr>
                <w:rFonts w:hint="eastAsia" w:ascii="Times New Roman" w:hAnsi="Times New Roman" w:eastAsia="宋体" w:cs="Times New Roman"/>
                <w:b/>
                <w:color w:val="auto"/>
                <w:u w:val="none"/>
                <w:lang w:val="en-US" w:eastAsia="zh-CN"/>
              </w:rPr>
              <w:t>12-3</w:t>
            </w:r>
            <w:r>
              <w:rPr>
                <w:rFonts w:ascii="Times New Roman" w:hAnsi="Times New Roman" w:eastAsia="宋体" w:cs="Times New Roman"/>
                <w:b/>
                <w:color w:val="auto"/>
                <w:u w:val="none"/>
              </w:rPr>
              <w:t xml:space="preserve"> </w:t>
            </w:r>
            <w:r>
              <w:rPr>
                <w:rFonts w:hint="eastAsia" w:ascii="Times New Roman" w:hAnsi="Times New Roman" w:eastAsia="宋体" w:cs="Times New Roman"/>
                <w:b/>
                <w:color w:val="auto"/>
                <w:u w:val="none"/>
                <w:lang w:val="en-US" w:eastAsia="zh-CN"/>
              </w:rPr>
              <w:t>老厂区原辅材料消耗</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2477"/>
              <w:gridCol w:w="1320"/>
              <w:gridCol w:w="1676"/>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Align w:val="center"/>
                </w:tcPr>
                <w:p>
                  <w:pPr>
                    <w:jc w:val="center"/>
                    <w:rPr>
                      <w:b/>
                      <w:color w:val="auto"/>
                      <w:szCs w:val="21"/>
                      <w:u w:val="none"/>
                    </w:rPr>
                  </w:pPr>
                  <w:r>
                    <w:rPr>
                      <w:rFonts w:hint="eastAsia"/>
                      <w:b/>
                      <w:color w:val="auto"/>
                      <w:szCs w:val="21"/>
                      <w:u w:val="none"/>
                    </w:rPr>
                    <w:t>产品</w:t>
                  </w:r>
                </w:p>
              </w:tc>
              <w:tc>
                <w:tcPr>
                  <w:tcW w:w="1479" w:type="pct"/>
                  <w:vAlign w:val="center"/>
                </w:tcPr>
                <w:p>
                  <w:pPr>
                    <w:jc w:val="center"/>
                    <w:rPr>
                      <w:b/>
                      <w:color w:val="auto"/>
                      <w:szCs w:val="21"/>
                      <w:u w:val="none"/>
                    </w:rPr>
                  </w:pPr>
                  <w:r>
                    <w:rPr>
                      <w:rFonts w:hint="eastAsia"/>
                      <w:b/>
                      <w:color w:val="auto"/>
                      <w:szCs w:val="21"/>
                      <w:u w:val="none"/>
                    </w:rPr>
                    <w:t>原料</w:t>
                  </w:r>
                  <w:r>
                    <w:rPr>
                      <w:b/>
                      <w:color w:val="auto"/>
                      <w:szCs w:val="21"/>
                      <w:u w:val="none"/>
                    </w:rPr>
                    <w:t>名称</w:t>
                  </w:r>
                </w:p>
              </w:tc>
              <w:tc>
                <w:tcPr>
                  <w:tcW w:w="788" w:type="pct"/>
                  <w:vAlign w:val="center"/>
                </w:tcPr>
                <w:p>
                  <w:pPr>
                    <w:jc w:val="center"/>
                    <w:rPr>
                      <w:b/>
                      <w:color w:val="auto"/>
                      <w:szCs w:val="21"/>
                      <w:u w:val="none"/>
                    </w:rPr>
                  </w:pPr>
                  <w:r>
                    <w:rPr>
                      <w:rFonts w:hint="eastAsia"/>
                      <w:b/>
                      <w:color w:val="auto"/>
                      <w:szCs w:val="21"/>
                      <w:u w:val="none"/>
                    </w:rPr>
                    <w:t>单位</w:t>
                  </w:r>
                </w:p>
              </w:tc>
              <w:tc>
                <w:tcPr>
                  <w:tcW w:w="1001" w:type="pct"/>
                  <w:vAlign w:val="center"/>
                </w:tcPr>
                <w:p>
                  <w:pPr>
                    <w:jc w:val="center"/>
                    <w:rPr>
                      <w:b/>
                      <w:color w:val="auto"/>
                      <w:szCs w:val="21"/>
                      <w:u w:val="none"/>
                    </w:rPr>
                  </w:pPr>
                  <w:r>
                    <w:rPr>
                      <w:rFonts w:hint="eastAsia"/>
                      <w:b/>
                      <w:color w:val="auto"/>
                      <w:szCs w:val="21"/>
                      <w:u w:val="none"/>
                    </w:rPr>
                    <w:t>年用量</w:t>
                  </w:r>
                </w:p>
              </w:tc>
              <w:tc>
                <w:tcPr>
                  <w:tcW w:w="1081" w:type="pct"/>
                  <w:vAlign w:val="center"/>
                </w:tcPr>
                <w:p>
                  <w:pPr>
                    <w:jc w:val="center"/>
                    <w:rPr>
                      <w:b/>
                      <w:color w:val="auto"/>
                      <w:szCs w:val="21"/>
                      <w:u w:val="none"/>
                    </w:rPr>
                  </w:pPr>
                  <w:r>
                    <w:rPr>
                      <w:rFonts w:hint="eastAsia"/>
                      <w:b/>
                      <w:color w:val="auto"/>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restart"/>
                  <w:vAlign w:val="center"/>
                </w:tcPr>
                <w:p>
                  <w:pPr>
                    <w:jc w:val="center"/>
                    <w:rPr>
                      <w:rFonts w:hint="default"/>
                      <w:color w:val="auto"/>
                      <w:szCs w:val="21"/>
                      <w:u w:val="none"/>
                      <w:lang w:val="en-US" w:eastAsia="zh-CN"/>
                    </w:rPr>
                  </w:pPr>
                  <w:r>
                    <w:rPr>
                      <w:rFonts w:hint="eastAsia"/>
                      <w:color w:val="auto"/>
                      <w:szCs w:val="21"/>
                      <w:u w:val="none"/>
                      <w:lang w:val="en-US" w:eastAsia="zh-CN"/>
                    </w:rPr>
                    <w:t>麻辣豆豉原料</w:t>
                  </w:r>
                </w:p>
              </w:tc>
              <w:tc>
                <w:tcPr>
                  <w:tcW w:w="1479" w:type="pct"/>
                  <w:vAlign w:val="center"/>
                </w:tcPr>
                <w:p>
                  <w:pPr>
                    <w:jc w:val="center"/>
                    <w:rPr>
                      <w:rFonts w:hint="eastAsia"/>
                      <w:color w:val="auto"/>
                      <w:szCs w:val="21"/>
                      <w:u w:val="none"/>
                      <w:lang w:eastAsia="zh-CN"/>
                    </w:rPr>
                  </w:pPr>
                  <w:r>
                    <w:rPr>
                      <w:rFonts w:hint="eastAsia"/>
                      <w:color w:val="auto"/>
                      <w:szCs w:val="21"/>
                      <w:u w:val="none"/>
                      <w:lang w:val="en-US" w:eastAsia="zh-CN"/>
                    </w:rPr>
                    <w:t>豆豉</w:t>
                  </w:r>
                </w:p>
              </w:tc>
              <w:tc>
                <w:tcPr>
                  <w:tcW w:w="788" w:type="pct"/>
                  <w:vAlign w:val="center"/>
                </w:tcPr>
                <w:p>
                  <w:pPr>
                    <w:jc w:val="center"/>
                    <w:rPr>
                      <w:rFonts w:hint="eastAsia"/>
                      <w:color w:val="auto"/>
                      <w:szCs w:val="21"/>
                      <w:u w:val="none"/>
                      <w:lang w:val="en-US" w:eastAsia="zh-CN"/>
                    </w:rPr>
                  </w:pPr>
                  <w:r>
                    <w:rPr>
                      <w:rFonts w:hint="eastAsia"/>
                      <w:color w:val="auto"/>
                      <w:szCs w:val="21"/>
                      <w:u w:val="none"/>
                      <w:lang w:val="en-US" w:eastAsia="zh-CN"/>
                    </w:rPr>
                    <w:t>t/a</w:t>
                  </w:r>
                </w:p>
              </w:tc>
              <w:tc>
                <w:tcPr>
                  <w:tcW w:w="1673" w:type="dxa"/>
                  <w:vAlign w:val="center"/>
                </w:tcPr>
                <w:p>
                  <w:pPr>
                    <w:jc w:val="center"/>
                    <w:rPr>
                      <w:rFonts w:hint="default"/>
                      <w:color w:val="auto"/>
                      <w:szCs w:val="21"/>
                      <w:u w:val="none"/>
                      <w:lang w:val="en-US" w:eastAsia="zh-CN"/>
                    </w:rPr>
                  </w:pPr>
                  <w:r>
                    <w:rPr>
                      <w:rFonts w:hint="eastAsia"/>
                      <w:color w:val="auto"/>
                      <w:szCs w:val="21"/>
                      <w:u w:val="none"/>
                      <w:lang w:val="en-US" w:eastAsia="zh-CN"/>
                    </w:rPr>
                    <w:t>1053</w:t>
                  </w:r>
                </w:p>
              </w:tc>
              <w:tc>
                <w:tcPr>
                  <w:tcW w:w="1081" w:type="pct"/>
                  <w:vAlign w:val="center"/>
                </w:tcPr>
                <w:p>
                  <w:pPr>
                    <w:jc w:val="center"/>
                    <w:rPr>
                      <w:rFonts w:hint="eastAsia" w:eastAsia="宋体"/>
                      <w:color w:val="auto"/>
                      <w:szCs w:val="21"/>
                      <w:u w:val="none"/>
                      <w:lang w:val="en-US" w:eastAsia="zh-CN"/>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eastAsia"/>
                      <w:color w:val="auto"/>
                      <w:szCs w:val="21"/>
                      <w:u w:val="none"/>
                    </w:rPr>
                  </w:pPr>
                  <w:r>
                    <w:rPr>
                      <w:rFonts w:hint="eastAsia"/>
                      <w:color w:val="auto"/>
                      <w:szCs w:val="21"/>
                      <w:u w:val="none"/>
                      <w:lang w:val="en-US" w:eastAsia="zh-CN"/>
                    </w:rPr>
                    <w:t>食盐</w:t>
                  </w:r>
                </w:p>
              </w:tc>
              <w:tc>
                <w:tcPr>
                  <w:tcW w:w="788" w:type="pct"/>
                  <w:vAlign w:val="center"/>
                </w:tcPr>
                <w:p>
                  <w:pPr>
                    <w:jc w:val="center"/>
                    <w:rPr>
                      <w:rFonts w:hint="default"/>
                      <w:color w:val="auto"/>
                      <w:szCs w:val="21"/>
                      <w:u w:val="none"/>
                      <w:lang w:val="en-US" w:eastAsia="zh-CN"/>
                    </w:rPr>
                  </w:pPr>
                  <w:r>
                    <w:rPr>
                      <w:rFonts w:hint="eastAsia"/>
                      <w:color w:val="auto"/>
                      <w:szCs w:val="21"/>
                      <w:u w:val="none"/>
                      <w:lang w:val="en-US" w:eastAsia="zh-CN"/>
                    </w:rPr>
                    <w:t>t/a</w:t>
                  </w:r>
                </w:p>
              </w:tc>
              <w:tc>
                <w:tcPr>
                  <w:tcW w:w="1673" w:type="dxa"/>
                  <w:vAlign w:val="center"/>
                </w:tcPr>
                <w:p>
                  <w:pPr>
                    <w:jc w:val="center"/>
                    <w:rPr>
                      <w:rFonts w:hint="default"/>
                      <w:color w:val="auto"/>
                      <w:szCs w:val="21"/>
                      <w:u w:val="none"/>
                      <w:lang w:val="en-US" w:eastAsia="zh-CN"/>
                    </w:rPr>
                  </w:pPr>
                  <w:r>
                    <w:rPr>
                      <w:rFonts w:hint="eastAsia"/>
                      <w:color w:val="auto"/>
                      <w:szCs w:val="21"/>
                      <w:u w:val="none"/>
                      <w:lang w:val="en-US" w:eastAsia="zh-CN"/>
                    </w:rPr>
                    <w:t>21</w:t>
                  </w:r>
                </w:p>
              </w:tc>
              <w:tc>
                <w:tcPr>
                  <w:tcW w:w="1081" w:type="pct"/>
                  <w:vAlign w:val="center"/>
                </w:tcPr>
                <w:p>
                  <w:pPr>
                    <w:jc w:val="center"/>
                    <w:rPr>
                      <w:rFonts w:hint="eastAsia" w:eastAsia="宋体"/>
                      <w:color w:val="auto"/>
                      <w:szCs w:val="21"/>
                      <w:u w:val="none"/>
                      <w:lang w:val="en-US" w:eastAsia="zh-CN"/>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eastAsia"/>
                      <w:color w:val="auto"/>
                      <w:szCs w:val="21"/>
                      <w:u w:val="none"/>
                    </w:rPr>
                  </w:pPr>
                  <w:r>
                    <w:rPr>
                      <w:rFonts w:hint="eastAsia"/>
                      <w:color w:val="auto"/>
                      <w:szCs w:val="21"/>
                      <w:u w:val="none"/>
                      <w:lang w:val="en-US" w:eastAsia="zh-CN"/>
                    </w:rPr>
                    <w:t>干辣椒</w:t>
                  </w:r>
                </w:p>
              </w:tc>
              <w:tc>
                <w:tcPr>
                  <w:tcW w:w="1317" w:type="dxa"/>
                  <w:vAlign w:val="center"/>
                </w:tcPr>
                <w:p>
                  <w:pPr>
                    <w:jc w:val="center"/>
                    <w:rPr>
                      <w:rFonts w:hint="eastAsia"/>
                      <w:color w:val="auto"/>
                      <w:szCs w:val="21"/>
                      <w:u w:val="none"/>
                    </w:rPr>
                  </w:pPr>
                  <w:r>
                    <w:rPr>
                      <w:rFonts w:hint="eastAsia"/>
                      <w:color w:val="auto"/>
                      <w:szCs w:val="21"/>
                      <w:u w:val="none"/>
                      <w:lang w:val="en-US" w:eastAsia="zh-CN"/>
                    </w:rPr>
                    <w:t>t/a</w:t>
                  </w:r>
                </w:p>
              </w:tc>
              <w:tc>
                <w:tcPr>
                  <w:tcW w:w="1673" w:type="dxa"/>
                  <w:vAlign w:val="center"/>
                </w:tcPr>
                <w:p>
                  <w:pPr>
                    <w:jc w:val="center"/>
                    <w:rPr>
                      <w:rFonts w:hint="default"/>
                      <w:color w:val="auto"/>
                      <w:szCs w:val="21"/>
                      <w:u w:val="none"/>
                      <w:lang w:val="en-US" w:eastAsia="zh-CN"/>
                    </w:rPr>
                  </w:pPr>
                  <w:r>
                    <w:rPr>
                      <w:rFonts w:hint="eastAsia"/>
                      <w:color w:val="auto"/>
                      <w:szCs w:val="21"/>
                      <w:u w:val="none"/>
                      <w:lang w:val="en-US" w:eastAsia="zh-CN"/>
                    </w:rPr>
                    <w:t>168</w:t>
                  </w:r>
                </w:p>
              </w:tc>
              <w:tc>
                <w:tcPr>
                  <w:tcW w:w="1808" w:type="dxa"/>
                  <w:vAlign w:val="center"/>
                </w:tcPr>
                <w:p>
                  <w:pPr>
                    <w:jc w:val="center"/>
                    <w:rPr>
                      <w:rFonts w:hint="eastAsia"/>
                      <w:color w:val="auto"/>
                      <w:szCs w:val="21"/>
                      <w:u w:val="none"/>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eastAsia"/>
                      <w:color w:val="auto"/>
                      <w:szCs w:val="21"/>
                      <w:u w:val="none"/>
                    </w:rPr>
                  </w:pPr>
                  <w:r>
                    <w:rPr>
                      <w:rFonts w:hint="eastAsia"/>
                      <w:color w:val="auto"/>
                      <w:szCs w:val="21"/>
                      <w:u w:val="none"/>
                      <w:lang w:val="en-US" w:eastAsia="zh-CN"/>
                    </w:rPr>
                    <w:t>食用植物油</w:t>
                  </w:r>
                </w:p>
              </w:tc>
              <w:tc>
                <w:tcPr>
                  <w:tcW w:w="1317" w:type="dxa"/>
                  <w:vAlign w:val="center"/>
                </w:tcPr>
                <w:p>
                  <w:pPr>
                    <w:jc w:val="center"/>
                    <w:rPr>
                      <w:rFonts w:hint="eastAsia"/>
                      <w:color w:val="auto"/>
                      <w:szCs w:val="21"/>
                      <w:u w:val="none"/>
                    </w:rPr>
                  </w:pPr>
                  <w:r>
                    <w:rPr>
                      <w:rFonts w:hint="eastAsia"/>
                      <w:color w:val="auto"/>
                      <w:szCs w:val="21"/>
                      <w:u w:val="none"/>
                      <w:lang w:val="en-US" w:eastAsia="zh-CN"/>
                    </w:rPr>
                    <w:t>t/a</w:t>
                  </w:r>
                </w:p>
              </w:tc>
              <w:tc>
                <w:tcPr>
                  <w:tcW w:w="1673" w:type="dxa"/>
                  <w:vAlign w:val="center"/>
                </w:tcPr>
                <w:p>
                  <w:pPr>
                    <w:jc w:val="center"/>
                    <w:rPr>
                      <w:rFonts w:hint="default"/>
                      <w:color w:val="auto"/>
                      <w:szCs w:val="21"/>
                      <w:u w:val="none"/>
                      <w:lang w:val="en-US" w:eastAsia="zh-CN"/>
                    </w:rPr>
                  </w:pPr>
                  <w:r>
                    <w:rPr>
                      <w:rFonts w:hint="eastAsia"/>
                      <w:color w:val="auto"/>
                      <w:szCs w:val="21"/>
                      <w:u w:val="none"/>
                      <w:lang w:val="en-US" w:eastAsia="zh-CN"/>
                    </w:rPr>
                    <w:t>527</w:t>
                  </w:r>
                </w:p>
              </w:tc>
              <w:tc>
                <w:tcPr>
                  <w:tcW w:w="1808" w:type="dxa"/>
                  <w:vAlign w:val="center"/>
                </w:tcPr>
                <w:p>
                  <w:pPr>
                    <w:jc w:val="center"/>
                    <w:rPr>
                      <w:rFonts w:hint="default"/>
                      <w:color w:val="auto"/>
                      <w:szCs w:val="21"/>
                      <w:u w:val="none"/>
                      <w:lang w:val="en-US"/>
                    </w:rPr>
                  </w:pPr>
                  <w:r>
                    <w:rPr>
                      <w:rFonts w:hint="eastAsia"/>
                      <w:color w:val="auto"/>
                      <w:szCs w:val="21"/>
                      <w:u w:val="none"/>
                      <w:lang w:val="en-US" w:eastAsia="zh-CN"/>
                    </w:rPr>
                    <w:t>储罐散装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eastAsia"/>
                      <w:color w:val="auto"/>
                      <w:szCs w:val="21"/>
                      <w:u w:val="none"/>
                    </w:rPr>
                  </w:pPr>
                  <w:r>
                    <w:rPr>
                      <w:rFonts w:hint="eastAsia"/>
                      <w:color w:val="auto"/>
                      <w:szCs w:val="21"/>
                      <w:u w:val="none"/>
                      <w:lang w:val="en-US" w:eastAsia="zh-CN"/>
                    </w:rPr>
                    <w:t>白砂糖</w:t>
                  </w:r>
                </w:p>
              </w:tc>
              <w:tc>
                <w:tcPr>
                  <w:tcW w:w="1317" w:type="dxa"/>
                  <w:vAlign w:val="center"/>
                </w:tcPr>
                <w:p>
                  <w:pPr>
                    <w:jc w:val="center"/>
                    <w:rPr>
                      <w:rFonts w:hint="eastAsia"/>
                      <w:color w:val="auto"/>
                      <w:szCs w:val="21"/>
                      <w:u w:val="none"/>
                    </w:rPr>
                  </w:pPr>
                  <w:r>
                    <w:rPr>
                      <w:rFonts w:hint="eastAsia"/>
                      <w:color w:val="auto"/>
                      <w:szCs w:val="21"/>
                      <w:u w:val="none"/>
                      <w:lang w:val="en-US" w:eastAsia="zh-CN"/>
                    </w:rPr>
                    <w:t>t/a</w:t>
                  </w:r>
                </w:p>
              </w:tc>
              <w:tc>
                <w:tcPr>
                  <w:tcW w:w="1673" w:type="dxa"/>
                  <w:vAlign w:val="center"/>
                </w:tcPr>
                <w:p>
                  <w:pPr>
                    <w:jc w:val="center"/>
                    <w:rPr>
                      <w:rFonts w:hint="default"/>
                      <w:color w:val="auto"/>
                      <w:szCs w:val="21"/>
                      <w:u w:val="none"/>
                      <w:lang w:val="en-US" w:eastAsia="zh-CN"/>
                    </w:rPr>
                  </w:pPr>
                  <w:r>
                    <w:rPr>
                      <w:rFonts w:hint="eastAsia"/>
                      <w:color w:val="auto"/>
                      <w:szCs w:val="21"/>
                      <w:u w:val="none"/>
                      <w:lang w:val="en-US" w:eastAsia="zh-CN"/>
                    </w:rPr>
                    <w:t>21</w:t>
                  </w:r>
                </w:p>
              </w:tc>
              <w:tc>
                <w:tcPr>
                  <w:tcW w:w="1808" w:type="dxa"/>
                  <w:vAlign w:val="center"/>
                </w:tcPr>
                <w:p>
                  <w:pPr>
                    <w:jc w:val="center"/>
                    <w:rPr>
                      <w:rFonts w:hint="eastAsia"/>
                      <w:color w:val="auto"/>
                      <w:szCs w:val="21"/>
                      <w:u w:val="none"/>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default"/>
                      <w:color w:val="auto"/>
                      <w:szCs w:val="21"/>
                      <w:u w:val="none"/>
                      <w:lang w:val="en-US" w:eastAsia="zh-CN"/>
                    </w:rPr>
                  </w:pPr>
                  <w:r>
                    <w:rPr>
                      <w:rFonts w:hint="eastAsia"/>
                      <w:color w:val="auto"/>
                      <w:szCs w:val="21"/>
                      <w:u w:val="none"/>
                      <w:lang w:val="en-US" w:eastAsia="zh-CN"/>
                    </w:rPr>
                    <w:t>调味料</w:t>
                  </w:r>
                </w:p>
              </w:tc>
              <w:tc>
                <w:tcPr>
                  <w:tcW w:w="1317" w:type="dxa"/>
                  <w:vAlign w:val="center"/>
                </w:tcPr>
                <w:p>
                  <w:pPr>
                    <w:jc w:val="center"/>
                    <w:rPr>
                      <w:rFonts w:hint="eastAsia"/>
                      <w:color w:val="auto"/>
                      <w:szCs w:val="21"/>
                      <w:u w:val="none"/>
                      <w:lang w:val="en-US" w:eastAsia="zh-CN"/>
                    </w:rPr>
                  </w:pPr>
                  <w:r>
                    <w:rPr>
                      <w:rFonts w:hint="eastAsia"/>
                      <w:color w:val="auto"/>
                      <w:szCs w:val="21"/>
                      <w:u w:val="none"/>
                      <w:lang w:val="en-US" w:eastAsia="zh-CN"/>
                    </w:rPr>
                    <w:t>t/a</w:t>
                  </w:r>
                </w:p>
              </w:tc>
              <w:tc>
                <w:tcPr>
                  <w:tcW w:w="1673" w:type="dxa"/>
                  <w:vAlign w:val="center"/>
                </w:tcPr>
                <w:p>
                  <w:pPr>
                    <w:jc w:val="center"/>
                    <w:rPr>
                      <w:rFonts w:hint="default"/>
                      <w:color w:val="auto"/>
                      <w:szCs w:val="21"/>
                      <w:u w:val="none"/>
                      <w:lang w:val="en-US" w:eastAsia="zh-CN"/>
                    </w:rPr>
                  </w:pPr>
                  <w:r>
                    <w:rPr>
                      <w:rFonts w:hint="eastAsia"/>
                      <w:color w:val="auto"/>
                      <w:szCs w:val="21"/>
                      <w:u w:val="none"/>
                      <w:lang w:val="en-US" w:eastAsia="zh-CN"/>
                    </w:rPr>
                    <w:t>11</w:t>
                  </w:r>
                </w:p>
              </w:tc>
              <w:tc>
                <w:tcPr>
                  <w:tcW w:w="1808" w:type="dxa"/>
                  <w:vAlign w:val="center"/>
                </w:tcPr>
                <w:p>
                  <w:pPr>
                    <w:jc w:val="center"/>
                    <w:rPr>
                      <w:rFonts w:hint="eastAsia"/>
                      <w:color w:val="auto"/>
                      <w:szCs w:val="21"/>
                      <w:u w:val="none"/>
                      <w:lang w:val="en-US" w:eastAsia="zh-CN"/>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eastAsia"/>
                      <w:color w:val="auto"/>
                      <w:szCs w:val="21"/>
                      <w:u w:val="none"/>
                    </w:rPr>
                  </w:pPr>
                  <w:r>
                    <w:rPr>
                      <w:rFonts w:hint="eastAsia"/>
                      <w:color w:val="auto"/>
                      <w:szCs w:val="21"/>
                      <w:u w:val="none"/>
                      <w:lang w:val="en-US" w:eastAsia="zh-CN"/>
                    </w:rPr>
                    <w:t>添加剂</w:t>
                  </w:r>
                </w:p>
              </w:tc>
              <w:tc>
                <w:tcPr>
                  <w:tcW w:w="1317" w:type="dxa"/>
                  <w:vAlign w:val="center"/>
                </w:tcPr>
                <w:p>
                  <w:pPr>
                    <w:jc w:val="center"/>
                    <w:rPr>
                      <w:rFonts w:hint="eastAsia"/>
                      <w:color w:val="auto"/>
                      <w:szCs w:val="21"/>
                      <w:u w:val="none"/>
                    </w:rPr>
                  </w:pPr>
                  <w:r>
                    <w:rPr>
                      <w:rFonts w:hint="eastAsia"/>
                      <w:color w:val="auto"/>
                      <w:szCs w:val="21"/>
                      <w:u w:val="none"/>
                      <w:lang w:val="en-US" w:eastAsia="zh-CN"/>
                    </w:rPr>
                    <w:t>t/a</w:t>
                  </w:r>
                </w:p>
              </w:tc>
              <w:tc>
                <w:tcPr>
                  <w:tcW w:w="1673" w:type="dxa"/>
                  <w:vAlign w:val="center"/>
                </w:tcPr>
                <w:p>
                  <w:pPr>
                    <w:jc w:val="center"/>
                    <w:rPr>
                      <w:rFonts w:hint="eastAsia"/>
                      <w:color w:val="auto"/>
                      <w:szCs w:val="21"/>
                      <w:u w:val="none"/>
                      <w:lang w:val="en-US" w:eastAsia="zh-CN"/>
                    </w:rPr>
                  </w:pPr>
                  <w:r>
                    <w:rPr>
                      <w:rFonts w:hint="eastAsia"/>
                      <w:color w:val="auto"/>
                      <w:szCs w:val="21"/>
                      <w:u w:val="none"/>
                      <w:lang w:val="en-US" w:eastAsia="zh-CN"/>
                    </w:rPr>
                    <w:t>1</w:t>
                  </w:r>
                </w:p>
              </w:tc>
              <w:tc>
                <w:tcPr>
                  <w:tcW w:w="1808" w:type="dxa"/>
                  <w:vAlign w:val="center"/>
                </w:tcPr>
                <w:p>
                  <w:pPr>
                    <w:jc w:val="center"/>
                    <w:rPr>
                      <w:rFonts w:hint="eastAsia"/>
                      <w:color w:val="auto"/>
                      <w:szCs w:val="21"/>
                      <w:u w:val="none"/>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restart"/>
                  <w:vAlign w:val="center"/>
                </w:tcPr>
                <w:p>
                  <w:pPr>
                    <w:jc w:val="center"/>
                    <w:rPr>
                      <w:rFonts w:hint="default"/>
                      <w:color w:val="auto"/>
                      <w:szCs w:val="21"/>
                      <w:u w:val="none"/>
                      <w:lang w:val="en-US" w:eastAsia="zh-CN"/>
                    </w:rPr>
                  </w:pPr>
                  <w:r>
                    <w:rPr>
                      <w:rFonts w:hint="eastAsia"/>
                      <w:color w:val="auto"/>
                      <w:szCs w:val="21"/>
                      <w:u w:val="none"/>
                      <w:lang w:val="en-US" w:eastAsia="zh-CN"/>
                    </w:rPr>
                    <w:t>油辣椒原料</w:t>
                  </w:r>
                </w:p>
              </w:tc>
              <w:tc>
                <w:tcPr>
                  <w:tcW w:w="1479" w:type="pct"/>
                  <w:vAlign w:val="center"/>
                </w:tcPr>
                <w:p>
                  <w:pPr>
                    <w:jc w:val="center"/>
                    <w:rPr>
                      <w:rFonts w:hint="eastAsia"/>
                      <w:color w:val="auto"/>
                      <w:szCs w:val="21"/>
                      <w:u w:val="none"/>
                      <w:lang w:eastAsia="zh-CN"/>
                    </w:rPr>
                  </w:pPr>
                  <w:r>
                    <w:rPr>
                      <w:rFonts w:hint="eastAsia"/>
                      <w:color w:val="auto"/>
                      <w:szCs w:val="21"/>
                      <w:u w:val="none"/>
                      <w:lang w:val="en-US" w:eastAsia="zh-CN"/>
                    </w:rPr>
                    <w:t>半成品腌制辣椒</w:t>
                  </w:r>
                </w:p>
              </w:tc>
              <w:tc>
                <w:tcPr>
                  <w:tcW w:w="1317" w:type="dxa"/>
                  <w:vAlign w:val="center"/>
                </w:tcPr>
                <w:p>
                  <w:pPr>
                    <w:jc w:val="center"/>
                    <w:rPr>
                      <w:rFonts w:hint="eastAsia"/>
                      <w:color w:val="auto"/>
                      <w:szCs w:val="21"/>
                      <w:u w:val="none"/>
                    </w:rPr>
                  </w:pPr>
                  <w:r>
                    <w:rPr>
                      <w:rFonts w:hint="eastAsia"/>
                      <w:color w:val="auto"/>
                      <w:szCs w:val="21"/>
                      <w:u w:val="none"/>
                      <w:lang w:val="en-US" w:eastAsia="zh-CN"/>
                    </w:rPr>
                    <w:t>t/a</w:t>
                  </w:r>
                </w:p>
              </w:tc>
              <w:tc>
                <w:tcPr>
                  <w:tcW w:w="1673" w:type="dxa"/>
                  <w:vAlign w:val="center"/>
                </w:tcPr>
                <w:p>
                  <w:pPr>
                    <w:keepNext w:val="0"/>
                    <w:keepLines w:val="0"/>
                    <w:widowControl/>
                    <w:suppressLineNumbers w:val="0"/>
                    <w:jc w:val="center"/>
                    <w:textAlignment w:val="center"/>
                    <w:rPr>
                      <w:rFonts w:hint="default"/>
                      <w:color w:val="auto"/>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147 </w:t>
                  </w:r>
                </w:p>
              </w:tc>
              <w:tc>
                <w:tcPr>
                  <w:tcW w:w="1808" w:type="dxa"/>
                  <w:vAlign w:val="center"/>
                </w:tcPr>
                <w:p>
                  <w:pPr>
                    <w:jc w:val="center"/>
                    <w:rPr>
                      <w:rFonts w:hint="eastAsia"/>
                      <w:color w:val="auto"/>
                      <w:szCs w:val="21"/>
                      <w:u w:val="none"/>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eastAsia"/>
                      <w:color w:val="auto"/>
                      <w:szCs w:val="21"/>
                      <w:u w:val="none"/>
                    </w:rPr>
                  </w:pPr>
                  <w:r>
                    <w:rPr>
                      <w:rFonts w:hint="eastAsia"/>
                      <w:color w:val="auto"/>
                      <w:szCs w:val="21"/>
                      <w:u w:val="none"/>
                      <w:lang w:val="en-US" w:eastAsia="zh-CN"/>
                    </w:rPr>
                    <w:t>生姜</w:t>
                  </w:r>
                </w:p>
              </w:tc>
              <w:tc>
                <w:tcPr>
                  <w:tcW w:w="1317" w:type="dxa"/>
                  <w:vAlign w:val="center"/>
                </w:tcPr>
                <w:p>
                  <w:pPr>
                    <w:jc w:val="center"/>
                    <w:rPr>
                      <w:rFonts w:hint="eastAsia"/>
                      <w:color w:val="auto"/>
                      <w:szCs w:val="21"/>
                      <w:u w:val="none"/>
                    </w:rPr>
                  </w:pPr>
                  <w:r>
                    <w:rPr>
                      <w:rFonts w:hint="eastAsia"/>
                      <w:color w:val="auto"/>
                      <w:szCs w:val="21"/>
                      <w:u w:val="none"/>
                      <w:lang w:val="en-US" w:eastAsia="zh-CN"/>
                    </w:rPr>
                    <w:t>t/a</w:t>
                  </w:r>
                </w:p>
              </w:tc>
              <w:tc>
                <w:tcPr>
                  <w:tcW w:w="1673" w:type="dxa"/>
                  <w:vAlign w:val="center"/>
                </w:tcPr>
                <w:p>
                  <w:pPr>
                    <w:keepNext w:val="0"/>
                    <w:keepLines w:val="0"/>
                    <w:widowControl/>
                    <w:suppressLineNumbers w:val="0"/>
                    <w:jc w:val="center"/>
                    <w:textAlignment w:val="center"/>
                    <w:rPr>
                      <w:rFonts w:hint="default"/>
                      <w:color w:val="auto"/>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 </w:t>
                  </w:r>
                </w:p>
              </w:tc>
              <w:tc>
                <w:tcPr>
                  <w:tcW w:w="1808" w:type="dxa"/>
                  <w:vAlign w:val="center"/>
                </w:tcPr>
                <w:p>
                  <w:pPr>
                    <w:jc w:val="center"/>
                    <w:rPr>
                      <w:rFonts w:hint="eastAsia"/>
                      <w:color w:val="auto"/>
                      <w:szCs w:val="21"/>
                      <w:u w:val="none"/>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eastAsia"/>
                      <w:color w:val="auto"/>
                      <w:szCs w:val="21"/>
                      <w:u w:val="none"/>
                    </w:rPr>
                  </w:pPr>
                  <w:r>
                    <w:rPr>
                      <w:rFonts w:hint="eastAsia"/>
                      <w:color w:val="auto"/>
                      <w:szCs w:val="21"/>
                      <w:u w:val="none"/>
                      <w:lang w:val="en-US" w:eastAsia="zh-CN"/>
                    </w:rPr>
                    <w:t>大蒜</w:t>
                  </w:r>
                </w:p>
              </w:tc>
              <w:tc>
                <w:tcPr>
                  <w:tcW w:w="1317" w:type="dxa"/>
                  <w:vAlign w:val="center"/>
                </w:tcPr>
                <w:p>
                  <w:pPr>
                    <w:jc w:val="center"/>
                    <w:rPr>
                      <w:rFonts w:hint="eastAsia"/>
                      <w:color w:val="auto"/>
                      <w:szCs w:val="21"/>
                      <w:u w:val="none"/>
                    </w:rPr>
                  </w:pPr>
                  <w:r>
                    <w:rPr>
                      <w:rFonts w:hint="eastAsia"/>
                      <w:color w:val="auto"/>
                      <w:szCs w:val="21"/>
                      <w:u w:val="none"/>
                      <w:lang w:val="en-US" w:eastAsia="zh-CN"/>
                    </w:rPr>
                    <w:t>t/a</w:t>
                  </w:r>
                </w:p>
              </w:tc>
              <w:tc>
                <w:tcPr>
                  <w:tcW w:w="1673" w:type="dxa"/>
                  <w:vAlign w:val="center"/>
                </w:tcPr>
                <w:p>
                  <w:pPr>
                    <w:keepNext w:val="0"/>
                    <w:keepLines w:val="0"/>
                    <w:widowControl/>
                    <w:suppressLineNumbers w:val="0"/>
                    <w:jc w:val="center"/>
                    <w:textAlignment w:val="center"/>
                    <w:rPr>
                      <w:rFonts w:hint="default"/>
                      <w:color w:val="auto"/>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 </w:t>
                  </w:r>
                </w:p>
              </w:tc>
              <w:tc>
                <w:tcPr>
                  <w:tcW w:w="1808" w:type="dxa"/>
                  <w:vAlign w:val="center"/>
                </w:tcPr>
                <w:p>
                  <w:pPr>
                    <w:jc w:val="center"/>
                    <w:rPr>
                      <w:rFonts w:hint="eastAsia"/>
                      <w:color w:val="auto"/>
                      <w:szCs w:val="21"/>
                      <w:u w:val="none"/>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eastAsia"/>
                      <w:color w:val="auto"/>
                      <w:szCs w:val="21"/>
                      <w:u w:val="none"/>
                    </w:rPr>
                  </w:pPr>
                  <w:r>
                    <w:rPr>
                      <w:rFonts w:hint="eastAsia"/>
                      <w:color w:val="auto"/>
                      <w:szCs w:val="21"/>
                      <w:u w:val="none"/>
                      <w:lang w:val="en-US" w:eastAsia="zh-CN"/>
                    </w:rPr>
                    <w:t>食用盐</w:t>
                  </w:r>
                </w:p>
              </w:tc>
              <w:tc>
                <w:tcPr>
                  <w:tcW w:w="1317" w:type="dxa"/>
                  <w:vAlign w:val="center"/>
                </w:tcPr>
                <w:p>
                  <w:pPr>
                    <w:jc w:val="center"/>
                    <w:rPr>
                      <w:rFonts w:hint="eastAsia"/>
                      <w:color w:val="auto"/>
                      <w:szCs w:val="21"/>
                      <w:u w:val="none"/>
                    </w:rPr>
                  </w:pPr>
                  <w:r>
                    <w:rPr>
                      <w:rFonts w:hint="eastAsia"/>
                      <w:color w:val="auto"/>
                      <w:szCs w:val="21"/>
                      <w:u w:val="none"/>
                      <w:lang w:val="en-US" w:eastAsia="zh-CN"/>
                    </w:rPr>
                    <w:t>t/a</w:t>
                  </w:r>
                </w:p>
              </w:tc>
              <w:tc>
                <w:tcPr>
                  <w:tcW w:w="1673" w:type="dxa"/>
                  <w:vAlign w:val="center"/>
                </w:tcPr>
                <w:p>
                  <w:pPr>
                    <w:keepNext w:val="0"/>
                    <w:keepLines w:val="0"/>
                    <w:widowControl/>
                    <w:suppressLineNumbers w:val="0"/>
                    <w:jc w:val="center"/>
                    <w:textAlignment w:val="center"/>
                    <w:rPr>
                      <w:rFonts w:hint="default"/>
                      <w:color w:val="auto"/>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 </w:t>
                  </w:r>
                </w:p>
              </w:tc>
              <w:tc>
                <w:tcPr>
                  <w:tcW w:w="1808" w:type="dxa"/>
                  <w:vAlign w:val="center"/>
                </w:tcPr>
                <w:p>
                  <w:pPr>
                    <w:jc w:val="center"/>
                    <w:rPr>
                      <w:rFonts w:hint="eastAsia"/>
                      <w:color w:val="auto"/>
                      <w:szCs w:val="21"/>
                      <w:u w:val="none"/>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eastAsia"/>
                      <w:color w:val="auto"/>
                      <w:szCs w:val="21"/>
                      <w:u w:val="none"/>
                    </w:rPr>
                  </w:pPr>
                  <w:r>
                    <w:rPr>
                      <w:rFonts w:hint="eastAsia"/>
                      <w:color w:val="auto"/>
                      <w:szCs w:val="21"/>
                      <w:u w:val="none"/>
                      <w:lang w:val="en-US" w:eastAsia="zh-CN"/>
                    </w:rPr>
                    <w:t>味精</w:t>
                  </w:r>
                </w:p>
              </w:tc>
              <w:tc>
                <w:tcPr>
                  <w:tcW w:w="1317" w:type="dxa"/>
                  <w:vAlign w:val="center"/>
                </w:tcPr>
                <w:p>
                  <w:pPr>
                    <w:jc w:val="center"/>
                    <w:rPr>
                      <w:rFonts w:hint="eastAsia"/>
                      <w:color w:val="auto"/>
                      <w:szCs w:val="21"/>
                      <w:u w:val="none"/>
                    </w:rPr>
                  </w:pPr>
                  <w:r>
                    <w:rPr>
                      <w:rFonts w:hint="eastAsia"/>
                      <w:color w:val="auto"/>
                      <w:szCs w:val="21"/>
                      <w:u w:val="none"/>
                      <w:lang w:val="en-US" w:eastAsia="zh-CN"/>
                    </w:rPr>
                    <w:t>t/a</w:t>
                  </w:r>
                </w:p>
              </w:tc>
              <w:tc>
                <w:tcPr>
                  <w:tcW w:w="1673" w:type="dxa"/>
                  <w:vAlign w:val="center"/>
                </w:tcPr>
                <w:p>
                  <w:pPr>
                    <w:keepNext w:val="0"/>
                    <w:keepLines w:val="0"/>
                    <w:widowControl/>
                    <w:suppressLineNumbers w:val="0"/>
                    <w:jc w:val="center"/>
                    <w:textAlignment w:val="center"/>
                    <w:rPr>
                      <w:rFonts w:hint="default"/>
                      <w:color w:val="auto"/>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1808" w:type="dxa"/>
                  <w:vAlign w:val="center"/>
                </w:tcPr>
                <w:p>
                  <w:pPr>
                    <w:jc w:val="center"/>
                    <w:rPr>
                      <w:rFonts w:hint="eastAsia"/>
                      <w:color w:val="auto"/>
                      <w:szCs w:val="21"/>
                      <w:u w:val="none"/>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eastAsia"/>
                      <w:color w:val="auto"/>
                      <w:szCs w:val="21"/>
                      <w:u w:val="none"/>
                    </w:rPr>
                  </w:pPr>
                  <w:r>
                    <w:rPr>
                      <w:rFonts w:hint="eastAsia"/>
                      <w:color w:val="auto"/>
                      <w:szCs w:val="21"/>
                      <w:u w:val="none"/>
                      <w:lang w:val="en-US" w:eastAsia="zh-CN"/>
                    </w:rPr>
                    <w:t>调味料</w:t>
                  </w:r>
                </w:p>
              </w:tc>
              <w:tc>
                <w:tcPr>
                  <w:tcW w:w="1317" w:type="dxa"/>
                  <w:vAlign w:val="center"/>
                </w:tcPr>
                <w:p>
                  <w:pPr>
                    <w:jc w:val="center"/>
                    <w:rPr>
                      <w:rFonts w:hint="eastAsia"/>
                      <w:color w:val="auto"/>
                      <w:szCs w:val="21"/>
                      <w:u w:val="none"/>
                    </w:rPr>
                  </w:pPr>
                  <w:r>
                    <w:rPr>
                      <w:rFonts w:hint="eastAsia"/>
                      <w:color w:val="auto"/>
                      <w:szCs w:val="21"/>
                      <w:u w:val="none"/>
                      <w:lang w:val="en-US" w:eastAsia="zh-CN"/>
                    </w:rPr>
                    <w:t>t/a</w:t>
                  </w:r>
                </w:p>
              </w:tc>
              <w:tc>
                <w:tcPr>
                  <w:tcW w:w="1673" w:type="dxa"/>
                  <w:vAlign w:val="center"/>
                </w:tcPr>
                <w:p>
                  <w:pPr>
                    <w:keepNext w:val="0"/>
                    <w:keepLines w:val="0"/>
                    <w:widowControl/>
                    <w:suppressLineNumbers w:val="0"/>
                    <w:jc w:val="center"/>
                    <w:textAlignment w:val="center"/>
                    <w:rPr>
                      <w:rFonts w:hint="default"/>
                      <w:color w:val="auto"/>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1808" w:type="dxa"/>
                  <w:vAlign w:val="center"/>
                </w:tcPr>
                <w:p>
                  <w:pPr>
                    <w:jc w:val="center"/>
                    <w:rPr>
                      <w:rFonts w:hint="eastAsia"/>
                      <w:color w:val="auto"/>
                      <w:szCs w:val="21"/>
                      <w:u w:val="none"/>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default"/>
                      <w:color w:val="auto"/>
                      <w:szCs w:val="21"/>
                      <w:u w:val="none"/>
                      <w:lang w:val="en-US" w:eastAsia="zh-CN"/>
                    </w:rPr>
                  </w:pPr>
                  <w:r>
                    <w:rPr>
                      <w:rFonts w:hint="eastAsia"/>
                      <w:color w:val="auto"/>
                      <w:szCs w:val="21"/>
                      <w:u w:val="none"/>
                      <w:lang w:val="en-US" w:eastAsia="zh-CN"/>
                    </w:rPr>
                    <w:t>添加剂</w:t>
                  </w:r>
                </w:p>
              </w:tc>
              <w:tc>
                <w:tcPr>
                  <w:tcW w:w="1317" w:type="dxa"/>
                  <w:vAlign w:val="center"/>
                </w:tcPr>
                <w:p>
                  <w:pPr>
                    <w:jc w:val="center"/>
                    <w:rPr>
                      <w:rFonts w:hint="eastAsia"/>
                      <w:color w:val="auto"/>
                      <w:szCs w:val="21"/>
                      <w:u w:val="none"/>
                      <w:lang w:val="en-US" w:eastAsia="zh-CN"/>
                    </w:rPr>
                  </w:pPr>
                  <w:r>
                    <w:rPr>
                      <w:rFonts w:hint="eastAsia"/>
                      <w:color w:val="auto"/>
                      <w:szCs w:val="21"/>
                      <w:u w:val="none"/>
                      <w:lang w:val="en-US" w:eastAsia="zh-CN"/>
                    </w:rPr>
                    <w:t>t/a</w:t>
                  </w:r>
                </w:p>
              </w:tc>
              <w:tc>
                <w:tcPr>
                  <w:tcW w:w="1673" w:type="dxa"/>
                  <w:vAlign w:val="center"/>
                </w:tcPr>
                <w:p>
                  <w:pPr>
                    <w:keepNext w:val="0"/>
                    <w:keepLines w:val="0"/>
                    <w:widowControl/>
                    <w:suppressLineNumbers w:val="0"/>
                    <w:jc w:val="center"/>
                    <w:textAlignment w:val="center"/>
                    <w:rPr>
                      <w:rFonts w:hint="default"/>
                      <w:color w:val="auto"/>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0.1 </w:t>
                  </w:r>
                </w:p>
              </w:tc>
              <w:tc>
                <w:tcPr>
                  <w:tcW w:w="1808" w:type="dxa"/>
                  <w:vAlign w:val="center"/>
                </w:tcPr>
                <w:p>
                  <w:pPr>
                    <w:jc w:val="center"/>
                    <w:rPr>
                      <w:rFonts w:hint="eastAsia"/>
                      <w:color w:val="auto"/>
                      <w:szCs w:val="21"/>
                      <w:u w:val="none"/>
                      <w:lang w:val="en-US" w:eastAsia="zh-CN"/>
                    </w:rPr>
                  </w:pPr>
                  <w:r>
                    <w:rPr>
                      <w:rFonts w:hint="eastAsia"/>
                      <w:color w:val="auto"/>
                      <w:szCs w:val="21"/>
                      <w:u w:val="none"/>
                      <w:lang w:val="en-US" w:eastAsia="zh-CN"/>
                    </w:rPr>
                    <w:t>袋装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rFonts w:hint="eastAsia"/>
                      <w:color w:val="auto"/>
                      <w:szCs w:val="21"/>
                      <w:u w:val="none"/>
                    </w:rPr>
                  </w:pPr>
                </w:p>
              </w:tc>
              <w:tc>
                <w:tcPr>
                  <w:tcW w:w="1479" w:type="pct"/>
                  <w:vAlign w:val="center"/>
                </w:tcPr>
                <w:p>
                  <w:pPr>
                    <w:jc w:val="center"/>
                    <w:rPr>
                      <w:rFonts w:hint="eastAsia"/>
                      <w:color w:val="auto"/>
                      <w:szCs w:val="21"/>
                      <w:u w:val="none"/>
                    </w:rPr>
                  </w:pPr>
                  <w:r>
                    <w:rPr>
                      <w:rFonts w:hint="eastAsia"/>
                      <w:color w:val="auto"/>
                      <w:szCs w:val="21"/>
                      <w:u w:val="none"/>
                      <w:lang w:val="en-US" w:eastAsia="zh-CN"/>
                    </w:rPr>
                    <w:t>食用植物油</w:t>
                  </w:r>
                </w:p>
              </w:tc>
              <w:tc>
                <w:tcPr>
                  <w:tcW w:w="1317" w:type="dxa"/>
                  <w:vAlign w:val="center"/>
                </w:tcPr>
                <w:p>
                  <w:pPr>
                    <w:jc w:val="center"/>
                    <w:rPr>
                      <w:rFonts w:hint="eastAsia"/>
                      <w:color w:val="auto"/>
                      <w:szCs w:val="21"/>
                      <w:u w:val="none"/>
                    </w:rPr>
                  </w:pPr>
                  <w:r>
                    <w:rPr>
                      <w:rFonts w:hint="eastAsia"/>
                      <w:color w:val="auto"/>
                      <w:szCs w:val="21"/>
                      <w:u w:val="none"/>
                      <w:lang w:val="en-US" w:eastAsia="zh-CN"/>
                    </w:rPr>
                    <w:t>t/a</w:t>
                  </w:r>
                </w:p>
              </w:tc>
              <w:tc>
                <w:tcPr>
                  <w:tcW w:w="1673" w:type="dxa"/>
                  <w:vAlign w:val="center"/>
                </w:tcPr>
                <w:p>
                  <w:pPr>
                    <w:keepNext w:val="0"/>
                    <w:keepLines w:val="0"/>
                    <w:widowControl/>
                    <w:suppressLineNumbers w:val="0"/>
                    <w:jc w:val="center"/>
                    <w:textAlignment w:val="center"/>
                    <w:rPr>
                      <w:rFonts w:hint="eastAsia"/>
                      <w:color w:val="auto"/>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29 </w:t>
                  </w:r>
                </w:p>
              </w:tc>
              <w:tc>
                <w:tcPr>
                  <w:tcW w:w="1808" w:type="dxa"/>
                  <w:vAlign w:val="center"/>
                </w:tcPr>
                <w:p>
                  <w:pPr>
                    <w:jc w:val="center"/>
                    <w:rPr>
                      <w:rFonts w:hint="default"/>
                      <w:color w:val="auto"/>
                      <w:szCs w:val="21"/>
                      <w:u w:val="none"/>
                      <w:lang w:val="en-US"/>
                    </w:rPr>
                  </w:pPr>
                  <w:r>
                    <w:rPr>
                      <w:rFonts w:hint="eastAsia"/>
                      <w:color w:val="auto"/>
                      <w:szCs w:val="21"/>
                      <w:u w:val="none"/>
                      <w:lang w:val="en-US" w:eastAsia="zh-CN"/>
                    </w:rPr>
                    <w:t>储罐散装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restart"/>
                  <w:vAlign w:val="center"/>
                </w:tcPr>
                <w:p>
                  <w:pPr>
                    <w:jc w:val="center"/>
                    <w:rPr>
                      <w:rFonts w:hint="default" w:eastAsia="宋体"/>
                      <w:color w:val="auto"/>
                      <w:szCs w:val="21"/>
                      <w:u w:val="none"/>
                      <w:lang w:val="en-US" w:eastAsia="zh-CN"/>
                    </w:rPr>
                  </w:pPr>
                  <w:r>
                    <w:rPr>
                      <w:rFonts w:hint="eastAsia"/>
                      <w:color w:val="auto"/>
                      <w:szCs w:val="21"/>
                      <w:u w:val="none"/>
                      <w:lang w:val="en-US" w:eastAsia="zh-CN"/>
                    </w:rPr>
                    <w:t>生产辅料</w:t>
                  </w:r>
                </w:p>
              </w:tc>
              <w:tc>
                <w:tcPr>
                  <w:tcW w:w="1479"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包装材料</w:t>
                  </w:r>
                </w:p>
              </w:tc>
              <w:tc>
                <w:tcPr>
                  <w:tcW w:w="788"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t/a</w:t>
                  </w:r>
                </w:p>
              </w:tc>
              <w:tc>
                <w:tcPr>
                  <w:tcW w:w="1001" w:type="pct"/>
                  <w:shd w:val="clear" w:color="auto" w:fill="auto"/>
                  <w:vAlign w:val="center"/>
                </w:tcPr>
                <w:p>
                  <w:pPr>
                    <w:jc w:val="center"/>
                    <w:rPr>
                      <w:rFonts w:ascii="Times New Roman" w:hAnsi="Times New Roman" w:eastAsia="宋体" w:cs="Times New Roman"/>
                      <w:color w:val="auto"/>
                      <w:kern w:val="2"/>
                      <w:sz w:val="21"/>
                      <w:szCs w:val="21"/>
                      <w:u w:val="none"/>
                      <w:lang w:val="en-US" w:eastAsia="zh-CN" w:bidi="ar-SA"/>
                    </w:rPr>
                  </w:pPr>
                  <w:r>
                    <w:rPr>
                      <w:rFonts w:hint="eastAsia"/>
                      <w:color w:val="auto"/>
                      <w:szCs w:val="21"/>
                      <w:u w:val="none"/>
                    </w:rPr>
                    <w:t>800</w:t>
                  </w:r>
                </w:p>
              </w:tc>
              <w:tc>
                <w:tcPr>
                  <w:tcW w:w="1081"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纸箱、包装袋、包装瓶等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color w:val="auto"/>
                      <w:szCs w:val="21"/>
                      <w:u w:val="none"/>
                    </w:rPr>
                  </w:pPr>
                </w:p>
              </w:tc>
              <w:tc>
                <w:tcPr>
                  <w:tcW w:w="1479"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水性油墨</w:t>
                  </w:r>
                </w:p>
              </w:tc>
              <w:tc>
                <w:tcPr>
                  <w:tcW w:w="788"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t/a</w:t>
                  </w:r>
                </w:p>
              </w:tc>
              <w:tc>
                <w:tcPr>
                  <w:tcW w:w="1001"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0.00</w:t>
                  </w:r>
                  <w:r>
                    <w:rPr>
                      <w:rFonts w:hint="eastAsia"/>
                      <w:color w:val="auto"/>
                      <w:szCs w:val="21"/>
                      <w:u w:val="none"/>
                      <w:lang w:val="en-US" w:eastAsia="zh-CN"/>
                    </w:rPr>
                    <w:t>1</w:t>
                  </w:r>
                </w:p>
              </w:tc>
              <w:tc>
                <w:tcPr>
                  <w:tcW w:w="1081"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打码机使用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color w:val="auto"/>
                      <w:szCs w:val="21"/>
                      <w:u w:val="none"/>
                    </w:rPr>
                  </w:pPr>
                </w:p>
              </w:tc>
              <w:tc>
                <w:tcPr>
                  <w:tcW w:w="1479"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PAM</w:t>
                  </w:r>
                </w:p>
              </w:tc>
              <w:tc>
                <w:tcPr>
                  <w:tcW w:w="788"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t/a</w:t>
                  </w:r>
                </w:p>
              </w:tc>
              <w:tc>
                <w:tcPr>
                  <w:tcW w:w="1001"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0.</w:t>
                  </w:r>
                  <w:r>
                    <w:rPr>
                      <w:rFonts w:hint="eastAsia"/>
                      <w:color w:val="auto"/>
                      <w:szCs w:val="21"/>
                      <w:u w:val="none"/>
                      <w:lang w:val="en-US" w:eastAsia="zh-CN"/>
                    </w:rPr>
                    <w:t>1</w:t>
                  </w:r>
                </w:p>
              </w:tc>
              <w:tc>
                <w:tcPr>
                  <w:tcW w:w="1081"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废水处理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color w:val="auto"/>
                      <w:szCs w:val="21"/>
                      <w:u w:val="none"/>
                    </w:rPr>
                  </w:pPr>
                </w:p>
              </w:tc>
              <w:tc>
                <w:tcPr>
                  <w:tcW w:w="1479"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PAC</w:t>
                  </w:r>
                </w:p>
              </w:tc>
              <w:tc>
                <w:tcPr>
                  <w:tcW w:w="788"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t/a</w:t>
                  </w:r>
                </w:p>
              </w:tc>
              <w:tc>
                <w:tcPr>
                  <w:tcW w:w="1001"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lang w:val="en-US" w:eastAsia="zh-CN"/>
                    </w:rPr>
                    <w:t>2</w:t>
                  </w:r>
                </w:p>
              </w:tc>
              <w:tc>
                <w:tcPr>
                  <w:tcW w:w="1081"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废水处理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restart"/>
                  <w:vAlign w:val="center"/>
                </w:tcPr>
                <w:p>
                  <w:pPr>
                    <w:jc w:val="center"/>
                    <w:rPr>
                      <w:rFonts w:hint="default" w:eastAsia="宋体"/>
                      <w:color w:val="auto"/>
                      <w:szCs w:val="21"/>
                      <w:u w:val="none"/>
                      <w:lang w:val="en-US" w:eastAsia="zh-CN"/>
                    </w:rPr>
                  </w:pPr>
                  <w:r>
                    <w:rPr>
                      <w:rFonts w:hint="eastAsia"/>
                      <w:color w:val="auto"/>
                      <w:szCs w:val="21"/>
                      <w:u w:val="none"/>
                      <w:lang w:val="en-US" w:eastAsia="zh-CN"/>
                    </w:rPr>
                    <w:t>能源消耗</w:t>
                  </w:r>
                </w:p>
              </w:tc>
              <w:tc>
                <w:tcPr>
                  <w:tcW w:w="1479" w:type="pct"/>
                  <w:shd w:val="clear" w:color="auto" w:fill="auto"/>
                  <w:vAlign w:val="center"/>
                </w:tcPr>
                <w:p>
                  <w:pPr>
                    <w:widowControl/>
                    <w:jc w:val="center"/>
                    <w:rPr>
                      <w:rFonts w:hint="default" w:ascii="Times New Roman" w:hAnsi="Times New Roman" w:eastAsia="宋体" w:cs="Times New Roman"/>
                      <w:color w:val="auto"/>
                      <w:kern w:val="0"/>
                      <w:sz w:val="21"/>
                      <w:szCs w:val="21"/>
                      <w:u w:val="none"/>
                      <w:lang w:val="en-US" w:eastAsia="zh-CN" w:bidi="ar-SA"/>
                    </w:rPr>
                  </w:pPr>
                  <w:r>
                    <w:rPr>
                      <w:rFonts w:hint="eastAsia"/>
                      <w:color w:val="auto"/>
                      <w:kern w:val="0"/>
                      <w:szCs w:val="21"/>
                      <w:u w:val="none"/>
                      <w:lang w:val="en-US" w:eastAsia="zh-CN"/>
                    </w:rPr>
                    <w:t>生物质燃料</w:t>
                  </w:r>
                </w:p>
              </w:tc>
              <w:tc>
                <w:tcPr>
                  <w:tcW w:w="788"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lang w:val="en-US" w:eastAsia="zh-CN"/>
                    </w:rPr>
                    <w:t>t</w:t>
                  </w:r>
                  <w:r>
                    <w:rPr>
                      <w:rFonts w:hint="eastAsia"/>
                      <w:color w:val="auto"/>
                      <w:kern w:val="0"/>
                      <w:szCs w:val="21"/>
                      <w:u w:val="none"/>
                    </w:rPr>
                    <w:t>/a</w:t>
                  </w:r>
                </w:p>
              </w:tc>
              <w:tc>
                <w:tcPr>
                  <w:tcW w:w="1001"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eastAsia"/>
                      <w:color w:val="auto"/>
                      <w:szCs w:val="21"/>
                      <w:u w:val="none"/>
                      <w:lang w:val="en-US" w:eastAsia="zh-CN"/>
                    </w:rPr>
                    <w:t>500</w:t>
                  </w:r>
                </w:p>
              </w:tc>
              <w:tc>
                <w:tcPr>
                  <w:tcW w:w="1081"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蒸汽发生器燃料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color w:val="auto"/>
                      <w:szCs w:val="21"/>
                      <w:u w:val="none"/>
                    </w:rPr>
                  </w:pPr>
                </w:p>
              </w:tc>
              <w:tc>
                <w:tcPr>
                  <w:tcW w:w="1479"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电能</w:t>
                  </w:r>
                </w:p>
              </w:tc>
              <w:tc>
                <w:tcPr>
                  <w:tcW w:w="788"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lang w:val="en-US" w:eastAsia="zh-CN"/>
                    </w:rPr>
                    <w:t>万</w:t>
                  </w:r>
                  <w:r>
                    <w:rPr>
                      <w:rFonts w:hint="eastAsia"/>
                      <w:color w:val="auto"/>
                      <w:kern w:val="0"/>
                      <w:szCs w:val="21"/>
                      <w:u w:val="none"/>
                    </w:rPr>
                    <w:t>kWh/a</w:t>
                  </w:r>
                </w:p>
              </w:tc>
              <w:tc>
                <w:tcPr>
                  <w:tcW w:w="1001"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eastAsia"/>
                      <w:color w:val="auto"/>
                      <w:szCs w:val="21"/>
                      <w:u w:val="none"/>
                      <w:lang w:val="en-US" w:eastAsia="zh-CN"/>
                    </w:rPr>
                    <w:t>30</w:t>
                  </w:r>
                </w:p>
              </w:tc>
              <w:tc>
                <w:tcPr>
                  <w:tcW w:w="1081"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市政供电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9" w:type="pct"/>
                  <w:vMerge w:val="continue"/>
                  <w:vAlign w:val="center"/>
                </w:tcPr>
                <w:p>
                  <w:pPr>
                    <w:jc w:val="center"/>
                    <w:rPr>
                      <w:color w:val="auto"/>
                      <w:szCs w:val="21"/>
                      <w:u w:val="none"/>
                    </w:rPr>
                  </w:pPr>
                </w:p>
              </w:tc>
              <w:tc>
                <w:tcPr>
                  <w:tcW w:w="1479"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自来水</w:t>
                  </w:r>
                </w:p>
              </w:tc>
              <w:tc>
                <w:tcPr>
                  <w:tcW w:w="788" w:type="pct"/>
                  <w:shd w:val="clear" w:color="auto" w:fill="auto"/>
                  <w:vAlign w:val="center"/>
                </w:tcPr>
                <w:p>
                  <w:pPr>
                    <w:widowControl/>
                    <w:jc w:val="center"/>
                    <w:rPr>
                      <w:rFonts w:hint="eastAsia" w:ascii="Times New Roman" w:hAnsi="Times New Roman" w:eastAsia="宋体" w:cs="Times New Roman"/>
                      <w:color w:val="auto"/>
                      <w:kern w:val="0"/>
                      <w:sz w:val="21"/>
                      <w:szCs w:val="21"/>
                      <w:u w:val="none"/>
                      <w:lang w:val="en-US" w:eastAsia="zh-CN" w:bidi="ar-SA"/>
                    </w:rPr>
                  </w:pPr>
                  <w:r>
                    <w:rPr>
                      <w:rFonts w:hint="eastAsia"/>
                      <w:color w:val="auto"/>
                      <w:kern w:val="0"/>
                      <w:szCs w:val="21"/>
                      <w:u w:val="none"/>
                    </w:rPr>
                    <w:t>m</w:t>
                  </w:r>
                  <w:r>
                    <w:rPr>
                      <w:rFonts w:hint="eastAsia"/>
                      <w:color w:val="auto"/>
                      <w:kern w:val="0"/>
                      <w:szCs w:val="21"/>
                      <w:u w:val="none"/>
                      <w:vertAlign w:val="superscript"/>
                    </w:rPr>
                    <w:t>3</w:t>
                  </w:r>
                  <w:r>
                    <w:rPr>
                      <w:rFonts w:hint="eastAsia"/>
                      <w:color w:val="auto"/>
                      <w:kern w:val="0"/>
                      <w:szCs w:val="21"/>
                      <w:u w:val="none"/>
                    </w:rPr>
                    <w:t>/a</w:t>
                  </w:r>
                </w:p>
              </w:tc>
              <w:tc>
                <w:tcPr>
                  <w:tcW w:w="1001"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eastAsia"/>
                      <w:color w:val="auto"/>
                      <w:szCs w:val="21"/>
                      <w:highlight w:val="none"/>
                      <w:u w:val="none"/>
                      <w:lang w:val="en-US" w:eastAsia="zh-CN"/>
                    </w:rPr>
                    <w:t>3302.5</w:t>
                  </w:r>
                </w:p>
              </w:tc>
              <w:tc>
                <w:tcPr>
                  <w:tcW w:w="1081" w:type="pct"/>
                  <w:shd w:val="clear" w:color="auto" w:fill="auto"/>
                  <w:vAlign w:val="center"/>
                </w:tcPr>
                <w:p>
                  <w:pPr>
                    <w:jc w:val="center"/>
                    <w:rPr>
                      <w:rFonts w:hint="eastAsia" w:ascii="Times New Roman" w:hAnsi="Times New Roman" w:eastAsia="宋体" w:cs="Times New Roman"/>
                      <w:color w:val="auto"/>
                      <w:kern w:val="2"/>
                      <w:sz w:val="21"/>
                      <w:szCs w:val="21"/>
                      <w:u w:val="none"/>
                      <w:lang w:val="en-US" w:eastAsia="zh-CN" w:bidi="ar-SA"/>
                    </w:rPr>
                  </w:pPr>
                  <w:r>
                    <w:rPr>
                      <w:rFonts w:hint="eastAsia"/>
                      <w:color w:val="auto"/>
                      <w:szCs w:val="21"/>
                      <w:u w:val="none"/>
                    </w:rPr>
                    <w:t>市政供水</w:t>
                  </w:r>
                </w:p>
              </w:tc>
            </w:tr>
          </w:tbl>
          <w:p>
            <w:pPr>
              <w:spacing w:line="360" w:lineRule="auto"/>
              <w:ind w:firstLine="480" w:firstLineChars="200"/>
              <w:rPr>
                <w:rFonts w:hint="eastAsia"/>
                <w:color w:val="auto"/>
                <w:sz w:val="24"/>
                <w:u w:val="none"/>
                <w:lang w:val="en-US" w:eastAsia="zh-CN"/>
              </w:rPr>
            </w:pPr>
            <w:r>
              <w:rPr>
                <w:rFonts w:hint="eastAsia"/>
                <w:color w:val="auto"/>
                <w:sz w:val="24"/>
                <w:u w:val="none"/>
                <w:lang w:val="en-US" w:eastAsia="zh-CN"/>
              </w:rPr>
              <w:t>项目搬迁后</w:t>
            </w:r>
            <w:r>
              <w:rPr>
                <w:rFonts w:hint="eastAsia"/>
                <w:color w:val="auto"/>
                <w:sz w:val="24"/>
                <w:u w:val="none"/>
              </w:rPr>
              <w:t>淘汰部分现有老旧设备，将老厂区其余设备搬迁至</w:t>
            </w:r>
            <w:r>
              <w:rPr>
                <w:rFonts w:hint="eastAsia"/>
                <w:bCs/>
                <w:color w:val="auto"/>
                <w:sz w:val="24"/>
                <w:u w:val="none"/>
              </w:rPr>
              <w:t>新厂区</w:t>
            </w:r>
            <w:r>
              <w:rPr>
                <w:rFonts w:hint="eastAsia"/>
                <w:bCs/>
                <w:color w:val="auto"/>
                <w:sz w:val="24"/>
                <w:u w:val="none"/>
                <w:lang w:eastAsia="zh-CN"/>
              </w:rPr>
              <w:t>，</w:t>
            </w:r>
            <w:r>
              <w:rPr>
                <w:rFonts w:hint="eastAsia"/>
                <w:bCs/>
                <w:color w:val="auto"/>
                <w:sz w:val="24"/>
                <w:u w:val="none"/>
                <w:lang w:val="en-US" w:eastAsia="zh-CN"/>
              </w:rPr>
              <w:t>老厂区生产设备全部拆除</w:t>
            </w:r>
            <w:r>
              <w:rPr>
                <w:rFonts w:hint="eastAsia"/>
                <w:bCs/>
                <w:color w:val="auto"/>
                <w:sz w:val="24"/>
                <w:u w:val="none"/>
              </w:rPr>
              <w:t>，</w:t>
            </w:r>
            <w:r>
              <w:rPr>
                <w:rFonts w:hint="eastAsia"/>
                <w:color w:val="auto"/>
                <w:sz w:val="24"/>
                <w:u w:val="none"/>
                <w:lang w:val="en-US" w:eastAsia="zh-CN"/>
              </w:rPr>
              <w:t>老厂区生产设施及搬迁后淘汰情况见表2.12-4。</w:t>
            </w:r>
          </w:p>
          <w:p>
            <w:pPr>
              <w:spacing w:line="360" w:lineRule="auto"/>
              <w:jc w:val="center"/>
              <w:rPr>
                <w:rFonts w:hint="default"/>
                <w:b/>
                <w:bCs/>
                <w:color w:val="auto"/>
                <w:sz w:val="24"/>
                <w:u w:val="none"/>
                <w:lang w:val="en-US" w:eastAsia="zh-CN"/>
              </w:rPr>
            </w:pPr>
            <w:r>
              <w:rPr>
                <w:rFonts w:hint="eastAsia"/>
                <w:b/>
                <w:bCs/>
                <w:color w:val="auto"/>
                <w:sz w:val="24"/>
                <w:u w:val="none"/>
                <w:lang w:val="en-US" w:eastAsia="zh-CN"/>
              </w:rPr>
              <w:t>表2.12-4 老厂区设备一览表</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2169"/>
              <w:gridCol w:w="1621"/>
              <w:gridCol w:w="1621"/>
              <w:gridCol w:w="1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序号</w:t>
                  </w:r>
                </w:p>
              </w:tc>
              <w:tc>
                <w:tcPr>
                  <w:tcW w:w="1295"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设备名称</w:t>
                  </w:r>
                </w:p>
              </w:tc>
              <w:tc>
                <w:tcPr>
                  <w:tcW w:w="968"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型号</w:t>
                  </w:r>
                </w:p>
              </w:tc>
              <w:tc>
                <w:tcPr>
                  <w:tcW w:w="968"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数量</w:t>
                  </w:r>
                </w:p>
              </w:tc>
              <w:tc>
                <w:tcPr>
                  <w:tcW w:w="1127"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生物质蒸汽发生器</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0.5T</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淘汰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灭菌釜</w:t>
                  </w:r>
                </w:p>
              </w:tc>
              <w:tc>
                <w:tcPr>
                  <w:tcW w:w="968" w:type="pct"/>
                  <w:vAlign w:val="center"/>
                </w:tcPr>
                <w:p>
                  <w:pPr>
                    <w:jc w:val="center"/>
                    <w:rPr>
                      <w:rFonts w:hint="default"/>
                      <w:i w:val="0"/>
                      <w:iCs w:val="0"/>
                      <w:color w:val="auto"/>
                      <w:sz w:val="21"/>
                      <w:szCs w:val="21"/>
                      <w:u w:val="none"/>
                      <w:vertAlign w:val="baseline"/>
                      <w:lang w:val="en-US" w:eastAsia="zh-CN"/>
                    </w:rPr>
                  </w:pPr>
                  <w:r>
                    <w:rPr>
                      <w:rFonts w:hint="eastAsia"/>
                      <w:color w:val="auto"/>
                      <w:sz w:val="21"/>
                      <w:szCs w:val="21"/>
                      <w:u w:val="none"/>
                      <w:vertAlign w:val="baseline"/>
                      <w:lang w:val="en-US" w:eastAsia="zh-CN"/>
                    </w:rPr>
                    <w:t>1-3.2</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淘汰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3</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切菜机</w:t>
                  </w:r>
                </w:p>
              </w:tc>
              <w:tc>
                <w:tcPr>
                  <w:tcW w:w="968" w:type="pct"/>
                  <w:vAlign w:val="center"/>
                </w:tcPr>
                <w:p>
                  <w:pPr>
                    <w:jc w:val="center"/>
                    <w:rPr>
                      <w:rFonts w:hint="default"/>
                      <w:color w:val="auto"/>
                      <w:sz w:val="21"/>
                      <w:szCs w:val="21"/>
                      <w:u w:val="none"/>
                      <w:vertAlign w:val="baseline"/>
                      <w:lang w:val="en-US" w:eastAsia="zh-CN"/>
                    </w:rPr>
                  </w:pP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淘汰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4</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空压机</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85型</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淘汰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5</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真空机</w:t>
                  </w:r>
                </w:p>
              </w:tc>
              <w:tc>
                <w:tcPr>
                  <w:tcW w:w="968" w:type="pct"/>
                  <w:vAlign w:val="center"/>
                </w:tcPr>
                <w:p>
                  <w:pPr>
                    <w:jc w:val="center"/>
                    <w:rPr>
                      <w:rFonts w:hint="default"/>
                      <w:color w:val="auto"/>
                      <w:sz w:val="21"/>
                      <w:szCs w:val="21"/>
                      <w:u w:val="none"/>
                      <w:vertAlign w:val="baseline"/>
                      <w:lang w:val="en-US" w:eastAsia="zh-CN"/>
                    </w:rPr>
                  </w:pP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3</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淘汰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6</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操作台</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2.4米</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淘汰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7</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蒸汽柜</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1.5×0.6×1</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淘汰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shd w:val="clear" w:color="auto" w:fill="auto"/>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8</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食用油罐</w:t>
                  </w:r>
                </w:p>
              </w:tc>
              <w:tc>
                <w:tcPr>
                  <w:tcW w:w="968" w:type="pct"/>
                  <w:vAlign w:val="center"/>
                </w:tcPr>
                <w:p>
                  <w:pPr>
                    <w:jc w:val="center"/>
                    <w:rPr>
                      <w:rFonts w:hint="eastAsia"/>
                      <w:color w:val="auto"/>
                      <w:sz w:val="21"/>
                      <w:szCs w:val="21"/>
                      <w:u w:val="none"/>
                      <w:vertAlign w:val="baseline"/>
                      <w:lang w:val="en-US" w:eastAsia="zh-CN"/>
                    </w:rPr>
                  </w:pP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淘汰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shd w:val="clear" w:color="auto" w:fill="auto"/>
                  <w:vAlign w:val="center"/>
                </w:tcPr>
                <w:p>
                  <w:pPr>
                    <w:jc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9</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自动流水线</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40米</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搬迁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shd w:val="clear" w:color="auto" w:fill="auto"/>
                  <w:vAlign w:val="center"/>
                </w:tcPr>
                <w:p>
                  <w:pPr>
                    <w:jc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10</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清洗设备</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套</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搬迁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shd w:val="clear" w:color="auto" w:fill="auto"/>
                  <w:vAlign w:val="center"/>
                </w:tcPr>
                <w:p>
                  <w:pPr>
                    <w:jc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11</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巴氏灭菌设备</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15米</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搬迁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shd w:val="clear" w:color="auto" w:fill="auto"/>
                  <w:vAlign w:val="center"/>
                </w:tcPr>
                <w:p>
                  <w:pPr>
                    <w:jc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12</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自动炒锅</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CG1</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搬迁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640" w:type="pct"/>
                  <w:shd w:val="clear" w:color="auto" w:fill="auto"/>
                  <w:vAlign w:val="center"/>
                </w:tcPr>
                <w:p>
                  <w:pPr>
                    <w:jc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13</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变频切菜机</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CHD801</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搬迁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shd w:val="clear" w:color="auto" w:fill="auto"/>
                  <w:vAlign w:val="center"/>
                </w:tcPr>
                <w:p>
                  <w:pPr>
                    <w:jc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14</w:t>
                  </w:r>
                </w:p>
              </w:tc>
              <w:tc>
                <w:tcPr>
                  <w:tcW w:w="1295" w:type="pct"/>
                  <w:vAlign w:val="center"/>
                </w:tcPr>
                <w:p>
                  <w:pPr>
                    <w:jc w:val="center"/>
                    <w:rPr>
                      <w:rFonts w:hint="default"/>
                      <w:color w:val="auto"/>
                      <w:sz w:val="21"/>
                      <w:szCs w:val="21"/>
                      <w:u w:val="none"/>
                      <w:vertAlign w:val="baseline"/>
                      <w:lang w:val="en-US" w:eastAsia="zh-CN"/>
                    </w:rPr>
                  </w:pPr>
                  <w:r>
                    <w:rPr>
                      <w:rFonts w:hint="eastAsia" w:ascii="宋体" w:hAnsi="宋体"/>
                      <w:b w:val="0"/>
                      <w:bCs w:val="0"/>
                      <w:color w:val="auto"/>
                      <w:szCs w:val="21"/>
                      <w:u w:val="none"/>
                    </w:rPr>
                    <w:t>打码机</w:t>
                  </w:r>
                </w:p>
              </w:tc>
              <w:tc>
                <w:tcPr>
                  <w:tcW w:w="968" w:type="pct"/>
                  <w:vAlign w:val="center"/>
                </w:tcPr>
                <w:p>
                  <w:pPr>
                    <w:jc w:val="center"/>
                    <w:rPr>
                      <w:rFonts w:hint="default"/>
                      <w:color w:val="auto"/>
                      <w:sz w:val="21"/>
                      <w:szCs w:val="21"/>
                      <w:u w:val="none"/>
                      <w:vertAlign w:val="baseline"/>
                      <w:lang w:val="en-US" w:eastAsia="zh-CN"/>
                    </w:rPr>
                  </w:pPr>
                  <w:r>
                    <w:rPr>
                      <w:rFonts w:hint="eastAsia" w:cs="Calibri"/>
                      <w:b w:val="0"/>
                      <w:bCs w:val="0"/>
                      <w:color w:val="auto"/>
                      <w:szCs w:val="21"/>
                      <w:u w:val="none"/>
                    </w:rPr>
                    <w:t>KJK--CCSL</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搬迁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15</w:t>
                  </w:r>
                </w:p>
              </w:tc>
              <w:tc>
                <w:tcPr>
                  <w:tcW w:w="1295"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打包机</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DBJ-15</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搬迁</w:t>
                  </w:r>
                </w:p>
              </w:tc>
            </w:tr>
          </w:tbl>
          <w:p>
            <w:pPr>
              <w:spacing w:line="360" w:lineRule="auto"/>
              <w:ind w:firstLine="482" w:firstLineChars="200"/>
              <w:rPr>
                <w:rFonts w:hint="default"/>
                <w:b/>
                <w:bCs/>
                <w:color w:val="auto"/>
                <w:sz w:val="24"/>
                <w:u w:val="none"/>
                <w:lang w:val="en-US" w:eastAsia="zh-CN"/>
              </w:rPr>
            </w:pPr>
            <w:r>
              <w:rPr>
                <w:rFonts w:hint="eastAsia"/>
                <w:b/>
                <w:bCs/>
                <w:color w:val="auto"/>
                <w:sz w:val="24"/>
                <w:u w:val="none"/>
                <w:lang w:val="en-US" w:eastAsia="zh-CN"/>
              </w:rPr>
              <w:t>2.12.2 老厂区生产工艺流程</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（1）麻辣豆豉生产工艺流程：</w:t>
            </w:r>
          </w:p>
          <w:p>
            <w:pPr>
              <w:spacing w:line="360" w:lineRule="auto"/>
              <w:jc w:val="center"/>
              <w:rPr>
                <w:rFonts w:hint="eastAsia"/>
                <w:color w:val="auto"/>
                <w:sz w:val="24"/>
                <w:u w:val="none"/>
                <w:lang w:val="en-US" w:eastAsia="zh-CN"/>
              </w:rPr>
            </w:pPr>
            <w:r>
              <w:rPr>
                <w:rFonts w:hint="eastAsia"/>
                <w:color w:val="auto"/>
                <w:sz w:val="24"/>
                <w:u w:val="none"/>
                <w:lang w:val="en-US" w:eastAsia="zh-CN"/>
              </w:rPr>
              <w:object>
                <v:shape id="_x0000_i1034" o:spt="75" type="#_x0000_t75" style="height:207.4pt;width:256.1pt;" o:ole="t" filled="f" o:preferrelative="t" stroked="f" coordsize="21600,21600">
                  <v:path/>
                  <v:fill on="f" focussize="0,0"/>
                  <v:stroke on="f"/>
                  <v:imagedata r:id="rId26" o:title=""/>
                  <o:lock v:ext="edit" aspectratio="f"/>
                  <w10:wrap type="none"/>
                  <w10:anchorlock/>
                </v:shape>
                <o:OLEObject Type="Embed" ProgID="Visio.Drawing.15" ShapeID="_x0000_i1034" DrawAspect="Content" ObjectID="_1468075734" r:id="rId25">
                  <o:LockedField>false</o:LockedField>
                </o:OLEObject>
              </w:object>
            </w:r>
          </w:p>
          <w:p>
            <w:pPr>
              <w:spacing w:line="360" w:lineRule="auto"/>
              <w:jc w:val="center"/>
              <w:rPr>
                <w:rFonts w:hint="default"/>
                <w:b/>
                <w:bCs/>
                <w:color w:val="auto"/>
                <w:sz w:val="24"/>
                <w:u w:val="none"/>
                <w:lang w:val="en-US" w:eastAsia="zh-CN"/>
              </w:rPr>
            </w:pPr>
            <w:r>
              <w:rPr>
                <w:rFonts w:hint="eastAsia"/>
                <w:b/>
                <w:bCs/>
                <w:color w:val="auto"/>
                <w:sz w:val="24"/>
                <w:u w:val="none"/>
                <w:lang w:val="en-US" w:eastAsia="zh-CN"/>
              </w:rPr>
              <w:t>图2.12-1 老厂区麻辣豆豉生产工艺流程图</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（2）油辣椒生产工艺流程：</w:t>
            </w:r>
          </w:p>
          <w:p>
            <w:pPr>
              <w:spacing w:line="360" w:lineRule="auto"/>
              <w:jc w:val="center"/>
              <w:rPr>
                <w:rFonts w:hint="eastAsia"/>
                <w:color w:val="auto"/>
                <w:sz w:val="24"/>
                <w:u w:val="none"/>
                <w:lang w:val="en-US" w:eastAsia="zh-CN"/>
              </w:rPr>
            </w:pPr>
            <w:r>
              <w:rPr>
                <w:rFonts w:hint="eastAsia"/>
                <w:color w:val="auto"/>
                <w:sz w:val="24"/>
                <w:u w:val="none"/>
                <w:lang w:val="en-US" w:eastAsia="zh-CN"/>
              </w:rPr>
              <w:object>
                <v:shape id="_x0000_i1035" o:spt="75" type="#_x0000_t75" style="height:355.45pt;width:316.15pt;" o:ole="t" filled="f" o:preferrelative="t" stroked="f" coordsize="21600,21600">
                  <v:path/>
                  <v:fill on="f" focussize="0,0"/>
                  <v:stroke on="f"/>
                  <v:imagedata r:id="rId28" o:title=""/>
                  <o:lock v:ext="edit" aspectratio="f"/>
                  <w10:wrap type="none"/>
                  <w10:anchorlock/>
                </v:shape>
                <o:OLEObject Type="Embed" ProgID="Visio.Drawing.15" ShapeID="_x0000_i1035" DrawAspect="Content" ObjectID="_1468075735" r:id="rId27">
                  <o:LockedField>false</o:LockedField>
                </o:OLEObject>
              </w:object>
            </w:r>
          </w:p>
          <w:p>
            <w:pPr>
              <w:spacing w:line="360" w:lineRule="auto"/>
              <w:jc w:val="center"/>
              <w:rPr>
                <w:rFonts w:hint="default"/>
                <w:b/>
                <w:bCs/>
                <w:color w:val="auto"/>
                <w:sz w:val="24"/>
                <w:u w:val="none"/>
                <w:lang w:val="en-US" w:eastAsia="zh-CN"/>
              </w:rPr>
            </w:pPr>
            <w:r>
              <w:rPr>
                <w:rFonts w:hint="eastAsia"/>
                <w:b/>
                <w:bCs/>
                <w:color w:val="auto"/>
                <w:sz w:val="24"/>
                <w:u w:val="none"/>
                <w:lang w:val="en-US" w:eastAsia="zh-CN"/>
              </w:rPr>
              <w:t>图2.12-2 老厂区油辣椒生产工艺流程图</w:t>
            </w:r>
          </w:p>
          <w:p>
            <w:pPr>
              <w:spacing w:line="360" w:lineRule="auto"/>
              <w:ind w:firstLine="482" w:firstLineChars="200"/>
              <w:rPr>
                <w:rFonts w:hint="default"/>
                <w:b/>
                <w:bCs/>
                <w:color w:val="auto"/>
                <w:sz w:val="24"/>
                <w:u w:val="none"/>
                <w:lang w:val="en-US" w:eastAsia="zh-CN"/>
              </w:rPr>
            </w:pPr>
            <w:r>
              <w:rPr>
                <w:rFonts w:hint="eastAsia"/>
                <w:b/>
                <w:bCs/>
                <w:color w:val="auto"/>
                <w:sz w:val="24"/>
                <w:u w:val="none"/>
                <w:lang w:val="en-US" w:eastAsia="zh-CN"/>
              </w:rPr>
              <w:t>2.12.3 老厂区产排污现状</w:t>
            </w:r>
          </w:p>
          <w:p>
            <w:pPr>
              <w:spacing w:line="360" w:lineRule="auto"/>
              <w:ind w:firstLine="480" w:firstLineChars="200"/>
              <w:rPr>
                <w:rFonts w:hint="eastAsia"/>
                <w:color w:val="auto"/>
                <w:sz w:val="24"/>
                <w:u w:val="none"/>
                <w:lang w:val="en-US" w:eastAsia="zh-CN"/>
              </w:rPr>
            </w:pPr>
            <w:r>
              <w:rPr>
                <w:rFonts w:hint="eastAsia"/>
                <w:color w:val="auto"/>
                <w:sz w:val="24"/>
                <w:u w:val="none"/>
                <w:lang w:val="en-US" w:eastAsia="zh-CN"/>
              </w:rPr>
              <w:t>因老厂建厂时间较早，环境管理水平较落后，排污许可为登记管理，未开展环境保护自行监测，废气处理设施出口未规范设置采样孔，废水处理后回用于农田灌溉，无历史监测数据，因此产排污现状根据产排污系数进行核算。</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（1）废气</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老厂区废气主要为蒸汽发生器废气、炒制油烟、车间异味、少量有机废气及拌料粉尘、污水处理站臭气。</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①蒸汽发生器废气</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老厂区设有一台0.5t生物质蒸汽发生器，生物质用量为500t/a。</w:t>
            </w:r>
            <w:r>
              <w:rPr>
                <w:rFonts w:hint="eastAsia"/>
                <w:color w:val="auto"/>
                <w:spacing w:val="4"/>
                <w:sz w:val="24"/>
                <w:u w:val="none"/>
              </w:rPr>
              <w:t>参照《排污许可证申请与核发技术规范锅炉》（HJ953-2018）“表F.</w:t>
            </w:r>
            <w:r>
              <w:rPr>
                <w:rFonts w:hint="eastAsia"/>
                <w:color w:val="auto"/>
                <w:spacing w:val="4"/>
                <w:sz w:val="24"/>
                <w:u w:val="none"/>
                <w:lang w:val="en-US" w:eastAsia="zh-CN"/>
              </w:rPr>
              <w:t>4燃生物质</w:t>
            </w:r>
            <w:r>
              <w:rPr>
                <w:rFonts w:hint="eastAsia"/>
                <w:color w:val="auto"/>
                <w:spacing w:val="4"/>
                <w:sz w:val="24"/>
                <w:u w:val="none"/>
              </w:rPr>
              <w:t>工业锅炉的废气排污系数”以及表5基准烟气量取值表进行核算</w:t>
            </w:r>
            <w:r>
              <w:rPr>
                <w:rFonts w:ascii="宋体" w:hAnsi="宋体"/>
                <w:color w:val="auto"/>
                <w:kern w:val="0"/>
                <w:sz w:val="24"/>
                <w:u w:val="none"/>
              </w:rPr>
              <w:t>，具体产</w:t>
            </w:r>
            <w:r>
              <w:rPr>
                <w:rFonts w:hint="eastAsia" w:ascii="宋体" w:hAnsi="宋体"/>
                <w:color w:val="auto"/>
                <w:kern w:val="0"/>
                <w:sz w:val="24"/>
                <w:u w:val="none"/>
              </w:rPr>
              <w:t>排</w:t>
            </w:r>
            <w:r>
              <w:rPr>
                <w:rFonts w:ascii="宋体" w:hAnsi="宋体"/>
                <w:color w:val="auto"/>
                <w:kern w:val="0"/>
                <w:sz w:val="24"/>
                <w:u w:val="none"/>
              </w:rPr>
              <w:t>污系数详见表</w:t>
            </w:r>
            <w:r>
              <w:rPr>
                <w:rFonts w:hint="eastAsia"/>
                <w:color w:val="auto"/>
                <w:kern w:val="0"/>
                <w:sz w:val="24"/>
                <w:u w:val="none"/>
                <w:lang w:val="en-US" w:eastAsia="zh-CN"/>
              </w:rPr>
              <w:t>2.12</w:t>
            </w:r>
            <w:r>
              <w:rPr>
                <w:color w:val="auto"/>
                <w:kern w:val="0"/>
                <w:sz w:val="24"/>
                <w:u w:val="none"/>
              </w:rPr>
              <w:t>-</w:t>
            </w:r>
            <w:r>
              <w:rPr>
                <w:rFonts w:hint="eastAsia"/>
                <w:color w:val="auto"/>
                <w:kern w:val="0"/>
                <w:sz w:val="24"/>
                <w:u w:val="none"/>
                <w:lang w:val="en-US" w:eastAsia="zh-CN"/>
              </w:rPr>
              <w:t>5</w:t>
            </w:r>
            <w:r>
              <w:rPr>
                <w:rFonts w:ascii="宋体" w:hAnsi="宋体"/>
                <w:color w:val="auto"/>
                <w:kern w:val="0"/>
                <w:sz w:val="24"/>
                <w:u w:val="none"/>
              </w:rPr>
              <w:t>。</w:t>
            </w:r>
          </w:p>
          <w:p>
            <w:pPr>
              <w:jc w:val="center"/>
              <w:rPr>
                <w:color w:val="auto"/>
                <w:u w:val="none"/>
              </w:rPr>
            </w:pPr>
            <w:r>
              <w:rPr>
                <w:b/>
                <w:color w:val="auto"/>
                <w:spacing w:val="4"/>
                <w:sz w:val="24"/>
                <w:u w:val="none"/>
              </w:rPr>
              <w:t>表</w:t>
            </w:r>
            <w:r>
              <w:rPr>
                <w:rFonts w:hint="eastAsia"/>
                <w:b/>
                <w:color w:val="auto"/>
                <w:spacing w:val="4"/>
                <w:sz w:val="24"/>
                <w:u w:val="none"/>
                <w:lang w:val="en-US" w:eastAsia="zh-CN"/>
              </w:rPr>
              <w:t>2.12-5</w:t>
            </w:r>
            <w:r>
              <w:rPr>
                <w:b/>
                <w:color w:val="auto"/>
                <w:spacing w:val="4"/>
                <w:sz w:val="24"/>
                <w:u w:val="none"/>
              </w:rPr>
              <w:t xml:space="preserve">   燃</w:t>
            </w:r>
            <w:r>
              <w:rPr>
                <w:rFonts w:hint="eastAsia"/>
                <w:b/>
                <w:color w:val="auto"/>
                <w:spacing w:val="4"/>
                <w:sz w:val="24"/>
                <w:u w:val="none"/>
                <w:lang w:val="en-US" w:eastAsia="zh-CN"/>
              </w:rPr>
              <w:t>生物质</w:t>
            </w:r>
            <w:r>
              <w:rPr>
                <w:b/>
                <w:color w:val="auto"/>
                <w:spacing w:val="4"/>
                <w:sz w:val="24"/>
                <w:u w:val="none"/>
              </w:rPr>
              <w:t>工业锅炉的废气产排污系数</w:t>
            </w:r>
            <w:r>
              <w:rPr>
                <w:rFonts w:hint="eastAsia"/>
                <w:b/>
                <w:color w:val="auto"/>
                <w:spacing w:val="4"/>
                <w:sz w:val="24"/>
                <w:u w:val="none"/>
              </w:rPr>
              <w:t>表</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670"/>
              <w:gridCol w:w="1008"/>
              <w:gridCol w:w="894"/>
              <w:gridCol w:w="958"/>
              <w:gridCol w:w="1509"/>
              <w:gridCol w:w="1248"/>
              <w:gridCol w:w="1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97" w:type="pct"/>
                  <w:vMerge w:val="restart"/>
                  <w:vAlign w:val="center"/>
                </w:tcPr>
                <w:p>
                  <w:pPr>
                    <w:contextualSpacing/>
                    <w:jc w:val="center"/>
                    <w:rPr>
                      <w:b/>
                      <w:bCs/>
                      <w:color w:val="auto"/>
                      <w:spacing w:val="4"/>
                      <w:szCs w:val="21"/>
                      <w:u w:val="none"/>
                    </w:rPr>
                  </w:pPr>
                  <w:r>
                    <w:rPr>
                      <w:rFonts w:hint="eastAsia"/>
                      <w:b/>
                      <w:bCs/>
                      <w:color w:val="auto"/>
                      <w:spacing w:val="4"/>
                      <w:szCs w:val="21"/>
                      <w:u w:val="none"/>
                    </w:rPr>
                    <w:t>产品名称</w:t>
                  </w:r>
                </w:p>
              </w:tc>
              <w:tc>
                <w:tcPr>
                  <w:tcW w:w="400" w:type="pct"/>
                  <w:vMerge w:val="restart"/>
                  <w:vAlign w:val="center"/>
                </w:tcPr>
                <w:p>
                  <w:pPr>
                    <w:contextualSpacing/>
                    <w:jc w:val="center"/>
                    <w:rPr>
                      <w:b/>
                      <w:bCs/>
                      <w:color w:val="auto"/>
                      <w:spacing w:val="4"/>
                      <w:szCs w:val="21"/>
                      <w:u w:val="none"/>
                    </w:rPr>
                  </w:pPr>
                  <w:r>
                    <w:rPr>
                      <w:rFonts w:hint="eastAsia"/>
                      <w:b/>
                      <w:bCs/>
                      <w:color w:val="auto"/>
                      <w:spacing w:val="4"/>
                      <w:szCs w:val="21"/>
                      <w:u w:val="none"/>
                    </w:rPr>
                    <w:t>原料名称</w:t>
                  </w:r>
                </w:p>
              </w:tc>
              <w:tc>
                <w:tcPr>
                  <w:tcW w:w="602" w:type="pct"/>
                  <w:vMerge w:val="restart"/>
                  <w:vAlign w:val="center"/>
                </w:tcPr>
                <w:p>
                  <w:pPr>
                    <w:contextualSpacing/>
                    <w:jc w:val="center"/>
                    <w:rPr>
                      <w:b/>
                      <w:bCs/>
                      <w:color w:val="auto"/>
                      <w:spacing w:val="4"/>
                      <w:szCs w:val="21"/>
                      <w:u w:val="none"/>
                    </w:rPr>
                  </w:pPr>
                  <w:r>
                    <w:rPr>
                      <w:rFonts w:hint="eastAsia"/>
                      <w:b/>
                      <w:bCs/>
                      <w:color w:val="auto"/>
                      <w:spacing w:val="4"/>
                      <w:szCs w:val="21"/>
                      <w:u w:val="none"/>
                    </w:rPr>
                    <w:t>污染物指标</w:t>
                  </w:r>
                </w:p>
              </w:tc>
              <w:tc>
                <w:tcPr>
                  <w:tcW w:w="534" w:type="pct"/>
                  <w:vMerge w:val="restart"/>
                  <w:vAlign w:val="center"/>
                </w:tcPr>
                <w:p>
                  <w:pPr>
                    <w:contextualSpacing/>
                    <w:jc w:val="center"/>
                    <w:rPr>
                      <w:b/>
                      <w:bCs/>
                      <w:color w:val="auto"/>
                      <w:spacing w:val="4"/>
                      <w:szCs w:val="21"/>
                      <w:u w:val="none"/>
                    </w:rPr>
                  </w:pPr>
                  <w:r>
                    <w:rPr>
                      <w:rFonts w:hint="eastAsia"/>
                      <w:b/>
                      <w:bCs/>
                      <w:color w:val="auto"/>
                      <w:spacing w:val="4"/>
                      <w:szCs w:val="21"/>
                      <w:u w:val="none"/>
                    </w:rPr>
                    <w:t>单位</w:t>
                  </w:r>
                </w:p>
              </w:tc>
              <w:tc>
                <w:tcPr>
                  <w:tcW w:w="572" w:type="pct"/>
                  <w:vMerge w:val="restart"/>
                  <w:vAlign w:val="center"/>
                </w:tcPr>
                <w:p>
                  <w:pPr>
                    <w:contextualSpacing/>
                    <w:jc w:val="center"/>
                    <w:rPr>
                      <w:b/>
                      <w:bCs/>
                      <w:color w:val="auto"/>
                      <w:spacing w:val="4"/>
                      <w:szCs w:val="21"/>
                      <w:u w:val="none"/>
                    </w:rPr>
                  </w:pPr>
                  <w:r>
                    <w:rPr>
                      <w:rFonts w:hint="eastAsia"/>
                      <w:b/>
                      <w:bCs/>
                      <w:color w:val="auto"/>
                      <w:spacing w:val="4"/>
                      <w:szCs w:val="21"/>
                      <w:u w:val="none"/>
                    </w:rPr>
                    <w:t>产污系数</w:t>
                  </w:r>
                </w:p>
              </w:tc>
              <w:tc>
                <w:tcPr>
                  <w:tcW w:w="2392" w:type="pct"/>
                  <w:gridSpan w:val="3"/>
                  <w:vAlign w:val="center"/>
                </w:tcPr>
                <w:p>
                  <w:pPr>
                    <w:contextualSpacing/>
                    <w:jc w:val="center"/>
                    <w:rPr>
                      <w:rFonts w:hint="eastAsia"/>
                      <w:b/>
                      <w:bCs/>
                      <w:color w:val="auto"/>
                      <w:spacing w:val="4"/>
                      <w:szCs w:val="21"/>
                      <w:u w:val="none"/>
                      <w:lang w:val="en-US" w:eastAsia="zh-CN"/>
                    </w:rPr>
                  </w:pPr>
                  <w:r>
                    <w:rPr>
                      <w:rFonts w:hint="eastAsia"/>
                      <w:b/>
                      <w:bCs/>
                      <w:color w:val="auto"/>
                      <w:spacing w:val="4"/>
                      <w:szCs w:val="21"/>
                      <w:u w:val="none"/>
                      <w:lang w:val="en-US" w:eastAsia="zh-CN"/>
                    </w:rPr>
                    <w:t>计算结果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97" w:type="pct"/>
                  <w:vMerge w:val="continue"/>
                  <w:vAlign w:val="center"/>
                </w:tcPr>
                <w:p>
                  <w:pPr>
                    <w:contextualSpacing/>
                    <w:jc w:val="center"/>
                    <w:rPr>
                      <w:rFonts w:hint="eastAsia"/>
                      <w:b/>
                      <w:bCs/>
                      <w:color w:val="auto"/>
                      <w:spacing w:val="4"/>
                      <w:szCs w:val="21"/>
                      <w:u w:val="none"/>
                    </w:rPr>
                  </w:pPr>
                </w:p>
              </w:tc>
              <w:tc>
                <w:tcPr>
                  <w:tcW w:w="400" w:type="pct"/>
                  <w:vMerge w:val="continue"/>
                  <w:vAlign w:val="center"/>
                </w:tcPr>
                <w:p>
                  <w:pPr>
                    <w:contextualSpacing/>
                    <w:jc w:val="center"/>
                    <w:rPr>
                      <w:rFonts w:hint="eastAsia"/>
                      <w:b/>
                      <w:bCs/>
                      <w:color w:val="auto"/>
                      <w:spacing w:val="4"/>
                      <w:szCs w:val="21"/>
                      <w:u w:val="none"/>
                    </w:rPr>
                  </w:pPr>
                </w:p>
              </w:tc>
              <w:tc>
                <w:tcPr>
                  <w:tcW w:w="602" w:type="pct"/>
                  <w:vMerge w:val="continue"/>
                  <w:vAlign w:val="center"/>
                </w:tcPr>
                <w:p>
                  <w:pPr>
                    <w:contextualSpacing/>
                    <w:jc w:val="center"/>
                    <w:rPr>
                      <w:rFonts w:hint="eastAsia"/>
                      <w:b/>
                      <w:bCs/>
                      <w:color w:val="auto"/>
                      <w:spacing w:val="4"/>
                      <w:szCs w:val="21"/>
                      <w:u w:val="none"/>
                    </w:rPr>
                  </w:pPr>
                </w:p>
              </w:tc>
              <w:tc>
                <w:tcPr>
                  <w:tcW w:w="534" w:type="pct"/>
                  <w:vMerge w:val="continue"/>
                  <w:vAlign w:val="center"/>
                </w:tcPr>
                <w:p>
                  <w:pPr>
                    <w:contextualSpacing/>
                    <w:jc w:val="center"/>
                    <w:rPr>
                      <w:rFonts w:hint="eastAsia"/>
                      <w:b/>
                      <w:bCs/>
                      <w:color w:val="auto"/>
                      <w:spacing w:val="4"/>
                      <w:szCs w:val="21"/>
                      <w:u w:val="none"/>
                    </w:rPr>
                  </w:pPr>
                </w:p>
              </w:tc>
              <w:tc>
                <w:tcPr>
                  <w:tcW w:w="572" w:type="pct"/>
                  <w:vMerge w:val="continue"/>
                  <w:vAlign w:val="center"/>
                </w:tcPr>
                <w:p>
                  <w:pPr>
                    <w:contextualSpacing/>
                    <w:jc w:val="center"/>
                    <w:rPr>
                      <w:rFonts w:hint="eastAsia"/>
                      <w:b/>
                      <w:bCs/>
                      <w:color w:val="auto"/>
                      <w:spacing w:val="4"/>
                      <w:szCs w:val="21"/>
                      <w:u w:val="none"/>
                    </w:rPr>
                  </w:pPr>
                </w:p>
              </w:tc>
              <w:tc>
                <w:tcPr>
                  <w:tcW w:w="901" w:type="pct"/>
                  <w:vAlign w:val="center"/>
                </w:tcPr>
                <w:p>
                  <w:pPr>
                    <w:contextualSpacing/>
                    <w:jc w:val="center"/>
                    <w:rPr>
                      <w:rFonts w:hint="default"/>
                      <w:b/>
                      <w:bCs/>
                      <w:color w:val="auto"/>
                      <w:spacing w:val="4"/>
                      <w:szCs w:val="21"/>
                      <w:u w:val="none"/>
                      <w:lang w:val="en-US" w:eastAsia="zh-CN"/>
                    </w:rPr>
                  </w:pPr>
                  <w:r>
                    <w:rPr>
                      <w:rFonts w:hint="eastAsia"/>
                      <w:b/>
                      <w:bCs/>
                      <w:color w:val="auto"/>
                      <w:spacing w:val="4"/>
                      <w:szCs w:val="21"/>
                      <w:u w:val="none"/>
                      <w:lang w:val="en-US" w:eastAsia="zh-CN"/>
                    </w:rPr>
                    <w:t>产生量（t/a）</w:t>
                  </w:r>
                </w:p>
              </w:tc>
              <w:tc>
                <w:tcPr>
                  <w:tcW w:w="745" w:type="pct"/>
                  <w:vAlign w:val="center"/>
                </w:tcPr>
                <w:p>
                  <w:pPr>
                    <w:contextualSpacing/>
                    <w:jc w:val="center"/>
                    <w:rPr>
                      <w:rFonts w:hint="default"/>
                      <w:b/>
                      <w:bCs/>
                      <w:color w:val="auto"/>
                      <w:spacing w:val="4"/>
                      <w:szCs w:val="21"/>
                      <w:u w:val="none"/>
                      <w:lang w:val="en-US" w:eastAsia="zh-CN"/>
                    </w:rPr>
                  </w:pPr>
                  <w:r>
                    <w:rPr>
                      <w:rFonts w:hint="eastAsia"/>
                      <w:b/>
                      <w:bCs/>
                      <w:color w:val="auto"/>
                      <w:spacing w:val="4"/>
                      <w:szCs w:val="21"/>
                      <w:u w:val="none"/>
                      <w:lang w:val="en-US" w:eastAsia="zh-CN"/>
                    </w:rPr>
                    <w:t>产生速率（kg/h）</w:t>
                  </w:r>
                </w:p>
              </w:tc>
              <w:tc>
                <w:tcPr>
                  <w:tcW w:w="745" w:type="pct"/>
                  <w:vAlign w:val="center"/>
                </w:tcPr>
                <w:p>
                  <w:pPr>
                    <w:widowControl/>
                    <w:tabs>
                      <w:tab w:val="left" w:pos="1050"/>
                    </w:tabs>
                    <w:autoSpaceDE w:val="0"/>
                    <w:jc w:val="center"/>
                    <w:rPr>
                      <w:rFonts w:hint="default"/>
                      <w:b/>
                      <w:bCs/>
                      <w:color w:val="auto"/>
                      <w:spacing w:val="4"/>
                      <w:szCs w:val="21"/>
                      <w:u w:val="none"/>
                      <w:lang w:val="en-US" w:eastAsia="zh-CN"/>
                    </w:rPr>
                  </w:pPr>
                  <w:r>
                    <w:rPr>
                      <w:rFonts w:hint="eastAsia"/>
                      <w:b/>
                      <w:bCs/>
                      <w:color w:val="auto"/>
                      <w:spacing w:val="4"/>
                      <w:szCs w:val="21"/>
                      <w:u w:val="none"/>
                      <w:lang w:val="en-US" w:eastAsia="zh-CN"/>
                    </w:rPr>
                    <w:t>产生浓度</w:t>
                  </w:r>
                  <w:r>
                    <w:rPr>
                      <w:b/>
                      <w:bCs/>
                      <w:color w:val="auto"/>
                      <w:kern w:val="0"/>
                      <w:sz w:val="21"/>
                      <w:szCs w:val="21"/>
                      <w:u w:val="none"/>
                    </w:rPr>
                    <w:t>（</w:t>
                  </w:r>
                  <w:r>
                    <w:rPr>
                      <w:rFonts w:eastAsia="Times New Roman"/>
                      <w:b/>
                      <w:bCs/>
                      <w:color w:val="auto"/>
                      <w:kern w:val="0"/>
                      <w:sz w:val="21"/>
                      <w:szCs w:val="21"/>
                      <w:u w:val="none"/>
                    </w:rPr>
                    <w:t>mg/m</w:t>
                  </w:r>
                  <w:r>
                    <w:rPr>
                      <w:rFonts w:eastAsia="Times New Roman"/>
                      <w:b/>
                      <w:bCs/>
                      <w:color w:val="auto"/>
                      <w:kern w:val="0"/>
                      <w:sz w:val="21"/>
                      <w:szCs w:val="21"/>
                      <w:u w:val="none"/>
                      <w:vertAlign w:val="superscript"/>
                    </w:rPr>
                    <w:t>3</w:t>
                  </w:r>
                  <w:r>
                    <w:rPr>
                      <w:b/>
                      <w:bCs/>
                      <w:color w:val="auto"/>
                      <w:kern w:val="0"/>
                      <w:sz w:val="21"/>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7" w:type="pct"/>
                  <w:vMerge w:val="restart"/>
                  <w:vAlign w:val="center"/>
                </w:tcPr>
                <w:p>
                  <w:pPr>
                    <w:contextualSpacing/>
                    <w:jc w:val="center"/>
                    <w:rPr>
                      <w:color w:val="auto"/>
                      <w:spacing w:val="4"/>
                      <w:szCs w:val="21"/>
                      <w:u w:val="none"/>
                    </w:rPr>
                  </w:pPr>
                  <w:r>
                    <w:rPr>
                      <w:rFonts w:hint="eastAsia"/>
                      <w:color w:val="auto"/>
                      <w:spacing w:val="4"/>
                      <w:szCs w:val="21"/>
                      <w:u w:val="none"/>
                    </w:rPr>
                    <w:t>蒸气/热水/其他</w:t>
                  </w:r>
                </w:p>
              </w:tc>
              <w:tc>
                <w:tcPr>
                  <w:tcW w:w="400" w:type="pct"/>
                  <w:vMerge w:val="restart"/>
                  <w:vAlign w:val="center"/>
                </w:tcPr>
                <w:p>
                  <w:pPr>
                    <w:contextualSpacing/>
                    <w:jc w:val="center"/>
                    <w:rPr>
                      <w:rFonts w:hint="eastAsia" w:eastAsia="宋体"/>
                      <w:color w:val="auto"/>
                      <w:spacing w:val="4"/>
                      <w:szCs w:val="21"/>
                      <w:u w:val="none"/>
                      <w:lang w:val="en-US" w:eastAsia="zh-CN"/>
                    </w:rPr>
                  </w:pPr>
                  <w:r>
                    <w:rPr>
                      <w:rFonts w:hint="eastAsia"/>
                      <w:color w:val="auto"/>
                      <w:spacing w:val="4"/>
                      <w:szCs w:val="21"/>
                      <w:u w:val="none"/>
                      <w:lang w:val="en-US" w:eastAsia="zh-CN"/>
                    </w:rPr>
                    <w:t>生物质</w:t>
                  </w:r>
                </w:p>
              </w:tc>
              <w:tc>
                <w:tcPr>
                  <w:tcW w:w="602" w:type="pct"/>
                  <w:vAlign w:val="center"/>
                </w:tcPr>
                <w:p>
                  <w:pPr>
                    <w:contextualSpacing/>
                    <w:jc w:val="center"/>
                    <w:rPr>
                      <w:color w:val="auto"/>
                      <w:spacing w:val="4"/>
                      <w:szCs w:val="21"/>
                      <w:u w:val="none"/>
                    </w:rPr>
                  </w:pPr>
                  <w:r>
                    <w:rPr>
                      <w:rFonts w:hint="eastAsia"/>
                      <w:color w:val="auto"/>
                      <w:spacing w:val="4"/>
                      <w:szCs w:val="21"/>
                      <w:u w:val="none"/>
                    </w:rPr>
                    <w:t>基准烟气量</w:t>
                  </w:r>
                </w:p>
              </w:tc>
              <w:tc>
                <w:tcPr>
                  <w:tcW w:w="534" w:type="pct"/>
                  <w:vAlign w:val="center"/>
                </w:tcPr>
                <w:p>
                  <w:pPr>
                    <w:contextualSpacing/>
                    <w:jc w:val="center"/>
                    <w:rPr>
                      <w:rFonts w:hint="eastAsia" w:eastAsia="宋体"/>
                      <w:color w:val="auto"/>
                      <w:spacing w:val="4"/>
                      <w:szCs w:val="21"/>
                      <w:u w:val="none"/>
                      <w:vertAlign w:val="superscript"/>
                      <w:lang w:eastAsia="zh-CN"/>
                    </w:rPr>
                  </w:pPr>
                  <w:r>
                    <w:rPr>
                      <w:color w:val="auto"/>
                      <w:spacing w:val="4"/>
                      <w:szCs w:val="21"/>
                      <w:u w:val="none"/>
                    </w:rPr>
                    <w:t>Nm</w:t>
                  </w:r>
                  <w:r>
                    <w:rPr>
                      <w:color w:val="auto"/>
                      <w:spacing w:val="4"/>
                      <w:szCs w:val="21"/>
                      <w:u w:val="none"/>
                      <w:vertAlign w:val="superscript"/>
                    </w:rPr>
                    <w:t>3</w:t>
                  </w:r>
                  <w:r>
                    <w:rPr>
                      <w:color w:val="auto"/>
                      <w:spacing w:val="4"/>
                      <w:szCs w:val="21"/>
                      <w:u w:val="none"/>
                    </w:rPr>
                    <w:t>/</w:t>
                  </w:r>
                  <w:r>
                    <w:rPr>
                      <w:rFonts w:hint="eastAsia"/>
                      <w:color w:val="auto"/>
                      <w:spacing w:val="4"/>
                      <w:szCs w:val="21"/>
                      <w:u w:val="none"/>
                      <w:lang w:val="en-US" w:eastAsia="zh-CN"/>
                    </w:rPr>
                    <w:t>kg</w:t>
                  </w:r>
                </w:p>
              </w:tc>
              <w:tc>
                <w:tcPr>
                  <w:tcW w:w="572" w:type="pct"/>
                  <w:vAlign w:val="center"/>
                </w:tcPr>
                <w:p>
                  <w:pPr>
                    <w:contextualSpacing/>
                    <w:jc w:val="center"/>
                    <w:rPr>
                      <w:rFonts w:hint="default" w:eastAsia="宋体"/>
                      <w:color w:val="auto"/>
                      <w:spacing w:val="4"/>
                      <w:szCs w:val="21"/>
                      <w:u w:val="none"/>
                      <w:lang w:val="en-US" w:eastAsia="zh-CN"/>
                    </w:rPr>
                  </w:pPr>
                  <w:r>
                    <w:rPr>
                      <w:rFonts w:hint="eastAsia"/>
                      <w:color w:val="auto"/>
                      <w:spacing w:val="4"/>
                      <w:szCs w:val="21"/>
                      <w:u w:val="none"/>
                      <w:lang w:val="en-US" w:eastAsia="zh-CN"/>
                    </w:rPr>
                    <w:t>7.54</w:t>
                  </w:r>
                </w:p>
              </w:tc>
              <w:tc>
                <w:tcPr>
                  <w:tcW w:w="901" w:type="pct"/>
                  <w:vAlign w:val="center"/>
                </w:tcPr>
                <w:p>
                  <w:pPr>
                    <w:keepNext w:val="0"/>
                    <w:keepLines w:val="0"/>
                    <w:widowControl/>
                    <w:suppressLineNumbers w:val="0"/>
                    <w:jc w:val="center"/>
                    <w:textAlignment w:val="center"/>
                    <w:rPr>
                      <w:rFonts w:hint="default" w:eastAsia="宋体"/>
                      <w:color w:val="auto"/>
                      <w:spacing w:val="4"/>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3770000</w:t>
                  </w:r>
                  <w:r>
                    <w:rPr>
                      <w:color w:val="auto"/>
                      <w:spacing w:val="4"/>
                      <w:szCs w:val="21"/>
                      <w:u w:val="none"/>
                    </w:rPr>
                    <w:t>Nm</w:t>
                  </w:r>
                  <w:r>
                    <w:rPr>
                      <w:rFonts w:hint="eastAsia"/>
                      <w:color w:val="auto"/>
                      <w:spacing w:val="4"/>
                      <w:szCs w:val="21"/>
                      <w:u w:val="none"/>
                      <w:vertAlign w:val="superscript"/>
                      <w:lang w:val="en-US" w:eastAsia="zh-CN"/>
                    </w:rPr>
                    <w:t>3</w:t>
                  </w:r>
                  <w:r>
                    <w:rPr>
                      <w:rFonts w:hint="eastAsia"/>
                      <w:color w:val="auto"/>
                      <w:spacing w:val="4"/>
                      <w:szCs w:val="21"/>
                      <w:u w:val="none"/>
                      <w:lang w:val="en-US" w:eastAsia="zh-CN"/>
                    </w:rPr>
                    <w:t>/a</w:t>
                  </w:r>
                </w:p>
              </w:tc>
              <w:tc>
                <w:tcPr>
                  <w:tcW w:w="745" w:type="pct"/>
                  <w:vAlign w:val="center"/>
                </w:tcPr>
                <w:p>
                  <w:pPr>
                    <w:keepNext w:val="0"/>
                    <w:keepLines w:val="0"/>
                    <w:widowControl/>
                    <w:suppressLineNumbers w:val="0"/>
                    <w:jc w:val="center"/>
                    <w:textAlignment w:val="center"/>
                    <w:rPr>
                      <w:color w:val="auto"/>
                      <w:spacing w:val="4"/>
                      <w:szCs w:val="21"/>
                      <w:u w:val="none"/>
                    </w:rPr>
                  </w:pPr>
                  <w:r>
                    <w:rPr>
                      <w:rFonts w:hint="default" w:ascii="Times New Roman" w:hAnsi="Times New Roman" w:eastAsia="宋体" w:cs="Times New Roman"/>
                      <w:i w:val="0"/>
                      <w:iCs w:val="0"/>
                      <w:color w:val="auto"/>
                      <w:kern w:val="0"/>
                      <w:sz w:val="21"/>
                      <w:szCs w:val="21"/>
                      <w:u w:val="none"/>
                      <w:lang w:val="en-US" w:eastAsia="zh-CN" w:bidi="ar"/>
                    </w:rPr>
                    <w:t>1885</w:t>
                  </w:r>
                  <w:r>
                    <w:rPr>
                      <w:color w:val="auto"/>
                      <w:spacing w:val="4"/>
                      <w:szCs w:val="21"/>
                      <w:u w:val="none"/>
                    </w:rPr>
                    <w:t>Nm</w:t>
                  </w:r>
                  <w:r>
                    <w:rPr>
                      <w:rFonts w:hint="eastAsia"/>
                      <w:color w:val="auto"/>
                      <w:spacing w:val="4"/>
                      <w:szCs w:val="21"/>
                      <w:u w:val="none"/>
                      <w:vertAlign w:val="superscript"/>
                      <w:lang w:val="en-US" w:eastAsia="zh-CN"/>
                    </w:rPr>
                    <w:t>3</w:t>
                  </w:r>
                  <w:r>
                    <w:rPr>
                      <w:rFonts w:hint="eastAsia"/>
                      <w:color w:val="auto"/>
                      <w:spacing w:val="4"/>
                      <w:szCs w:val="21"/>
                      <w:u w:val="none"/>
                      <w:lang w:val="en-US" w:eastAsia="zh-CN"/>
                    </w:rPr>
                    <w:t>/h</w:t>
                  </w:r>
                </w:p>
              </w:tc>
              <w:tc>
                <w:tcPr>
                  <w:tcW w:w="745" w:type="pct"/>
                  <w:vAlign w:val="center"/>
                </w:tcPr>
                <w:p>
                  <w:pPr>
                    <w:jc w:val="center"/>
                    <w:rPr>
                      <w:rFonts w:hint="eastAsia" w:eastAsia="宋体"/>
                      <w:color w:val="auto"/>
                      <w:spacing w:val="4"/>
                      <w:szCs w:val="21"/>
                      <w:u w:val="none"/>
                      <w:lang w:val="en-US" w:eastAsia="zh-CN"/>
                    </w:rPr>
                  </w:pPr>
                  <w:r>
                    <w:rPr>
                      <w:rFonts w:hint="eastAsia"/>
                      <w:color w:val="auto"/>
                      <w:spacing w:val="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7" w:type="pct"/>
                  <w:vMerge w:val="continue"/>
                  <w:vAlign w:val="center"/>
                </w:tcPr>
                <w:p>
                  <w:pPr>
                    <w:contextualSpacing/>
                    <w:jc w:val="center"/>
                    <w:rPr>
                      <w:color w:val="auto"/>
                      <w:spacing w:val="4"/>
                      <w:szCs w:val="21"/>
                      <w:u w:val="none"/>
                    </w:rPr>
                  </w:pPr>
                </w:p>
              </w:tc>
              <w:tc>
                <w:tcPr>
                  <w:tcW w:w="400" w:type="pct"/>
                  <w:vMerge w:val="continue"/>
                  <w:vAlign w:val="center"/>
                </w:tcPr>
                <w:p>
                  <w:pPr>
                    <w:contextualSpacing/>
                    <w:jc w:val="center"/>
                    <w:rPr>
                      <w:color w:val="auto"/>
                      <w:spacing w:val="4"/>
                      <w:szCs w:val="21"/>
                      <w:u w:val="none"/>
                    </w:rPr>
                  </w:pPr>
                </w:p>
              </w:tc>
              <w:tc>
                <w:tcPr>
                  <w:tcW w:w="602" w:type="pct"/>
                  <w:vAlign w:val="center"/>
                </w:tcPr>
                <w:p>
                  <w:pPr>
                    <w:contextualSpacing/>
                    <w:jc w:val="center"/>
                    <w:rPr>
                      <w:color w:val="auto"/>
                      <w:spacing w:val="4"/>
                      <w:szCs w:val="21"/>
                      <w:u w:val="none"/>
                    </w:rPr>
                  </w:pPr>
                  <w:r>
                    <w:rPr>
                      <w:rFonts w:hint="eastAsia"/>
                      <w:color w:val="auto"/>
                      <w:spacing w:val="4"/>
                      <w:szCs w:val="21"/>
                      <w:u w:val="none"/>
                    </w:rPr>
                    <w:t>二氧化硫</w:t>
                  </w:r>
                </w:p>
              </w:tc>
              <w:tc>
                <w:tcPr>
                  <w:tcW w:w="534" w:type="pct"/>
                  <w:vAlign w:val="center"/>
                </w:tcPr>
                <w:p>
                  <w:pPr>
                    <w:contextualSpacing/>
                    <w:jc w:val="center"/>
                    <w:rPr>
                      <w:color w:val="auto"/>
                      <w:spacing w:val="4"/>
                      <w:szCs w:val="21"/>
                      <w:u w:val="none"/>
                    </w:rPr>
                  </w:pPr>
                  <w:r>
                    <w:rPr>
                      <w:rFonts w:hint="eastAsia"/>
                      <w:color w:val="auto"/>
                      <w:spacing w:val="4"/>
                      <w:szCs w:val="21"/>
                      <w:u w:val="none"/>
                    </w:rPr>
                    <w:t>kg/</w:t>
                  </w:r>
                  <w:r>
                    <w:rPr>
                      <w:rFonts w:hint="eastAsia"/>
                      <w:color w:val="auto"/>
                      <w:spacing w:val="4"/>
                      <w:szCs w:val="21"/>
                      <w:u w:val="none"/>
                      <w:lang w:val="en-US" w:eastAsia="zh-CN"/>
                    </w:rPr>
                    <w:t>t</w:t>
                  </w:r>
                  <w:r>
                    <w:rPr>
                      <w:rFonts w:hint="eastAsia"/>
                      <w:color w:val="auto"/>
                      <w:spacing w:val="4"/>
                      <w:szCs w:val="21"/>
                      <w:u w:val="none"/>
                    </w:rPr>
                    <w:t>-燃料</w:t>
                  </w:r>
                </w:p>
              </w:tc>
              <w:tc>
                <w:tcPr>
                  <w:tcW w:w="572" w:type="pct"/>
                  <w:vAlign w:val="center"/>
                </w:tcPr>
                <w:p>
                  <w:pPr>
                    <w:contextualSpacing/>
                    <w:jc w:val="center"/>
                    <w:rPr>
                      <w:color w:val="auto"/>
                      <w:spacing w:val="4"/>
                      <w:szCs w:val="21"/>
                      <w:u w:val="none"/>
                    </w:rPr>
                  </w:pPr>
                  <w:r>
                    <w:rPr>
                      <w:rFonts w:hint="eastAsia"/>
                      <w:color w:val="auto"/>
                      <w:spacing w:val="4"/>
                      <w:szCs w:val="21"/>
                      <w:u w:val="none"/>
                      <w:lang w:val="en-US" w:eastAsia="zh-CN"/>
                    </w:rPr>
                    <w:t>17</w:t>
                  </w:r>
                  <w:r>
                    <w:rPr>
                      <w:color w:val="auto"/>
                      <w:spacing w:val="4"/>
                      <w:szCs w:val="21"/>
                      <w:u w:val="none"/>
                    </w:rPr>
                    <w:t>S</w:t>
                  </w:r>
                </w:p>
              </w:tc>
              <w:tc>
                <w:tcPr>
                  <w:tcW w:w="901" w:type="pct"/>
                  <w:vAlign w:val="center"/>
                </w:tcPr>
                <w:p>
                  <w:pPr>
                    <w:keepNext w:val="0"/>
                    <w:keepLines w:val="0"/>
                    <w:widowControl/>
                    <w:suppressLineNumbers w:val="0"/>
                    <w:jc w:val="center"/>
                    <w:textAlignment w:val="center"/>
                    <w:rPr>
                      <w:color w:val="auto"/>
                      <w:spacing w:val="4"/>
                      <w:szCs w:val="21"/>
                      <w:u w:val="none"/>
                    </w:rPr>
                  </w:pPr>
                  <w:r>
                    <w:rPr>
                      <w:rFonts w:hint="default" w:ascii="Times New Roman" w:hAnsi="Times New Roman" w:eastAsia="宋体" w:cs="Times New Roman"/>
                      <w:i w:val="0"/>
                      <w:iCs w:val="0"/>
                      <w:color w:val="auto"/>
                      <w:kern w:val="0"/>
                      <w:sz w:val="21"/>
                      <w:szCs w:val="21"/>
                      <w:u w:val="none"/>
                      <w:lang w:val="en-US" w:eastAsia="zh-CN" w:bidi="ar"/>
                    </w:rPr>
                    <w:t>0.85</w:t>
                  </w:r>
                </w:p>
              </w:tc>
              <w:tc>
                <w:tcPr>
                  <w:tcW w:w="745" w:type="pct"/>
                  <w:vAlign w:val="center"/>
                </w:tcPr>
                <w:p>
                  <w:pPr>
                    <w:keepNext w:val="0"/>
                    <w:keepLines w:val="0"/>
                    <w:widowControl/>
                    <w:suppressLineNumbers w:val="0"/>
                    <w:jc w:val="center"/>
                    <w:textAlignment w:val="center"/>
                    <w:rPr>
                      <w:color w:val="auto"/>
                      <w:spacing w:val="4"/>
                      <w:szCs w:val="21"/>
                      <w:u w:val="none"/>
                    </w:rPr>
                  </w:pPr>
                  <w:r>
                    <w:rPr>
                      <w:rFonts w:hint="default" w:ascii="Times New Roman" w:hAnsi="Times New Roman" w:eastAsia="宋体" w:cs="Times New Roman"/>
                      <w:i w:val="0"/>
                      <w:iCs w:val="0"/>
                      <w:color w:val="auto"/>
                      <w:kern w:val="0"/>
                      <w:sz w:val="21"/>
                      <w:szCs w:val="21"/>
                      <w:u w:val="none"/>
                      <w:lang w:val="en-US" w:eastAsia="zh-CN" w:bidi="ar"/>
                    </w:rPr>
                    <w:t>0.425</w:t>
                  </w:r>
                </w:p>
              </w:tc>
              <w:tc>
                <w:tcPr>
                  <w:tcW w:w="745" w:type="pct"/>
                  <w:vAlign w:val="center"/>
                </w:tcPr>
                <w:p>
                  <w:pPr>
                    <w:keepNext w:val="0"/>
                    <w:keepLines w:val="0"/>
                    <w:widowControl/>
                    <w:suppressLineNumbers w:val="0"/>
                    <w:jc w:val="center"/>
                    <w:textAlignment w:val="center"/>
                    <w:rPr>
                      <w:color w:val="auto"/>
                      <w:spacing w:val="4"/>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225.5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7" w:type="pct"/>
                  <w:vMerge w:val="continue"/>
                  <w:vAlign w:val="center"/>
                </w:tcPr>
                <w:p>
                  <w:pPr>
                    <w:contextualSpacing/>
                    <w:jc w:val="center"/>
                    <w:rPr>
                      <w:color w:val="auto"/>
                      <w:spacing w:val="4"/>
                      <w:szCs w:val="21"/>
                      <w:u w:val="none"/>
                    </w:rPr>
                  </w:pPr>
                </w:p>
              </w:tc>
              <w:tc>
                <w:tcPr>
                  <w:tcW w:w="400" w:type="pct"/>
                  <w:vMerge w:val="continue"/>
                  <w:vAlign w:val="center"/>
                </w:tcPr>
                <w:p>
                  <w:pPr>
                    <w:contextualSpacing/>
                    <w:jc w:val="center"/>
                    <w:rPr>
                      <w:color w:val="auto"/>
                      <w:spacing w:val="4"/>
                      <w:szCs w:val="21"/>
                      <w:u w:val="none"/>
                    </w:rPr>
                  </w:pPr>
                </w:p>
              </w:tc>
              <w:tc>
                <w:tcPr>
                  <w:tcW w:w="602" w:type="pct"/>
                  <w:vAlign w:val="center"/>
                </w:tcPr>
                <w:p>
                  <w:pPr>
                    <w:contextualSpacing/>
                    <w:jc w:val="center"/>
                    <w:rPr>
                      <w:rFonts w:hint="eastAsia" w:eastAsia="宋体"/>
                      <w:color w:val="auto"/>
                      <w:spacing w:val="4"/>
                      <w:szCs w:val="21"/>
                      <w:u w:val="none"/>
                      <w:lang w:eastAsia="zh-CN"/>
                    </w:rPr>
                  </w:pPr>
                  <w:r>
                    <w:rPr>
                      <w:rFonts w:hint="eastAsia"/>
                      <w:color w:val="auto"/>
                      <w:spacing w:val="4"/>
                      <w:szCs w:val="21"/>
                      <w:u w:val="none"/>
                    </w:rPr>
                    <w:t>颗粒物</w:t>
                  </w:r>
                  <w:r>
                    <w:rPr>
                      <w:rFonts w:hint="eastAsia"/>
                      <w:color w:val="auto"/>
                      <w:spacing w:val="4"/>
                      <w:szCs w:val="21"/>
                      <w:u w:val="none"/>
                      <w:lang w:eastAsia="zh-CN"/>
                    </w:rPr>
                    <w:t>（</w:t>
                  </w:r>
                  <w:r>
                    <w:rPr>
                      <w:rFonts w:hint="eastAsia"/>
                      <w:color w:val="auto"/>
                      <w:spacing w:val="4"/>
                      <w:szCs w:val="21"/>
                      <w:u w:val="none"/>
                      <w:lang w:val="en-US" w:eastAsia="zh-CN"/>
                    </w:rPr>
                    <w:t>散烧、捆烧</w:t>
                  </w:r>
                  <w:r>
                    <w:rPr>
                      <w:rFonts w:hint="eastAsia"/>
                      <w:color w:val="auto"/>
                      <w:spacing w:val="4"/>
                      <w:szCs w:val="21"/>
                      <w:u w:val="none"/>
                      <w:lang w:eastAsia="zh-CN"/>
                    </w:rPr>
                    <w:t>）</w:t>
                  </w:r>
                </w:p>
              </w:tc>
              <w:tc>
                <w:tcPr>
                  <w:tcW w:w="534" w:type="pct"/>
                  <w:vAlign w:val="center"/>
                </w:tcPr>
                <w:p>
                  <w:pPr>
                    <w:contextualSpacing/>
                    <w:jc w:val="center"/>
                    <w:rPr>
                      <w:color w:val="auto"/>
                      <w:spacing w:val="4"/>
                      <w:szCs w:val="21"/>
                      <w:u w:val="none"/>
                    </w:rPr>
                  </w:pPr>
                  <w:r>
                    <w:rPr>
                      <w:rFonts w:hint="eastAsia"/>
                      <w:color w:val="auto"/>
                      <w:spacing w:val="4"/>
                      <w:szCs w:val="21"/>
                      <w:u w:val="none"/>
                    </w:rPr>
                    <w:t>kg/</w:t>
                  </w:r>
                  <w:r>
                    <w:rPr>
                      <w:rFonts w:hint="eastAsia"/>
                      <w:color w:val="auto"/>
                      <w:spacing w:val="4"/>
                      <w:szCs w:val="21"/>
                      <w:u w:val="none"/>
                      <w:lang w:val="en-US" w:eastAsia="zh-CN"/>
                    </w:rPr>
                    <w:t>t</w:t>
                  </w:r>
                  <w:r>
                    <w:rPr>
                      <w:rFonts w:hint="eastAsia"/>
                      <w:color w:val="auto"/>
                      <w:spacing w:val="4"/>
                      <w:szCs w:val="21"/>
                      <w:u w:val="none"/>
                    </w:rPr>
                    <w:t>-燃料</w:t>
                  </w:r>
                </w:p>
              </w:tc>
              <w:tc>
                <w:tcPr>
                  <w:tcW w:w="572" w:type="pct"/>
                  <w:vAlign w:val="center"/>
                </w:tcPr>
                <w:p>
                  <w:pPr>
                    <w:contextualSpacing/>
                    <w:jc w:val="center"/>
                    <w:rPr>
                      <w:rFonts w:hint="default" w:eastAsia="宋体"/>
                      <w:color w:val="auto"/>
                      <w:spacing w:val="4"/>
                      <w:szCs w:val="21"/>
                      <w:u w:val="none"/>
                      <w:lang w:val="en-US" w:eastAsia="zh-CN"/>
                    </w:rPr>
                  </w:pPr>
                  <w:r>
                    <w:rPr>
                      <w:rFonts w:hint="eastAsia"/>
                      <w:color w:val="auto"/>
                      <w:spacing w:val="4"/>
                      <w:szCs w:val="21"/>
                      <w:u w:val="none"/>
                      <w:lang w:val="en-US" w:eastAsia="zh-CN"/>
                    </w:rPr>
                    <w:t>37.6</w:t>
                  </w:r>
                </w:p>
              </w:tc>
              <w:tc>
                <w:tcPr>
                  <w:tcW w:w="901" w:type="pct"/>
                  <w:vAlign w:val="center"/>
                </w:tcPr>
                <w:p>
                  <w:pPr>
                    <w:keepNext w:val="0"/>
                    <w:keepLines w:val="0"/>
                    <w:widowControl/>
                    <w:suppressLineNumbers w:val="0"/>
                    <w:jc w:val="center"/>
                    <w:textAlignment w:val="center"/>
                    <w:rPr>
                      <w:color w:val="auto"/>
                      <w:spacing w:val="4"/>
                      <w:szCs w:val="21"/>
                      <w:u w:val="none"/>
                    </w:rPr>
                  </w:pPr>
                  <w:r>
                    <w:rPr>
                      <w:rFonts w:hint="default" w:ascii="Times New Roman" w:hAnsi="Times New Roman" w:eastAsia="宋体" w:cs="Times New Roman"/>
                      <w:i w:val="0"/>
                      <w:iCs w:val="0"/>
                      <w:color w:val="auto"/>
                      <w:kern w:val="0"/>
                      <w:sz w:val="21"/>
                      <w:szCs w:val="21"/>
                      <w:u w:val="none"/>
                      <w:lang w:val="en-US" w:eastAsia="zh-CN" w:bidi="ar"/>
                    </w:rPr>
                    <w:t>18.8</w:t>
                  </w:r>
                </w:p>
              </w:tc>
              <w:tc>
                <w:tcPr>
                  <w:tcW w:w="745" w:type="pct"/>
                  <w:vAlign w:val="center"/>
                </w:tcPr>
                <w:p>
                  <w:pPr>
                    <w:keepNext w:val="0"/>
                    <w:keepLines w:val="0"/>
                    <w:widowControl/>
                    <w:suppressLineNumbers w:val="0"/>
                    <w:jc w:val="center"/>
                    <w:textAlignment w:val="center"/>
                    <w:rPr>
                      <w:color w:val="auto"/>
                      <w:spacing w:val="4"/>
                      <w:szCs w:val="21"/>
                      <w:u w:val="none"/>
                    </w:rPr>
                  </w:pPr>
                  <w:r>
                    <w:rPr>
                      <w:rFonts w:hint="default" w:ascii="Times New Roman" w:hAnsi="Times New Roman" w:eastAsia="宋体" w:cs="Times New Roman"/>
                      <w:i w:val="0"/>
                      <w:iCs w:val="0"/>
                      <w:color w:val="auto"/>
                      <w:kern w:val="0"/>
                      <w:sz w:val="21"/>
                      <w:szCs w:val="21"/>
                      <w:u w:val="none"/>
                      <w:lang w:val="en-US" w:eastAsia="zh-CN" w:bidi="ar"/>
                    </w:rPr>
                    <w:t>9.4</w:t>
                  </w:r>
                </w:p>
              </w:tc>
              <w:tc>
                <w:tcPr>
                  <w:tcW w:w="745" w:type="pct"/>
                  <w:vAlign w:val="center"/>
                </w:tcPr>
                <w:p>
                  <w:pPr>
                    <w:keepNext w:val="0"/>
                    <w:keepLines w:val="0"/>
                    <w:widowControl/>
                    <w:suppressLineNumbers w:val="0"/>
                    <w:jc w:val="center"/>
                    <w:textAlignment w:val="center"/>
                    <w:rPr>
                      <w:color w:val="auto"/>
                      <w:spacing w:val="4"/>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4986.7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7" w:type="pct"/>
                  <w:vMerge w:val="continue"/>
                  <w:vAlign w:val="center"/>
                </w:tcPr>
                <w:p>
                  <w:pPr>
                    <w:contextualSpacing/>
                    <w:jc w:val="center"/>
                    <w:rPr>
                      <w:color w:val="auto"/>
                      <w:spacing w:val="4"/>
                      <w:szCs w:val="21"/>
                      <w:u w:val="none"/>
                    </w:rPr>
                  </w:pPr>
                </w:p>
              </w:tc>
              <w:tc>
                <w:tcPr>
                  <w:tcW w:w="400" w:type="pct"/>
                  <w:vMerge w:val="continue"/>
                  <w:vAlign w:val="center"/>
                </w:tcPr>
                <w:p>
                  <w:pPr>
                    <w:contextualSpacing/>
                    <w:jc w:val="center"/>
                    <w:rPr>
                      <w:color w:val="auto"/>
                      <w:spacing w:val="4"/>
                      <w:szCs w:val="21"/>
                      <w:u w:val="none"/>
                    </w:rPr>
                  </w:pPr>
                </w:p>
              </w:tc>
              <w:tc>
                <w:tcPr>
                  <w:tcW w:w="602" w:type="pct"/>
                  <w:vAlign w:val="center"/>
                </w:tcPr>
                <w:p>
                  <w:pPr>
                    <w:contextualSpacing/>
                    <w:jc w:val="center"/>
                    <w:rPr>
                      <w:rFonts w:hint="eastAsia" w:eastAsia="宋体"/>
                      <w:color w:val="auto"/>
                      <w:spacing w:val="4"/>
                      <w:szCs w:val="21"/>
                      <w:u w:val="none"/>
                      <w:lang w:eastAsia="zh-CN"/>
                    </w:rPr>
                  </w:pPr>
                  <w:r>
                    <w:rPr>
                      <w:rFonts w:hint="eastAsia"/>
                      <w:color w:val="auto"/>
                      <w:spacing w:val="4"/>
                      <w:szCs w:val="21"/>
                      <w:u w:val="none"/>
                    </w:rPr>
                    <w:t>氮氧化物</w:t>
                  </w:r>
                  <w:r>
                    <w:rPr>
                      <w:rFonts w:hint="eastAsia"/>
                      <w:color w:val="auto"/>
                      <w:spacing w:val="4"/>
                      <w:szCs w:val="21"/>
                      <w:u w:val="none"/>
                      <w:lang w:eastAsia="zh-CN"/>
                    </w:rPr>
                    <w:t>（</w:t>
                  </w:r>
                  <w:r>
                    <w:rPr>
                      <w:rFonts w:hint="eastAsia"/>
                      <w:color w:val="auto"/>
                      <w:spacing w:val="4"/>
                      <w:szCs w:val="21"/>
                      <w:u w:val="none"/>
                      <w:lang w:val="en-US" w:eastAsia="zh-CN"/>
                    </w:rPr>
                    <w:t>无低氮燃烧</w:t>
                  </w:r>
                  <w:r>
                    <w:rPr>
                      <w:rFonts w:hint="eastAsia"/>
                      <w:color w:val="auto"/>
                      <w:spacing w:val="4"/>
                      <w:szCs w:val="21"/>
                      <w:u w:val="none"/>
                      <w:lang w:eastAsia="zh-CN"/>
                    </w:rPr>
                    <w:t>）</w:t>
                  </w:r>
                </w:p>
              </w:tc>
              <w:tc>
                <w:tcPr>
                  <w:tcW w:w="534" w:type="pct"/>
                  <w:vAlign w:val="center"/>
                </w:tcPr>
                <w:p>
                  <w:pPr>
                    <w:contextualSpacing/>
                    <w:jc w:val="center"/>
                    <w:rPr>
                      <w:color w:val="auto"/>
                      <w:spacing w:val="4"/>
                      <w:szCs w:val="21"/>
                      <w:u w:val="none"/>
                    </w:rPr>
                  </w:pPr>
                  <w:r>
                    <w:rPr>
                      <w:rFonts w:hint="eastAsia"/>
                      <w:color w:val="auto"/>
                      <w:spacing w:val="4"/>
                      <w:szCs w:val="21"/>
                      <w:u w:val="none"/>
                    </w:rPr>
                    <w:t>kg/</w:t>
                  </w:r>
                  <w:r>
                    <w:rPr>
                      <w:rFonts w:hint="eastAsia"/>
                      <w:color w:val="auto"/>
                      <w:spacing w:val="4"/>
                      <w:szCs w:val="21"/>
                      <w:u w:val="none"/>
                      <w:lang w:val="en-US" w:eastAsia="zh-CN"/>
                    </w:rPr>
                    <w:t>t</w:t>
                  </w:r>
                  <w:r>
                    <w:rPr>
                      <w:rFonts w:hint="eastAsia"/>
                      <w:color w:val="auto"/>
                      <w:spacing w:val="4"/>
                      <w:szCs w:val="21"/>
                      <w:u w:val="none"/>
                    </w:rPr>
                    <w:t>-燃料</w:t>
                  </w:r>
                </w:p>
              </w:tc>
              <w:tc>
                <w:tcPr>
                  <w:tcW w:w="572" w:type="pct"/>
                  <w:vAlign w:val="center"/>
                </w:tcPr>
                <w:p>
                  <w:pPr>
                    <w:contextualSpacing/>
                    <w:jc w:val="center"/>
                    <w:rPr>
                      <w:rFonts w:hint="default" w:eastAsia="宋体"/>
                      <w:color w:val="auto"/>
                      <w:spacing w:val="4"/>
                      <w:szCs w:val="21"/>
                      <w:u w:val="none"/>
                      <w:lang w:val="en-US" w:eastAsia="zh-CN"/>
                    </w:rPr>
                  </w:pPr>
                  <w:r>
                    <w:rPr>
                      <w:rFonts w:hint="eastAsia"/>
                      <w:color w:val="auto"/>
                      <w:spacing w:val="4"/>
                      <w:szCs w:val="21"/>
                      <w:u w:val="none"/>
                      <w:lang w:val="en-US" w:eastAsia="zh-CN"/>
                    </w:rPr>
                    <w:t>1.02</w:t>
                  </w:r>
                </w:p>
              </w:tc>
              <w:tc>
                <w:tcPr>
                  <w:tcW w:w="901" w:type="pct"/>
                  <w:vAlign w:val="center"/>
                </w:tcPr>
                <w:p>
                  <w:pPr>
                    <w:keepNext w:val="0"/>
                    <w:keepLines w:val="0"/>
                    <w:widowControl/>
                    <w:suppressLineNumbers w:val="0"/>
                    <w:jc w:val="center"/>
                    <w:textAlignment w:val="center"/>
                    <w:rPr>
                      <w:color w:val="auto"/>
                      <w:spacing w:val="4"/>
                      <w:szCs w:val="21"/>
                      <w:u w:val="none"/>
                    </w:rPr>
                  </w:pPr>
                  <w:r>
                    <w:rPr>
                      <w:rFonts w:hint="default" w:ascii="Times New Roman" w:hAnsi="Times New Roman" w:eastAsia="宋体" w:cs="Times New Roman"/>
                      <w:i w:val="0"/>
                      <w:iCs w:val="0"/>
                      <w:color w:val="auto"/>
                      <w:kern w:val="0"/>
                      <w:sz w:val="21"/>
                      <w:szCs w:val="21"/>
                      <w:u w:val="none"/>
                      <w:lang w:val="en-US" w:eastAsia="zh-CN" w:bidi="ar"/>
                    </w:rPr>
                    <w:t>0.51</w:t>
                  </w:r>
                </w:p>
              </w:tc>
              <w:tc>
                <w:tcPr>
                  <w:tcW w:w="745" w:type="pct"/>
                  <w:vAlign w:val="center"/>
                </w:tcPr>
                <w:p>
                  <w:pPr>
                    <w:keepNext w:val="0"/>
                    <w:keepLines w:val="0"/>
                    <w:widowControl/>
                    <w:suppressLineNumbers w:val="0"/>
                    <w:jc w:val="center"/>
                    <w:textAlignment w:val="center"/>
                    <w:rPr>
                      <w:color w:val="auto"/>
                      <w:spacing w:val="4"/>
                      <w:szCs w:val="21"/>
                      <w:u w:val="none"/>
                    </w:rPr>
                  </w:pPr>
                  <w:r>
                    <w:rPr>
                      <w:rFonts w:hint="default" w:ascii="Times New Roman" w:hAnsi="Times New Roman" w:eastAsia="宋体" w:cs="Times New Roman"/>
                      <w:i w:val="0"/>
                      <w:iCs w:val="0"/>
                      <w:color w:val="auto"/>
                      <w:kern w:val="0"/>
                      <w:sz w:val="21"/>
                      <w:szCs w:val="21"/>
                      <w:u w:val="none"/>
                      <w:lang w:val="en-US" w:eastAsia="zh-CN" w:bidi="ar"/>
                    </w:rPr>
                    <w:t>0.255</w:t>
                  </w:r>
                </w:p>
              </w:tc>
              <w:tc>
                <w:tcPr>
                  <w:tcW w:w="745" w:type="pct"/>
                  <w:vAlign w:val="center"/>
                </w:tcPr>
                <w:p>
                  <w:pPr>
                    <w:keepNext w:val="0"/>
                    <w:keepLines w:val="0"/>
                    <w:widowControl/>
                    <w:suppressLineNumbers w:val="0"/>
                    <w:jc w:val="center"/>
                    <w:textAlignment w:val="center"/>
                    <w:rPr>
                      <w:color w:val="auto"/>
                      <w:spacing w:val="4"/>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135.3 </w:t>
                  </w:r>
                </w:p>
              </w:tc>
            </w:tr>
          </w:tbl>
          <w:p>
            <w:pPr>
              <w:spacing w:line="360" w:lineRule="auto"/>
              <w:ind w:firstLine="422" w:firstLineChars="200"/>
              <w:jc w:val="left"/>
              <w:rPr>
                <w:rFonts w:hint="eastAsia"/>
                <w:b/>
                <w:bCs/>
                <w:color w:val="auto"/>
                <w:szCs w:val="21"/>
                <w:u w:val="none"/>
                <w:lang w:val="en-US" w:eastAsia="zh-CN"/>
              </w:rPr>
            </w:pPr>
            <w:r>
              <w:rPr>
                <w:b/>
                <w:bCs/>
                <w:color w:val="auto"/>
                <w:szCs w:val="21"/>
                <w:u w:val="none"/>
              </w:rPr>
              <w:t>注：</w:t>
            </w:r>
            <w:r>
              <w:rPr>
                <w:rFonts w:ascii="Cambria Math" w:hAnsi="Cambria Math" w:cs="Cambria Math"/>
                <w:b/>
                <w:bCs/>
                <w:color w:val="auto"/>
                <w:szCs w:val="21"/>
                <w:u w:val="none"/>
              </w:rPr>
              <w:t>①</w:t>
            </w:r>
            <w:r>
              <w:rPr>
                <w:b/>
                <w:bCs/>
                <w:color w:val="auto"/>
                <w:szCs w:val="21"/>
                <w:u w:val="none"/>
              </w:rPr>
              <w:t>基准烟气量根据</w:t>
            </w:r>
            <w:r>
              <w:rPr>
                <w:rFonts w:hint="eastAsia"/>
                <w:b/>
                <w:bCs/>
                <w:color w:val="auto"/>
                <w:szCs w:val="21"/>
                <w:u w:val="none"/>
                <w:lang w:val="en-US" w:eastAsia="zh-CN"/>
              </w:rPr>
              <w:t>生物质</w:t>
            </w:r>
            <w:r>
              <w:rPr>
                <w:b/>
                <w:bCs/>
                <w:color w:val="auto"/>
                <w:szCs w:val="21"/>
                <w:u w:val="none"/>
              </w:rPr>
              <w:t>基准烟气量公式进行计算</w:t>
            </w:r>
            <w:r>
              <w:rPr>
                <w:rFonts w:hint="eastAsia"/>
                <w:b/>
                <w:bCs/>
                <w:color w:val="auto"/>
                <w:szCs w:val="21"/>
                <w:u w:val="none"/>
                <w:lang w:eastAsia="zh-CN"/>
              </w:rPr>
              <w:t>，</w:t>
            </w:r>
            <w:r>
              <w:rPr>
                <w:rFonts w:hint="eastAsia"/>
                <w:b/>
                <w:bCs/>
                <w:color w:val="auto"/>
                <w:szCs w:val="21"/>
                <w:u w:val="none"/>
                <w:lang w:val="en-US" w:eastAsia="zh-CN"/>
              </w:rPr>
              <w:t>老厂区使用薪材为燃料</w:t>
            </w:r>
            <w:r>
              <w:rPr>
                <w:b/>
                <w:bCs/>
                <w:color w:val="auto"/>
                <w:szCs w:val="21"/>
                <w:u w:val="none"/>
              </w:rPr>
              <w:t>，</w:t>
            </w:r>
            <w:r>
              <w:rPr>
                <w:rFonts w:hint="eastAsia"/>
                <w:b/>
                <w:bCs/>
                <w:color w:val="auto"/>
                <w:szCs w:val="21"/>
                <w:u w:val="none"/>
                <w:lang w:val="en-US" w:eastAsia="zh-CN"/>
              </w:rPr>
              <w:t>薪材平均低位发热量</w:t>
            </w:r>
            <w:r>
              <w:rPr>
                <w:b/>
                <w:bCs/>
                <w:color w:val="auto"/>
                <w:szCs w:val="21"/>
                <w:u w:val="none"/>
              </w:rPr>
              <w:t>Q</w:t>
            </w:r>
            <w:r>
              <w:rPr>
                <w:b/>
                <w:bCs/>
                <w:color w:val="auto"/>
                <w:szCs w:val="21"/>
                <w:u w:val="none"/>
                <w:vertAlign w:val="subscript"/>
              </w:rPr>
              <w:t>net</w:t>
            </w:r>
            <w:r>
              <w:rPr>
                <w:rFonts w:hint="eastAsia"/>
                <w:b/>
                <w:bCs/>
                <w:color w:val="auto"/>
                <w:szCs w:val="21"/>
                <w:u w:val="none"/>
                <w:vertAlign w:val="subscript"/>
                <w:lang w:val="en-US" w:eastAsia="zh-CN"/>
              </w:rPr>
              <w:t>ar</w:t>
            </w:r>
            <w:r>
              <w:rPr>
                <w:rFonts w:hint="eastAsia"/>
                <w:b/>
                <w:bCs/>
                <w:color w:val="auto"/>
                <w:szCs w:val="21"/>
                <w:u w:val="none"/>
                <w:lang w:val="en-US" w:eastAsia="zh-CN"/>
              </w:rPr>
              <w:t>为16.744MJ/kg，灰分</w:t>
            </w:r>
            <w:r>
              <w:rPr>
                <w:b/>
                <w:bCs/>
                <w:color w:val="auto"/>
                <w:szCs w:val="21"/>
                <w:u w:val="none"/>
              </w:rPr>
              <w:t>V</w:t>
            </w:r>
            <w:r>
              <w:rPr>
                <w:rFonts w:hint="eastAsia"/>
                <w:b/>
                <w:bCs/>
                <w:color w:val="auto"/>
                <w:szCs w:val="21"/>
                <w:u w:val="none"/>
                <w:vertAlign w:val="subscript"/>
                <w:lang w:val="en-US" w:eastAsia="zh-CN"/>
              </w:rPr>
              <w:t>daf</w:t>
            </w:r>
            <w:r>
              <w:rPr>
                <w:rFonts w:hint="eastAsia"/>
                <w:b/>
                <w:bCs/>
                <w:color w:val="auto"/>
                <w:szCs w:val="21"/>
                <w:u w:val="none"/>
                <w:vertAlign w:val="baseline"/>
                <w:lang w:val="en-US" w:eastAsia="zh-CN"/>
              </w:rPr>
              <w:t>为5~7%，基准烟气量</w:t>
            </w:r>
            <w:r>
              <w:rPr>
                <w:b/>
                <w:bCs/>
                <w:color w:val="auto"/>
                <w:szCs w:val="21"/>
                <w:u w:val="none"/>
              </w:rPr>
              <w:t>V</w:t>
            </w:r>
            <w:r>
              <w:rPr>
                <w:b/>
                <w:bCs/>
                <w:color w:val="auto"/>
                <w:szCs w:val="21"/>
                <w:u w:val="none"/>
                <w:vertAlign w:val="subscript"/>
              </w:rPr>
              <w:t>gy</w:t>
            </w:r>
            <w:r>
              <w:rPr>
                <w:b/>
                <w:bCs/>
                <w:color w:val="auto"/>
                <w:szCs w:val="21"/>
                <w:u w:val="none"/>
              </w:rPr>
              <w:t>=0.</w:t>
            </w:r>
            <w:r>
              <w:rPr>
                <w:rFonts w:hint="eastAsia"/>
                <w:b/>
                <w:bCs/>
                <w:color w:val="auto"/>
                <w:szCs w:val="21"/>
                <w:u w:val="none"/>
                <w:lang w:val="en-US" w:eastAsia="zh-CN"/>
              </w:rPr>
              <w:t>3</w:t>
            </w:r>
            <w:r>
              <w:rPr>
                <w:b/>
                <w:bCs/>
                <w:color w:val="auto"/>
                <w:szCs w:val="21"/>
                <w:u w:val="none"/>
              </w:rPr>
              <w:t>85Q</w:t>
            </w:r>
            <w:r>
              <w:rPr>
                <w:b/>
                <w:bCs/>
                <w:color w:val="auto"/>
                <w:szCs w:val="21"/>
                <w:u w:val="none"/>
                <w:vertAlign w:val="subscript"/>
              </w:rPr>
              <w:t>net</w:t>
            </w:r>
            <w:r>
              <w:rPr>
                <w:rFonts w:hint="eastAsia"/>
                <w:b/>
                <w:bCs/>
                <w:color w:val="auto"/>
                <w:szCs w:val="21"/>
                <w:u w:val="none"/>
                <w:vertAlign w:val="subscript"/>
                <w:lang w:val="en-US" w:eastAsia="zh-CN"/>
              </w:rPr>
              <w:t>,ar</w:t>
            </w:r>
            <w:r>
              <w:rPr>
                <w:b/>
                <w:bCs/>
                <w:color w:val="auto"/>
                <w:szCs w:val="21"/>
                <w:u w:val="none"/>
              </w:rPr>
              <w:t>+</w:t>
            </w:r>
            <w:r>
              <w:rPr>
                <w:rFonts w:hint="eastAsia"/>
                <w:b/>
                <w:bCs/>
                <w:color w:val="auto"/>
                <w:szCs w:val="21"/>
                <w:u w:val="none"/>
                <w:lang w:val="en-US" w:eastAsia="zh-CN"/>
              </w:rPr>
              <w:t>1.095=</w:t>
            </w:r>
          </w:p>
          <w:p>
            <w:pPr>
              <w:spacing w:line="360" w:lineRule="auto"/>
              <w:jc w:val="left"/>
              <w:rPr>
                <w:b/>
                <w:bCs/>
                <w:color w:val="auto"/>
                <w:szCs w:val="21"/>
                <w:u w:val="none"/>
              </w:rPr>
            </w:pPr>
            <w:r>
              <w:rPr>
                <w:rFonts w:hint="eastAsia"/>
                <w:b/>
                <w:bCs/>
                <w:color w:val="auto"/>
                <w:szCs w:val="21"/>
                <w:u w:val="none"/>
                <w:lang w:val="en-US" w:eastAsia="zh-CN"/>
              </w:rPr>
              <w:t>7.54</w:t>
            </w:r>
            <w:r>
              <w:rPr>
                <w:b/>
                <w:bCs/>
                <w:color w:val="auto"/>
                <w:szCs w:val="21"/>
                <w:u w:val="none"/>
              </w:rPr>
              <w:t>Nm</w:t>
            </w:r>
            <w:r>
              <w:rPr>
                <w:b/>
                <w:bCs/>
                <w:color w:val="auto"/>
                <w:szCs w:val="21"/>
                <w:u w:val="none"/>
                <w:vertAlign w:val="superscript"/>
              </w:rPr>
              <w:t>3</w:t>
            </w:r>
            <w:r>
              <w:rPr>
                <w:b/>
                <w:bCs/>
                <w:color w:val="auto"/>
                <w:szCs w:val="21"/>
                <w:u w:val="none"/>
              </w:rPr>
              <w:t>/</w:t>
            </w:r>
            <w:r>
              <w:rPr>
                <w:rFonts w:hint="eastAsia"/>
                <w:b/>
                <w:bCs/>
                <w:color w:val="auto"/>
                <w:szCs w:val="21"/>
                <w:u w:val="none"/>
                <w:lang w:val="en-US" w:eastAsia="zh-CN"/>
              </w:rPr>
              <w:t>kg</w:t>
            </w:r>
            <w:r>
              <w:rPr>
                <w:b/>
                <w:bCs/>
                <w:color w:val="auto"/>
                <w:szCs w:val="21"/>
                <w:u w:val="none"/>
              </w:rPr>
              <w:t>；</w:t>
            </w:r>
            <w:r>
              <w:rPr>
                <w:rFonts w:ascii="Cambria Math" w:hAnsi="Cambria Math" w:cs="Cambria Math"/>
                <w:b/>
                <w:bCs/>
                <w:color w:val="auto"/>
                <w:szCs w:val="21"/>
                <w:u w:val="none"/>
              </w:rPr>
              <w:t>②</w:t>
            </w:r>
            <w:r>
              <w:rPr>
                <w:rFonts w:hint="eastAsia" w:ascii="Cambria Math" w:hAnsi="Cambria Math" w:cs="Cambria Math"/>
                <w:b/>
                <w:bCs/>
                <w:color w:val="auto"/>
                <w:szCs w:val="21"/>
                <w:u w:val="none"/>
                <w:lang w:val="en-US" w:eastAsia="zh-CN"/>
              </w:rPr>
              <w:t>薪材含硫量为0.1%，S=0.1</w:t>
            </w:r>
            <w:r>
              <w:rPr>
                <w:b/>
                <w:bCs/>
                <w:color w:val="auto"/>
                <w:szCs w:val="21"/>
                <w:u w:val="none"/>
              </w:rPr>
              <w:t>。</w:t>
            </w:r>
          </w:p>
          <w:p>
            <w:pPr>
              <w:spacing w:line="360" w:lineRule="auto"/>
              <w:ind w:firstLine="480" w:firstLineChars="200"/>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lang w:val="en-US" w:eastAsia="zh-CN"/>
              </w:rPr>
              <w:t>老厂区蒸汽发生器废气采用水膜除尘器处理后经9m排气筒排放</w:t>
            </w:r>
            <w:r>
              <w:rPr>
                <w:rFonts w:hint="eastAsia" w:ascii="Times New Roman" w:hAnsi="Times New Roman" w:cs="Times New Roman"/>
                <w:color w:val="auto"/>
                <w:sz w:val="24"/>
                <w:u w:val="none"/>
                <w:lang w:val="en-US" w:eastAsia="zh-CN"/>
              </w:rPr>
              <w:t>，参照《环境统计手册》“表4-20 各类除尘器的除尘效率η值表”</w:t>
            </w:r>
            <w:r>
              <w:rPr>
                <w:rFonts w:hint="eastAsia" w:cs="Times New Roman"/>
                <w:color w:val="auto"/>
                <w:sz w:val="24"/>
                <w:u w:val="none"/>
                <w:lang w:val="en-US" w:eastAsia="zh-CN"/>
              </w:rPr>
              <w:t>，麻石水膜除尘器除尘效率为88.4%，</w:t>
            </w:r>
            <w:r>
              <w:rPr>
                <w:rFonts w:hint="default" w:ascii="Times New Roman" w:hAnsi="Times New Roman" w:cs="Times New Roman"/>
                <w:color w:val="auto"/>
                <w:sz w:val="24"/>
                <w:u w:val="none"/>
              </w:rPr>
              <w:t>蒸汽发生器废气</w:t>
            </w:r>
            <w:r>
              <w:rPr>
                <w:rFonts w:hint="default" w:ascii="Times New Roman" w:hAnsi="Times New Roman" w:cs="Times New Roman"/>
                <w:color w:val="auto"/>
                <w:kern w:val="0"/>
                <w:sz w:val="24"/>
                <w:u w:val="none"/>
              </w:rPr>
              <w:t>排放情况见下表。</w:t>
            </w:r>
          </w:p>
          <w:p>
            <w:pPr>
              <w:widowControl/>
              <w:autoSpaceDE w:val="0"/>
              <w:spacing w:line="360" w:lineRule="auto"/>
              <w:ind w:firstLine="482" w:firstLineChars="200"/>
              <w:jc w:val="center"/>
              <w:rPr>
                <w:b/>
                <w:bCs/>
                <w:color w:val="auto"/>
                <w:kern w:val="0"/>
                <w:sz w:val="24"/>
                <w:szCs w:val="24"/>
                <w:u w:val="none"/>
              </w:rPr>
            </w:pPr>
            <w:r>
              <w:rPr>
                <w:rFonts w:ascii="宋体" w:hAnsi="宋体"/>
                <w:b/>
                <w:bCs/>
                <w:color w:val="auto"/>
                <w:kern w:val="0"/>
                <w:sz w:val="24"/>
                <w:szCs w:val="24"/>
                <w:u w:val="none"/>
              </w:rPr>
              <w:t>表</w:t>
            </w:r>
            <w:r>
              <w:rPr>
                <w:rFonts w:hint="eastAsia"/>
                <w:b/>
                <w:bCs/>
                <w:color w:val="auto"/>
                <w:kern w:val="0"/>
                <w:sz w:val="24"/>
                <w:szCs w:val="24"/>
                <w:u w:val="none"/>
                <w:lang w:val="en-US" w:eastAsia="zh-CN"/>
              </w:rPr>
              <w:t>2.12-6</w:t>
            </w:r>
            <w:r>
              <w:rPr>
                <w:b/>
                <w:bCs/>
                <w:color w:val="auto"/>
                <w:kern w:val="0"/>
                <w:sz w:val="24"/>
                <w:szCs w:val="24"/>
                <w:u w:val="none"/>
              </w:rPr>
              <w:t xml:space="preserve">  </w:t>
            </w:r>
            <w:r>
              <w:rPr>
                <w:rFonts w:hint="eastAsia"/>
                <w:b/>
                <w:bCs/>
                <w:color w:val="auto"/>
                <w:kern w:val="0"/>
                <w:sz w:val="24"/>
                <w:szCs w:val="24"/>
                <w:u w:val="none"/>
                <w:lang w:val="en-US" w:eastAsia="zh-CN"/>
              </w:rPr>
              <w:t>老厂区</w:t>
            </w:r>
            <w:r>
              <w:rPr>
                <w:rFonts w:hint="eastAsia" w:ascii="宋体" w:hAnsi="宋体"/>
                <w:b/>
                <w:bCs/>
                <w:color w:val="auto"/>
                <w:kern w:val="0"/>
                <w:sz w:val="24"/>
                <w:szCs w:val="24"/>
                <w:u w:val="none"/>
              </w:rPr>
              <w:t>蒸汽发生器</w:t>
            </w:r>
            <w:r>
              <w:rPr>
                <w:rFonts w:ascii="宋体" w:hAnsi="宋体"/>
                <w:b/>
                <w:bCs/>
                <w:color w:val="auto"/>
                <w:kern w:val="0"/>
                <w:sz w:val="24"/>
                <w:szCs w:val="24"/>
                <w:u w:val="none"/>
              </w:rPr>
              <w:t>废气</w:t>
            </w:r>
            <w:r>
              <w:rPr>
                <w:rFonts w:hint="eastAsia" w:ascii="宋体" w:hAnsi="宋体"/>
                <w:b/>
                <w:bCs/>
                <w:color w:val="auto"/>
                <w:kern w:val="0"/>
                <w:sz w:val="24"/>
                <w:szCs w:val="24"/>
                <w:u w:val="none"/>
              </w:rPr>
              <w:t>污染物排放</w:t>
            </w:r>
            <w:r>
              <w:rPr>
                <w:rFonts w:ascii="宋体" w:hAnsi="宋体"/>
                <w:b/>
                <w:bCs/>
                <w:color w:val="auto"/>
                <w:kern w:val="0"/>
                <w:sz w:val="24"/>
                <w:szCs w:val="24"/>
                <w:u w:val="none"/>
              </w:rPr>
              <w:t>情况一览表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1640"/>
              <w:gridCol w:w="2064"/>
              <w:gridCol w:w="1339"/>
              <w:gridCol w:w="1334"/>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kern w:val="0"/>
                      <w:sz w:val="21"/>
                      <w:szCs w:val="21"/>
                      <w:u w:val="none"/>
                    </w:rPr>
                  </w:pPr>
                  <w:r>
                    <w:rPr>
                      <w:b/>
                      <w:bCs/>
                      <w:color w:val="auto"/>
                      <w:kern w:val="0"/>
                      <w:sz w:val="21"/>
                      <w:szCs w:val="21"/>
                      <w:u w:val="none"/>
                    </w:rPr>
                    <w:t>污染物</w:t>
                  </w:r>
                </w:p>
              </w:tc>
              <w:tc>
                <w:tcPr>
                  <w:tcW w:w="979"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b/>
                      <w:bCs/>
                      <w:color w:val="auto"/>
                      <w:kern w:val="0"/>
                      <w:sz w:val="21"/>
                      <w:szCs w:val="21"/>
                      <w:u w:val="none"/>
                    </w:rPr>
                  </w:pPr>
                  <w:r>
                    <w:rPr>
                      <w:rFonts w:hint="eastAsia" w:ascii="宋体" w:hAnsi="宋体" w:cs="宋体"/>
                      <w:b/>
                      <w:bCs/>
                      <w:color w:val="auto"/>
                      <w:kern w:val="0"/>
                      <w:sz w:val="21"/>
                      <w:szCs w:val="21"/>
                      <w:u w:val="none"/>
                    </w:rPr>
                    <w:t>排放量</w:t>
                  </w:r>
                  <w:r>
                    <w:rPr>
                      <w:b/>
                      <w:bCs/>
                      <w:color w:val="auto"/>
                      <w:kern w:val="0"/>
                      <w:sz w:val="21"/>
                      <w:szCs w:val="21"/>
                      <w:u w:val="none"/>
                    </w:rPr>
                    <w:t>（</w:t>
                  </w:r>
                  <w:r>
                    <w:rPr>
                      <w:rFonts w:eastAsia="Times New Roman"/>
                      <w:b/>
                      <w:bCs/>
                      <w:color w:val="auto"/>
                      <w:kern w:val="0"/>
                      <w:sz w:val="21"/>
                      <w:szCs w:val="21"/>
                      <w:u w:val="none"/>
                    </w:rPr>
                    <w:t>t/a</w:t>
                  </w:r>
                  <w:r>
                    <w:rPr>
                      <w:b/>
                      <w:bCs/>
                      <w:color w:val="auto"/>
                      <w:kern w:val="0"/>
                      <w:sz w:val="21"/>
                      <w:szCs w:val="21"/>
                      <w:u w:val="none"/>
                    </w:rPr>
                    <w:t>）</w:t>
                  </w:r>
                </w:p>
              </w:tc>
              <w:tc>
                <w:tcPr>
                  <w:tcW w:w="123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b/>
                      <w:bCs/>
                      <w:color w:val="auto"/>
                      <w:kern w:val="0"/>
                      <w:sz w:val="21"/>
                      <w:szCs w:val="21"/>
                      <w:u w:val="none"/>
                    </w:rPr>
                  </w:pPr>
                  <w:r>
                    <w:rPr>
                      <w:b/>
                      <w:bCs/>
                      <w:color w:val="auto"/>
                      <w:kern w:val="0"/>
                      <w:sz w:val="21"/>
                      <w:szCs w:val="21"/>
                      <w:u w:val="none"/>
                    </w:rPr>
                    <w:t>排放速率（kg/h）</w:t>
                  </w:r>
                </w:p>
              </w:tc>
              <w:tc>
                <w:tcPr>
                  <w:tcW w:w="799"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宋体" w:hAnsi="宋体" w:cs="宋体"/>
                      <w:b/>
                      <w:bCs/>
                      <w:color w:val="auto"/>
                      <w:kern w:val="0"/>
                      <w:sz w:val="21"/>
                      <w:szCs w:val="21"/>
                      <w:u w:val="none"/>
                    </w:rPr>
                  </w:pPr>
                  <w:r>
                    <w:rPr>
                      <w:rFonts w:hint="eastAsia" w:ascii="宋体" w:hAnsi="宋体" w:cs="宋体"/>
                      <w:b/>
                      <w:bCs/>
                      <w:color w:val="auto"/>
                      <w:kern w:val="0"/>
                      <w:sz w:val="21"/>
                      <w:szCs w:val="21"/>
                      <w:u w:val="none"/>
                    </w:rPr>
                    <w:t>排放浓度</w:t>
                  </w:r>
                </w:p>
                <w:p>
                  <w:pPr>
                    <w:widowControl/>
                    <w:tabs>
                      <w:tab w:val="left" w:pos="1050"/>
                    </w:tabs>
                    <w:autoSpaceDE w:val="0"/>
                    <w:jc w:val="center"/>
                    <w:rPr>
                      <w:rFonts w:eastAsia="Times New Roman"/>
                      <w:b/>
                      <w:bCs/>
                      <w:color w:val="auto"/>
                      <w:kern w:val="0"/>
                      <w:sz w:val="21"/>
                      <w:szCs w:val="21"/>
                      <w:u w:val="none"/>
                    </w:rPr>
                  </w:pPr>
                  <w:r>
                    <w:rPr>
                      <w:b/>
                      <w:bCs/>
                      <w:color w:val="auto"/>
                      <w:kern w:val="0"/>
                      <w:sz w:val="21"/>
                      <w:szCs w:val="21"/>
                      <w:u w:val="none"/>
                    </w:rPr>
                    <w:t>（</w:t>
                  </w:r>
                  <w:r>
                    <w:rPr>
                      <w:rFonts w:eastAsia="Times New Roman"/>
                      <w:b/>
                      <w:bCs/>
                      <w:color w:val="auto"/>
                      <w:kern w:val="0"/>
                      <w:sz w:val="21"/>
                      <w:szCs w:val="21"/>
                      <w:u w:val="none"/>
                    </w:rPr>
                    <w:t>mg/m</w:t>
                  </w:r>
                  <w:r>
                    <w:rPr>
                      <w:rFonts w:eastAsia="Times New Roman"/>
                      <w:b/>
                      <w:bCs/>
                      <w:color w:val="auto"/>
                      <w:kern w:val="0"/>
                      <w:sz w:val="21"/>
                      <w:szCs w:val="21"/>
                      <w:u w:val="none"/>
                      <w:vertAlign w:val="superscript"/>
                    </w:rPr>
                    <w:t>3</w:t>
                  </w:r>
                  <w:r>
                    <w:rPr>
                      <w:b/>
                      <w:bCs/>
                      <w:color w:val="auto"/>
                      <w:kern w:val="0"/>
                      <w:sz w:val="21"/>
                      <w:szCs w:val="21"/>
                      <w:u w:val="none"/>
                    </w:rPr>
                    <w:t>）</w:t>
                  </w:r>
                </w:p>
              </w:tc>
              <w:tc>
                <w:tcPr>
                  <w:tcW w:w="79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b/>
                      <w:bCs/>
                      <w:color w:val="auto"/>
                      <w:kern w:val="0"/>
                      <w:sz w:val="21"/>
                      <w:szCs w:val="21"/>
                      <w:u w:val="none"/>
                    </w:rPr>
                  </w:pPr>
                  <w:r>
                    <w:rPr>
                      <w:b/>
                      <w:bCs/>
                      <w:color w:val="auto"/>
                      <w:kern w:val="0"/>
                      <w:sz w:val="21"/>
                      <w:szCs w:val="21"/>
                      <w:u w:val="none"/>
                    </w:rPr>
                    <w:t>排放标准（</w:t>
                  </w:r>
                  <w:r>
                    <w:rPr>
                      <w:rFonts w:eastAsia="Times New Roman"/>
                      <w:b/>
                      <w:bCs/>
                      <w:color w:val="auto"/>
                      <w:kern w:val="0"/>
                      <w:sz w:val="21"/>
                      <w:szCs w:val="21"/>
                      <w:u w:val="none"/>
                    </w:rPr>
                    <w:t>mg/m</w:t>
                  </w:r>
                  <w:r>
                    <w:rPr>
                      <w:rFonts w:eastAsia="Times New Roman"/>
                      <w:b/>
                      <w:bCs/>
                      <w:color w:val="auto"/>
                      <w:kern w:val="0"/>
                      <w:sz w:val="21"/>
                      <w:szCs w:val="21"/>
                      <w:u w:val="none"/>
                      <w:vertAlign w:val="superscript"/>
                    </w:rPr>
                    <w:t>3</w:t>
                  </w:r>
                  <w:r>
                    <w:rPr>
                      <w:b/>
                      <w:bCs/>
                      <w:color w:val="auto"/>
                      <w:kern w:val="0"/>
                      <w:sz w:val="21"/>
                      <w:szCs w:val="21"/>
                      <w:u w:val="none"/>
                    </w:rPr>
                    <w:t>）</w:t>
                  </w:r>
                </w:p>
              </w:tc>
              <w:tc>
                <w:tcPr>
                  <w:tcW w:w="652" w:type="pct"/>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kern w:val="0"/>
                      <w:sz w:val="21"/>
                      <w:szCs w:val="21"/>
                      <w:u w:val="none"/>
                    </w:rPr>
                  </w:pPr>
                  <w:r>
                    <w:rPr>
                      <w:b/>
                      <w:bCs/>
                      <w:color w:val="auto"/>
                      <w:kern w:val="0"/>
                      <w:sz w:val="21"/>
                      <w:szCs w:val="21"/>
                      <w:u w:val="none"/>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color w:val="auto"/>
                      <w:kern w:val="0"/>
                      <w:sz w:val="21"/>
                      <w:szCs w:val="21"/>
                      <w:u w:val="none"/>
                    </w:rPr>
                    <w:t>烟气量</w:t>
                  </w:r>
                </w:p>
              </w:tc>
              <w:tc>
                <w:tcPr>
                  <w:tcW w:w="979"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eastAsia="Times New Roman"/>
                      <w:color w:val="auto"/>
                      <w:kern w:val="0"/>
                      <w:sz w:val="21"/>
                      <w:szCs w:val="21"/>
                      <w:u w:val="none"/>
                    </w:rPr>
                  </w:pPr>
                  <w:r>
                    <w:rPr>
                      <w:rFonts w:hint="eastAsia"/>
                      <w:color w:val="auto"/>
                      <w:sz w:val="21"/>
                      <w:szCs w:val="21"/>
                      <w:u w:val="none"/>
                      <w:lang w:val="en-US" w:eastAsia="zh-CN"/>
                    </w:rPr>
                    <w:t>377</w:t>
                  </w:r>
                  <w:r>
                    <w:rPr>
                      <w:rFonts w:hint="eastAsia"/>
                      <w:color w:val="auto"/>
                      <w:sz w:val="21"/>
                      <w:szCs w:val="21"/>
                      <w:u w:val="none"/>
                    </w:rPr>
                    <w:t>万m</w:t>
                  </w:r>
                  <w:r>
                    <w:rPr>
                      <w:rFonts w:hint="eastAsia"/>
                      <w:color w:val="auto"/>
                      <w:sz w:val="21"/>
                      <w:szCs w:val="21"/>
                      <w:u w:val="none"/>
                      <w:vertAlign w:val="superscript"/>
                    </w:rPr>
                    <w:t>3</w:t>
                  </w:r>
                  <w:r>
                    <w:rPr>
                      <w:rFonts w:hint="eastAsia"/>
                      <w:color w:val="auto"/>
                      <w:sz w:val="21"/>
                      <w:szCs w:val="21"/>
                      <w:u w:val="none"/>
                    </w:rPr>
                    <w:t>/a</w:t>
                  </w:r>
                </w:p>
              </w:tc>
              <w:tc>
                <w:tcPr>
                  <w:tcW w:w="123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1885</w:t>
                  </w:r>
                  <w:r>
                    <w:rPr>
                      <w:color w:val="auto"/>
                      <w:spacing w:val="4"/>
                      <w:szCs w:val="21"/>
                      <w:u w:val="none"/>
                    </w:rPr>
                    <w:t>Nm</w:t>
                  </w:r>
                  <w:r>
                    <w:rPr>
                      <w:rFonts w:hint="eastAsia"/>
                      <w:color w:val="auto"/>
                      <w:spacing w:val="4"/>
                      <w:szCs w:val="21"/>
                      <w:u w:val="none"/>
                      <w:vertAlign w:val="superscript"/>
                      <w:lang w:val="en-US" w:eastAsia="zh-CN"/>
                    </w:rPr>
                    <w:t>3</w:t>
                  </w:r>
                  <w:r>
                    <w:rPr>
                      <w:rFonts w:hint="eastAsia"/>
                      <w:color w:val="auto"/>
                      <w:spacing w:val="4"/>
                      <w:szCs w:val="21"/>
                      <w:u w:val="none"/>
                      <w:lang w:val="en-US" w:eastAsia="zh-CN"/>
                    </w:rPr>
                    <w:t>/h</w:t>
                  </w:r>
                </w:p>
              </w:tc>
              <w:tc>
                <w:tcPr>
                  <w:tcW w:w="799"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heme="minorEastAsia"/>
                      <w:color w:val="auto"/>
                      <w:kern w:val="0"/>
                      <w:sz w:val="21"/>
                      <w:szCs w:val="21"/>
                      <w:u w:val="none"/>
                    </w:rPr>
                  </w:pPr>
                  <w:r>
                    <w:rPr>
                      <w:rFonts w:hint="eastAsia" w:eastAsiaTheme="minorEastAsia"/>
                      <w:color w:val="auto"/>
                      <w:kern w:val="0"/>
                      <w:sz w:val="21"/>
                      <w:szCs w:val="21"/>
                      <w:u w:val="none"/>
                    </w:rPr>
                    <w:t>/</w:t>
                  </w:r>
                </w:p>
              </w:tc>
              <w:tc>
                <w:tcPr>
                  <w:tcW w:w="79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heme="minorEastAsia"/>
                      <w:color w:val="auto"/>
                      <w:kern w:val="0"/>
                      <w:sz w:val="21"/>
                      <w:szCs w:val="21"/>
                      <w:u w:val="none"/>
                    </w:rPr>
                  </w:pPr>
                  <w:r>
                    <w:rPr>
                      <w:rFonts w:hint="eastAsia" w:eastAsiaTheme="minorEastAsia"/>
                      <w:color w:val="auto"/>
                      <w:kern w:val="0"/>
                      <w:sz w:val="21"/>
                      <w:szCs w:val="21"/>
                      <w:u w:val="none"/>
                    </w:rPr>
                    <w:t>/</w:t>
                  </w:r>
                </w:p>
              </w:tc>
              <w:tc>
                <w:tcPr>
                  <w:tcW w:w="65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heme="minorEastAsia"/>
                      <w:color w:val="auto"/>
                      <w:kern w:val="0"/>
                      <w:sz w:val="21"/>
                      <w:szCs w:val="21"/>
                      <w:u w:val="none"/>
                    </w:rPr>
                  </w:pPr>
                  <w:r>
                    <w:rPr>
                      <w:rFonts w:hint="eastAsia" w:eastAsiaTheme="minorEastAsia"/>
                      <w:color w:val="auto"/>
                      <w:kern w:val="0"/>
                      <w:sz w:val="21"/>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eastAsia="Times New Roman"/>
                      <w:color w:val="auto"/>
                      <w:kern w:val="0"/>
                      <w:sz w:val="21"/>
                      <w:szCs w:val="21"/>
                      <w:u w:val="none"/>
                    </w:rPr>
                    <w:t>SO</w:t>
                  </w:r>
                  <w:r>
                    <w:rPr>
                      <w:rFonts w:eastAsia="Times New Roman"/>
                      <w:color w:val="auto"/>
                      <w:kern w:val="0"/>
                      <w:sz w:val="21"/>
                      <w:szCs w:val="21"/>
                      <w:u w:val="none"/>
                      <w:vertAlign w:val="subscript"/>
                    </w:rPr>
                    <w:t>2</w:t>
                  </w:r>
                </w:p>
              </w:tc>
              <w:tc>
                <w:tcPr>
                  <w:tcW w:w="163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eastAsia="Times New Roman"/>
                      <w:color w:val="auto"/>
                      <w:kern w:val="0"/>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0.85</w:t>
                  </w:r>
                </w:p>
              </w:tc>
              <w:tc>
                <w:tcPr>
                  <w:tcW w:w="20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eastAsia="Times New Roman"/>
                      <w:color w:val="auto"/>
                      <w:kern w:val="0"/>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0.425</w:t>
                  </w:r>
                </w:p>
              </w:tc>
              <w:tc>
                <w:tcPr>
                  <w:tcW w:w="13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eastAsia="Times New Roman"/>
                      <w:color w:val="auto"/>
                      <w:kern w:val="0"/>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225.5 </w:t>
                  </w:r>
                </w:p>
              </w:tc>
              <w:tc>
                <w:tcPr>
                  <w:tcW w:w="79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default" w:eastAsiaTheme="minorEastAsia"/>
                      <w:color w:val="auto"/>
                      <w:kern w:val="0"/>
                      <w:sz w:val="21"/>
                      <w:szCs w:val="21"/>
                      <w:u w:val="none"/>
                      <w:lang w:val="en-US" w:eastAsia="zh-CN"/>
                    </w:rPr>
                  </w:pPr>
                  <w:r>
                    <w:rPr>
                      <w:rFonts w:hint="eastAsia" w:eastAsiaTheme="minorEastAsia"/>
                      <w:color w:val="auto"/>
                      <w:kern w:val="0"/>
                      <w:sz w:val="21"/>
                      <w:szCs w:val="21"/>
                      <w:u w:val="none"/>
                      <w:lang w:val="en-US" w:eastAsia="zh-CN"/>
                    </w:rPr>
                    <w:t>200</w:t>
                  </w:r>
                </w:p>
              </w:tc>
              <w:tc>
                <w:tcPr>
                  <w:tcW w:w="65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eastAsia="宋体"/>
                      <w:color w:val="auto"/>
                      <w:kern w:val="0"/>
                      <w:sz w:val="21"/>
                      <w:szCs w:val="21"/>
                      <w:u w:val="none"/>
                      <w:lang w:eastAsia="zh-CN"/>
                    </w:rPr>
                  </w:pPr>
                  <w:r>
                    <w:rPr>
                      <w:rFonts w:hint="eastAsia" w:ascii="宋体" w:hAnsi="宋体" w:eastAsia="宋体" w:cs="宋体"/>
                      <w:color w:val="auto"/>
                      <w:kern w:val="0"/>
                      <w:sz w:val="21"/>
                      <w:szCs w:val="21"/>
                      <w:u w:val="none"/>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ascii="宋体" w:hAnsi="宋体" w:cs="宋体"/>
                      <w:color w:val="auto"/>
                      <w:kern w:val="0"/>
                      <w:sz w:val="21"/>
                      <w:szCs w:val="21"/>
                      <w:u w:val="none"/>
                    </w:rPr>
                    <w:t>颗粒物</w:t>
                  </w:r>
                </w:p>
              </w:tc>
              <w:tc>
                <w:tcPr>
                  <w:tcW w:w="163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 xml:space="preserve">2.2 </w:t>
                  </w:r>
                </w:p>
              </w:tc>
              <w:tc>
                <w:tcPr>
                  <w:tcW w:w="20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 xml:space="preserve">1.1 </w:t>
                  </w:r>
                </w:p>
              </w:tc>
              <w:tc>
                <w:tcPr>
                  <w:tcW w:w="13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 xml:space="preserve">578.5 </w:t>
                  </w:r>
                </w:p>
              </w:tc>
              <w:tc>
                <w:tcPr>
                  <w:tcW w:w="79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default" w:eastAsiaTheme="minorEastAsia"/>
                      <w:color w:val="auto"/>
                      <w:kern w:val="0"/>
                      <w:sz w:val="21"/>
                      <w:szCs w:val="21"/>
                      <w:u w:val="none"/>
                      <w:lang w:val="en-US" w:eastAsia="zh-CN"/>
                    </w:rPr>
                  </w:pPr>
                  <w:r>
                    <w:rPr>
                      <w:rFonts w:hint="eastAsia" w:eastAsiaTheme="minorEastAsia"/>
                      <w:color w:val="auto"/>
                      <w:kern w:val="0"/>
                      <w:sz w:val="21"/>
                      <w:szCs w:val="21"/>
                      <w:u w:val="none"/>
                      <w:lang w:val="en-US" w:eastAsia="zh-CN"/>
                    </w:rPr>
                    <w:t>30</w:t>
                  </w:r>
                </w:p>
              </w:tc>
              <w:tc>
                <w:tcPr>
                  <w:tcW w:w="65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eastAsia="宋体"/>
                      <w:color w:val="auto"/>
                      <w:kern w:val="0"/>
                      <w:sz w:val="21"/>
                      <w:szCs w:val="21"/>
                      <w:u w:val="none"/>
                      <w:lang w:eastAsia="zh-CN"/>
                    </w:rPr>
                  </w:pPr>
                  <w:r>
                    <w:rPr>
                      <w:rFonts w:hint="eastAsia" w:ascii="宋体" w:hAnsi="宋体" w:eastAsia="宋体" w:cs="宋体"/>
                      <w:color w:val="auto"/>
                      <w:kern w:val="0"/>
                      <w:sz w:val="21"/>
                      <w:szCs w:val="21"/>
                      <w:u w:val="none"/>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eastAsia="Times New Roman"/>
                      <w:color w:val="auto"/>
                      <w:kern w:val="0"/>
                      <w:sz w:val="21"/>
                      <w:szCs w:val="21"/>
                      <w:u w:val="none"/>
                    </w:rPr>
                    <w:t>NOx</w:t>
                  </w:r>
                </w:p>
              </w:tc>
              <w:tc>
                <w:tcPr>
                  <w:tcW w:w="163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eastAsia="Times New Roman"/>
                      <w:color w:val="auto"/>
                      <w:kern w:val="0"/>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0.51</w:t>
                  </w:r>
                </w:p>
              </w:tc>
              <w:tc>
                <w:tcPr>
                  <w:tcW w:w="20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eastAsia="Times New Roman"/>
                      <w:color w:val="auto"/>
                      <w:kern w:val="0"/>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0.255</w:t>
                  </w:r>
                </w:p>
              </w:tc>
              <w:tc>
                <w:tcPr>
                  <w:tcW w:w="13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eastAsia="Times New Roman"/>
                      <w:color w:val="auto"/>
                      <w:kern w:val="0"/>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135.3 </w:t>
                  </w:r>
                </w:p>
              </w:tc>
              <w:tc>
                <w:tcPr>
                  <w:tcW w:w="79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default" w:eastAsiaTheme="minorEastAsia"/>
                      <w:color w:val="auto"/>
                      <w:kern w:val="0"/>
                      <w:sz w:val="21"/>
                      <w:szCs w:val="21"/>
                      <w:u w:val="none"/>
                      <w:lang w:val="en-US" w:eastAsia="zh-CN"/>
                    </w:rPr>
                  </w:pPr>
                  <w:r>
                    <w:rPr>
                      <w:rFonts w:hint="eastAsia" w:eastAsiaTheme="minorEastAsia"/>
                      <w:color w:val="auto"/>
                      <w:kern w:val="0"/>
                      <w:sz w:val="21"/>
                      <w:szCs w:val="21"/>
                      <w:u w:val="none"/>
                      <w:lang w:val="en-US" w:eastAsia="zh-CN"/>
                    </w:rPr>
                    <w:t>200</w:t>
                  </w:r>
                </w:p>
              </w:tc>
              <w:tc>
                <w:tcPr>
                  <w:tcW w:w="65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ascii="宋体" w:hAnsi="宋体" w:cs="宋体"/>
                      <w:color w:val="auto"/>
                      <w:kern w:val="0"/>
                      <w:sz w:val="21"/>
                      <w:szCs w:val="21"/>
                      <w:u w:val="none"/>
                    </w:rPr>
                    <w:t>达标</w:t>
                  </w:r>
                </w:p>
              </w:tc>
            </w:tr>
          </w:tbl>
          <w:p>
            <w:pPr>
              <w:spacing w:line="360" w:lineRule="auto"/>
              <w:ind w:firstLine="496" w:firstLineChars="200"/>
              <w:contextualSpacing/>
              <w:rPr>
                <w:color w:val="auto"/>
                <w:spacing w:val="4"/>
                <w:sz w:val="24"/>
                <w:u w:val="none"/>
              </w:rPr>
            </w:pPr>
            <w:r>
              <w:rPr>
                <w:rFonts w:hint="eastAsia"/>
                <w:color w:val="auto"/>
                <w:spacing w:val="4"/>
                <w:sz w:val="24"/>
                <w:u w:val="none"/>
              </w:rPr>
              <w:t>颗粒物、S</w:t>
            </w:r>
            <w:r>
              <w:rPr>
                <w:color w:val="auto"/>
                <w:spacing w:val="4"/>
                <w:sz w:val="24"/>
                <w:u w:val="none"/>
              </w:rPr>
              <w:t>O</w:t>
            </w:r>
            <w:r>
              <w:rPr>
                <w:color w:val="auto"/>
                <w:spacing w:val="4"/>
                <w:sz w:val="24"/>
                <w:u w:val="none"/>
                <w:vertAlign w:val="subscript"/>
              </w:rPr>
              <w:t>2</w:t>
            </w:r>
            <w:r>
              <w:rPr>
                <w:rFonts w:hint="eastAsia"/>
                <w:color w:val="auto"/>
                <w:spacing w:val="4"/>
                <w:sz w:val="24"/>
                <w:u w:val="none"/>
              </w:rPr>
              <w:t>排放浓度</w:t>
            </w:r>
            <w:r>
              <w:rPr>
                <w:rFonts w:hint="eastAsia"/>
                <w:color w:val="auto"/>
                <w:spacing w:val="4"/>
                <w:sz w:val="24"/>
                <w:u w:val="none"/>
                <w:lang w:val="en-US" w:eastAsia="zh-CN"/>
              </w:rPr>
              <w:t>不能</w:t>
            </w:r>
            <w:r>
              <w:rPr>
                <w:rFonts w:hint="eastAsia"/>
                <w:color w:val="auto"/>
                <w:spacing w:val="4"/>
                <w:sz w:val="24"/>
                <w:u w:val="none"/>
              </w:rPr>
              <w:t>达《锅炉大气污染物排放标准》（GB13271-2014）中表3</w:t>
            </w:r>
            <w:r>
              <w:rPr>
                <w:rFonts w:hint="eastAsia"/>
                <w:color w:val="auto"/>
                <w:spacing w:val="4"/>
                <w:sz w:val="24"/>
                <w:u w:val="none"/>
                <w:lang w:val="en-US" w:eastAsia="zh-CN"/>
              </w:rPr>
              <w:t>燃煤</w:t>
            </w:r>
            <w:r>
              <w:rPr>
                <w:rFonts w:hint="eastAsia"/>
                <w:color w:val="auto"/>
                <w:spacing w:val="4"/>
                <w:sz w:val="24"/>
                <w:u w:val="none"/>
              </w:rPr>
              <w:t>锅炉特别排放限值</w:t>
            </w:r>
            <w:r>
              <w:rPr>
                <w:rFonts w:hint="eastAsia"/>
                <w:color w:val="auto"/>
                <w:spacing w:val="4"/>
                <w:sz w:val="24"/>
                <w:u w:val="none"/>
                <w:lang w:eastAsia="zh-CN"/>
              </w:rPr>
              <w:t>，</w:t>
            </w:r>
            <w:r>
              <w:rPr>
                <w:rFonts w:hint="eastAsia"/>
                <w:color w:val="auto"/>
                <w:spacing w:val="4"/>
                <w:sz w:val="24"/>
                <w:u w:val="none"/>
                <w:lang w:val="en-US" w:eastAsia="zh-CN"/>
              </w:rPr>
              <w:t>且排气筒高度为9m，不符合标准要求</w:t>
            </w:r>
            <w:r>
              <w:rPr>
                <w:rFonts w:hint="eastAsia"/>
                <w:color w:val="auto"/>
                <w:spacing w:val="4"/>
                <w:sz w:val="24"/>
                <w:u w:val="none"/>
              </w:rPr>
              <w:t>。</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②炒制油烟</w:t>
            </w:r>
          </w:p>
          <w:p>
            <w:pPr>
              <w:spacing w:line="360" w:lineRule="auto"/>
              <w:ind w:firstLine="480" w:firstLineChars="200"/>
              <w:rPr>
                <w:rFonts w:hint="default" w:eastAsia="宋体"/>
                <w:color w:val="auto"/>
                <w:sz w:val="24"/>
                <w:u w:val="none"/>
                <w:lang w:val="en-US" w:eastAsia="zh-CN"/>
              </w:rPr>
            </w:pPr>
            <w:r>
              <w:rPr>
                <w:rFonts w:hint="eastAsia"/>
                <w:color w:val="auto"/>
                <w:sz w:val="24"/>
                <w:u w:val="none"/>
                <w:lang w:val="en-US" w:eastAsia="zh-CN"/>
              </w:rPr>
              <w:t>老厂区共设置1个炒锅，炒制用油消耗量29t/a，</w:t>
            </w:r>
            <w:r>
              <w:rPr>
                <w:rFonts w:hint="eastAsia"/>
                <w:color w:val="auto"/>
                <w:spacing w:val="4"/>
                <w:sz w:val="24"/>
                <w:u w:val="none"/>
              </w:rPr>
              <w:t>一般油烟产生量约占总耗油量的2%~4%，</w:t>
            </w:r>
            <w:r>
              <w:rPr>
                <w:rFonts w:hint="eastAsia"/>
                <w:color w:val="auto"/>
                <w:spacing w:val="4"/>
                <w:sz w:val="24"/>
                <w:u w:val="none"/>
                <w:lang w:val="en-US" w:eastAsia="zh-CN"/>
              </w:rPr>
              <w:t>炒制温度低于180℃，非猛火爆炒</w:t>
            </w:r>
            <w:r>
              <w:rPr>
                <w:rFonts w:hint="eastAsia"/>
                <w:color w:val="auto"/>
                <w:spacing w:val="4"/>
                <w:sz w:val="24"/>
                <w:u w:val="none"/>
                <w:lang w:eastAsia="zh-CN"/>
              </w:rPr>
              <w:t>，</w:t>
            </w:r>
            <w:r>
              <w:rPr>
                <w:rFonts w:hint="eastAsia"/>
                <w:color w:val="auto"/>
                <w:spacing w:val="4"/>
                <w:sz w:val="24"/>
                <w:u w:val="none"/>
                <w:lang w:val="en-US" w:eastAsia="zh-CN"/>
              </w:rPr>
              <w:t>因此</w:t>
            </w:r>
            <w:r>
              <w:rPr>
                <w:rFonts w:hint="eastAsia"/>
                <w:color w:val="auto"/>
                <w:spacing w:val="4"/>
                <w:sz w:val="24"/>
                <w:u w:val="none"/>
              </w:rPr>
              <w:t>取</w:t>
            </w:r>
            <w:r>
              <w:rPr>
                <w:rFonts w:hint="eastAsia"/>
                <w:color w:val="auto"/>
                <w:spacing w:val="4"/>
                <w:sz w:val="24"/>
                <w:u w:val="none"/>
                <w:lang w:val="en-US" w:eastAsia="zh-CN"/>
              </w:rPr>
              <w:t>2</w:t>
            </w:r>
            <w:r>
              <w:rPr>
                <w:rFonts w:hint="eastAsia"/>
                <w:color w:val="auto"/>
                <w:spacing w:val="4"/>
                <w:sz w:val="24"/>
                <w:u w:val="none"/>
              </w:rPr>
              <w:t>%进行计算，油烟废气量为</w:t>
            </w:r>
            <w:r>
              <w:rPr>
                <w:rFonts w:hint="eastAsia"/>
                <w:color w:val="auto"/>
                <w:spacing w:val="4"/>
                <w:sz w:val="24"/>
                <w:u w:val="none"/>
                <w:lang w:val="en-US" w:eastAsia="zh-CN"/>
              </w:rPr>
              <w:t>0.58</w:t>
            </w:r>
            <w:r>
              <w:rPr>
                <w:rFonts w:hint="eastAsia"/>
                <w:color w:val="auto"/>
                <w:spacing w:val="4"/>
                <w:sz w:val="24"/>
                <w:u w:val="none"/>
              </w:rPr>
              <w:t>t</w:t>
            </w:r>
            <w:r>
              <w:rPr>
                <w:color w:val="auto"/>
                <w:spacing w:val="4"/>
                <w:sz w:val="24"/>
                <w:u w:val="none"/>
              </w:rPr>
              <w:t>/a</w:t>
            </w:r>
            <w:r>
              <w:rPr>
                <w:rFonts w:hint="eastAsia"/>
                <w:color w:val="auto"/>
                <w:spacing w:val="4"/>
                <w:sz w:val="24"/>
                <w:u w:val="none"/>
              </w:rPr>
              <w:t>，产生速率为</w:t>
            </w:r>
            <w:r>
              <w:rPr>
                <w:rFonts w:hint="eastAsia"/>
                <w:color w:val="auto"/>
                <w:spacing w:val="4"/>
                <w:sz w:val="24"/>
                <w:u w:val="none"/>
                <w:lang w:val="en-US" w:eastAsia="zh-CN"/>
              </w:rPr>
              <w:t>0.29</w:t>
            </w:r>
            <w:r>
              <w:rPr>
                <w:color w:val="auto"/>
                <w:spacing w:val="4"/>
                <w:sz w:val="24"/>
                <w:u w:val="none"/>
              </w:rPr>
              <w:t>kg/h</w:t>
            </w:r>
            <w:r>
              <w:rPr>
                <w:rFonts w:hint="eastAsia"/>
                <w:color w:val="auto"/>
                <w:spacing w:val="4"/>
                <w:sz w:val="24"/>
                <w:u w:val="none"/>
              </w:rPr>
              <w:t>。</w:t>
            </w:r>
            <w:r>
              <w:rPr>
                <w:rFonts w:hint="eastAsia"/>
                <w:color w:val="auto"/>
                <w:spacing w:val="4"/>
                <w:sz w:val="24"/>
                <w:u w:val="none"/>
                <w:lang w:val="en-US" w:eastAsia="zh-CN"/>
              </w:rPr>
              <w:t>设置两级静电油烟净化器处理后排至车间外，</w:t>
            </w:r>
            <w:r>
              <w:rPr>
                <w:rFonts w:hint="eastAsia"/>
                <w:color w:val="auto"/>
                <w:spacing w:val="4"/>
                <w:sz w:val="24"/>
                <w:u w:val="none"/>
              </w:rPr>
              <w:t>单个灶头基准风量为2000m</w:t>
            </w:r>
            <w:r>
              <w:rPr>
                <w:rFonts w:hint="eastAsia"/>
                <w:color w:val="auto"/>
                <w:spacing w:val="4"/>
                <w:sz w:val="24"/>
                <w:u w:val="none"/>
                <w:vertAlign w:val="superscript"/>
              </w:rPr>
              <w:t>3</w:t>
            </w:r>
            <w:r>
              <w:rPr>
                <w:rFonts w:hint="eastAsia"/>
                <w:color w:val="auto"/>
                <w:spacing w:val="4"/>
                <w:sz w:val="24"/>
                <w:u w:val="none"/>
              </w:rPr>
              <w:t>/h，油烟产生浓度为</w:t>
            </w:r>
            <w:r>
              <w:rPr>
                <w:rFonts w:hint="eastAsia"/>
                <w:color w:val="auto"/>
                <w:spacing w:val="4"/>
                <w:sz w:val="24"/>
                <w:u w:val="none"/>
                <w:lang w:val="en-US" w:eastAsia="zh-CN"/>
              </w:rPr>
              <w:t>145</w:t>
            </w:r>
            <w:r>
              <w:rPr>
                <w:rFonts w:hint="eastAsia"/>
                <w:color w:val="auto"/>
                <w:spacing w:val="4"/>
                <w:sz w:val="24"/>
                <w:u w:val="none"/>
              </w:rPr>
              <w:t>mg/m</w:t>
            </w:r>
            <w:r>
              <w:rPr>
                <w:rFonts w:hint="eastAsia"/>
                <w:color w:val="auto"/>
                <w:spacing w:val="4"/>
                <w:sz w:val="24"/>
                <w:u w:val="none"/>
                <w:vertAlign w:val="superscript"/>
              </w:rPr>
              <w:t>3</w:t>
            </w:r>
            <w:r>
              <w:rPr>
                <w:rFonts w:hint="eastAsia"/>
                <w:color w:val="auto"/>
                <w:spacing w:val="4"/>
                <w:sz w:val="24"/>
                <w:u w:val="none"/>
              </w:rPr>
              <w:t>。</w:t>
            </w:r>
            <w:r>
              <w:rPr>
                <w:rFonts w:hint="eastAsia"/>
                <w:color w:val="auto"/>
                <w:spacing w:val="4"/>
                <w:sz w:val="24"/>
                <w:u w:val="none"/>
                <w:lang w:val="en-US" w:eastAsia="zh-CN"/>
              </w:rPr>
              <w:t>两级静电油烟净化器处理效率为99%，则油烟排放量为0.0058t/a，排放速率0.0029kg/h，排放浓度1.45</w:t>
            </w:r>
            <w:r>
              <w:rPr>
                <w:rFonts w:hint="eastAsia"/>
                <w:color w:val="auto"/>
                <w:spacing w:val="4"/>
                <w:sz w:val="24"/>
                <w:u w:val="none"/>
              </w:rPr>
              <w:t>mg/m</w:t>
            </w:r>
            <w:r>
              <w:rPr>
                <w:rFonts w:hint="eastAsia"/>
                <w:color w:val="auto"/>
                <w:spacing w:val="4"/>
                <w:sz w:val="24"/>
                <w:u w:val="none"/>
                <w:vertAlign w:val="superscript"/>
              </w:rPr>
              <w:t>3</w:t>
            </w:r>
            <w:r>
              <w:rPr>
                <w:rFonts w:hint="eastAsia"/>
                <w:color w:val="auto"/>
                <w:spacing w:val="4"/>
                <w:sz w:val="24"/>
                <w:u w:val="none"/>
                <w:lang w:eastAsia="zh-CN"/>
              </w:rPr>
              <w:t>，</w:t>
            </w:r>
            <w:r>
              <w:rPr>
                <w:rFonts w:hint="eastAsia"/>
                <w:color w:val="auto"/>
                <w:spacing w:val="4"/>
                <w:sz w:val="24"/>
                <w:u w:val="none"/>
                <w:lang w:val="en-US" w:eastAsia="zh-CN"/>
              </w:rPr>
              <w:t>满足</w:t>
            </w:r>
            <w:r>
              <w:rPr>
                <w:rFonts w:hint="eastAsia"/>
                <w:color w:val="auto"/>
                <w:spacing w:val="4"/>
                <w:sz w:val="24"/>
                <w:u w:val="none"/>
              </w:rPr>
              <w:t>《饮食业油烟排放标准》（试行）（GB18483-2001）浓度限值要求。</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③车间异味、少量有机废气及拌料粉尘</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打码采用水性油墨，有机废气产生量较少，车间异味、少量有机废气及拌料粉尘在车间内无组织排放，经自然通风后对环境影响较小。</w:t>
            </w:r>
          </w:p>
          <w:p>
            <w:pPr>
              <w:spacing w:line="360" w:lineRule="auto"/>
              <w:ind w:firstLine="480" w:firstLineChars="200"/>
              <w:rPr>
                <w:rFonts w:hint="eastAsia"/>
                <w:color w:val="auto"/>
                <w:sz w:val="24"/>
                <w:u w:val="none"/>
                <w:lang w:val="en-US" w:eastAsia="zh-CN"/>
              </w:rPr>
            </w:pPr>
            <w:r>
              <w:rPr>
                <w:rFonts w:hint="eastAsia"/>
                <w:color w:val="auto"/>
                <w:sz w:val="24"/>
                <w:u w:val="none"/>
                <w:lang w:val="en-US" w:eastAsia="zh-CN"/>
              </w:rPr>
              <w:t>④污水处理站臭气</w:t>
            </w:r>
          </w:p>
          <w:p>
            <w:pPr>
              <w:spacing w:line="360" w:lineRule="auto"/>
              <w:ind w:firstLine="480" w:firstLineChars="200"/>
              <w:rPr>
                <w:rFonts w:hint="eastAsia"/>
                <w:color w:val="auto"/>
                <w:sz w:val="24"/>
                <w:u w:val="none"/>
                <w:lang w:val="en-US" w:eastAsia="zh-CN"/>
              </w:rPr>
            </w:pPr>
            <w:r>
              <w:rPr>
                <w:rFonts w:hint="eastAsia"/>
                <w:color w:val="auto"/>
                <w:sz w:val="24"/>
                <w:u w:val="none"/>
                <w:lang w:val="en-US" w:eastAsia="zh-CN"/>
              </w:rPr>
              <w:t>老厂区污水处理站为敞开式，污水处理站氨气、硫化氢等臭气以无组织方式扩散，排放量难以计量。</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（2）废水</w:t>
            </w:r>
          </w:p>
          <w:p>
            <w:pPr>
              <w:spacing w:line="360" w:lineRule="auto"/>
              <w:ind w:firstLine="480" w:firstLineChars="200"/>
              <w:rPr>
                <w:rFonts w:hint="default" w:eastAsia="宋体"/>
                <w:color w:val="auto"/>
                <w:sz w:val="24"/>
                <w:u w:val="none"/>
                <w:lang w:val="en-US" w:eastAsia="zh-CN"/>
              </w:rPr>
            </w:pPr>
            <w:r>
              <w:rPr>
                <w:rFonts w:hint="eastAsia"/>
                <w:color w:val="auto"/>
                <w:sz w:val="24"/>
                <w:u w:val="none"/>
                <w:lang w:val="en-US" w:eastAsia="zh-CN"/>
              </w:rPr>
              <w:t>①生活污水：老厂区员工共计32人，其中10人在厂区住宿，</w:t>
            </w:r>
            <w:r>
              <w:rPr>
                <w:rFonts w:hint="eastAsia"/>
                <w:bCs/>
                <w:color w:val="auto"/>
                <w:sz w:val="24"/>
                <w:u w:val="none"/>
              </w:rPr>
              <w:t>参照湖南省地方标准《用水定额 第3部分：生活、服务业及建筑业》（D</w:t>
            </w:r>
            <w:r>
              <w:rPr>
                <w:bCs/>
                <w:color w:val="auto"/>
                <w:sz w:val="24"/>
                <w:u w:val="none"/>
              </w:rPr>
              <w:t>B43/T388.3-2025），住宿人员用水定额为145L/人·d，不住宿人员按80L/人·d，则员工生活用</w:t>
            </w:r>
            <w:r>
              <w:rPr>
                <w:rFonts w:hint="eastAsia"/>
                <w:bCs/>
                <w:color w:val="auto"/>
                <w:sz w:val="24"/>
                <w:u w:val="none"/>
              </w:rPr>
              <w:t>水量约</w:t>
            </w:r>
            <w:r>
              <w:rPr>
                <w:rFonts w:hint="eastAsia"/>
                <w:bCs/>
                <w:color w:val="auto"/>
                <w:sz w:val="24"/>
                <w:u w:val="none"/>
                <w:lang w:val="en-US" w:eastAsia="zh-CN"/>
              </w:rPr>
              <w:t>3.21</w:t>
            </w:r>
            <w:r>
              <w:rPr>
                <w:rFonts w:hint="eastAsia"/>
                <w:bCs/>
                <w:color w:val="auto"/>
                <w:sz w:val="24"/>
                <w:u w:val="none"/>
              </w:rPr>
              <w:t>m</w:t>
            </w:r>
            <w:r>
              <w:rPr>
                <w:rFonts w:hint="eastAsia"/>
                <w:bCs/>
                <w:color w:val="auto"/>
                <w:sz w:val="24"/>
                <w:u w:val="none"/>
                <w:vertAlign w:val="superscript"/>
              </w:rPr>
              <w:t>3</w:t>
            </w:r>
            <w:r>
              <w:rPr>
                <w:rFonts w:hint="eastAsia"/>
                <w:bCs/>
                <w:color w:val="auto"/>
                <w:sz w:val="24"/>
                <w:u w:val="none"/>
              </w:rPr>
              <w:t>/d</w:t>
            </w:r>
            <w:r>
              <w:rPr>
                <w:rFonts w:hint="eastAsia"/>
                <w:bCs/>
                <w:color w:val="auto"/>
                <w:sz w:val="24"/>
                <w:u w:val="none"/>
                <w:lang w:val="en-US" w:eastAsia="zh-CN"/>
              </w:rPr>
              <w:t>（802.5m</w:t>
            </w:r>
            <w:r>
              <w:rPr>
                <w:rFonts w:hint="eastAsia"/>
                <w:bCs/>
                <w:color w:val="auto"/>
                <w:sz w:val="24"/>
                <w:u w:val="none"/>
                <w:vertAlign w:val="superscript"/>
                <w:lang w:val="en-US" w:eastAsia="zh-CN"/>
              </w:rPr>
              <w:t>3</w:t>
            </w:r>
            <w:r>
              <w:rPr>
                <w:rFonts w:hint="eastAsia"/>
                <w:bCs/>
                <w:color w:val="auto"/>
                <w:sz w:val="24"/>
                <w:u w:val="none"/>
                <w:lang w:val="en-US" w:eastAsia="zh-CN"/>
              </w:rPr>
              <w:t>/a）</w:t>
            </w:r>
            <w:r>
              <w:rPr>
                <w:rFonts w:hint="eastAsia"/>
                <w:bCs/>
                <w:color w:val="auto"/>
                <w:sz w:val="24"/>
                <w:u w:val="none"/>
                <w:lang w:eastAsia="zh-CN"/>
              </w:rPr>
              <w:t>。</w:t>
            </w:r>
            <w:r>
              <w:rPr>
                <w:rFonts w:hint="eastAsia"/>
                <w:bCs/>
                <w:color w:val="auto"/>
                <w:sz w:val="24"/>
                <w:u w:val="none"/>
                <w:lang w:val="en-US" w:eastAsia="zh-CN"/>
              </w:rPr>
              <w:t>产生量按用水量80%计，则生活污水产生量为2.57m</w:t>
            </w:r>
            <w:r>
              <w:rPr>
                <w:rFonts w:hint="eastAsia"/>
                <w:bCs/>
                <w:color w:val="auto"/>
                <w:sz w:val="24"/>
                <w:u w:val="none"/>
                <w:vertAlign w:val="superscript"/>
                <w:lang w:val="en-US" w:eastAsia="zh-CN"/>
              </w:rPr>
              <w:t>3</w:t>
            </w:r>
            <w:r>
              <w:rPr>
                <w:rFonts w:hint="eastAsia"/>
                <w:bCs/>
                <w:color w:val="auto"/>
                <w:sz w:val="24"/>
                <w:u w:val="none"/>
                <w:lang w:val="en-US" w:eastAsia="zh-CN"/>
              </w:rPr>
              <w:t>/d（642.5m</w:t>
            </w:r>
            <w:r>
              <w:rPr>
                <w:rFonts w:hint="eastAsia"/>
                <w:bCs/>
                <w:color w:val="auto"/>
                <w:sz w:val="24"/>
                <w:u w:val="none"/>
                <w:vertAlign w:val="superscript"/>
                <w:lang w:val="en-US" w:eastAsia="zh-CN"/>
              </w:rPr>
              <w:t>3</w:t>
            </w:r>
            <w:r>
              <w:rPr>
                <w:rFonts w:hint="eastAsia"/>
                <w:bCs/>
                <w:color w:val="auto"/>
                <w:sz w:val="24"/>
                <w:u w:val="none"/>
                <w:lang w:val="en-US" w:eastAsia="zh-CN"/>
              </w:rPr>
              <w:t>/a），主要污染因子为</w:t>
            </w:r>
            <w:r>
              <w:rPr>
                <w:rFonts w:hint="eastAsia"/>
                <w:bCs/>
                <w:color w:val="auto"/>
                <w:sz w:val="24"/>
                <w:u w:val="none"/>
              </w:rPr>
              <w:t>pH、</w:t>
            </w:r>
            <w:r>
              <w:rPr>
                <w:bCs/>
                <w:color w:val="auto"/>
                <w:sz w:val="24"/>
                <w:u w:val="none"/>
              </w:rPr>
              <w:t>COD、NH</w:t>
            </w:r>
            <w:r>
              <w:rPr>
                <w:bCs/>
                <w:color w:val="auto"/>
                <w:sz w:val="24"/>
                <w:u w:val="none"/>
                <w:vertAlign w:val="subscript"/>
              </w:rPr>
              <w:t>3</w:t>
            </w:r>
            <w:r>
              <w:rPr>
                <w:bCs/>
                <w:color w:val="auto"/>
                <w:sz w:val="24"/>
                <w:u w:val="none"/>
              </w:rPr>
              <w:t>-N、总氮、总磷、SS、BOD</w:t>
            </w:r>
            <w:r>
              <w:rPr>
                <w:bCs/>
                <w:color w:val="auto"/>
                <w:sz w:val="24"/>
                <w:u w:val="none"/>
                <w:vertAlign w:val="subscript"/>
              </w:rPr>
              <w:t>5</w:t>
            </w:r>
            <w:r>
              <w:rPr>
                <w:rFonts w:hint="eastAsia"/>
                <w:bCs/>
                <w:color w:val="auto"/>
                <w:sz w:val="24"/>
                <w:u w:val="none"/>
              </w:rPr>
              <w:t>、动植物油</w:t>
            </w:r>
            <w:r>
              <w:rPr>
                <w:rFonts w:hint="eastAsia"/>
                <w:bCs/>
                <w:color w:val="auto"/>
                <w:sz w:val="24"/>
                <w:u w:val="none"/>
                <w:lang w:val="en-US" w:eastAsia="zh-CN"/>
              </w:rPr>
              <w:t>，经化粪池处理后回用于周边农田灌溉。</w:t>
            </w:r>
          </w:p>
          <w:p>
            <w:pPr>
              <w:spacing w:line="360" w:lineRule="auto"/>
              <w:ind w:firstLine="480" w:firstLineChars="200"/>
              <w:rPr>
                <w:rFonts w:hint="eastAsia"/>
                <w:color w:val="auto"/>
                <w:sz w:val="24"/>
                <w:u w:val="none"/>
                <w:lang w:val="en-US" w:eastAsia="zh-CN"/>
              </w:rPr>
            </w:pPr>
            <w:r>
              <w:rPr>
                <w:rFonts w:hint="eastAsia"/>
                <w:color w:val="auto"/>
                <w:sz w:val="24"/>
                <w:u w:val="none"/>
                <w:lang w:val="en-US" w:eastAsia="zh-CN"/>
              </w:rPr>
              <w:t>②生产废水：老厂区废水主要为原料、设备、容器、车间地面清洗废水，根据建设单位统计，用水量约为10m</w:t>
            </w:r>
            <w:r>
              <w:rPr>
                <w:rFonts w:hint="eastAsia"/>
                <w:color w:val="auto"/>
                <w:sz w:val="24"/>
                <w:u w:val="none"/>
                <w:vertAlign w:val="superscript"/>
                <w:lang w:val="en-US" w:eastAsia="zh-CN"/>
              </w:rPr>
              <w:t>3</w:t>
            </w:r>
            <w:r>
              <w:rPr>
                <w:rFonts w:hint="eastAsia"/>
                <w:color w:val="auto"/>
                <w:sz w:val="24"/>
                <w:u w:val="none"/>
                <w:lang w:val="en-US" w:eastAsia="zh-CN"/>
              </w:rPr>
              <w:t>/d（2500m</w:t>
            </w:r>
            <w:r>
              <w:rPr>
                <w:rFonts w:hint="eastAsia"/>
                <w:color w:val="auto"/>
                <w:sz w:val="24"/>
                <w:u w:val="none"/>
                <w:vertAlign w:val="superscript"/>
                <w:lang w:val="en-US" w:eastAsia="zh-CN"/>
              </w:rPr>
              <w:t>3</w:t>
            </w:r>
            <w:r>
              <w:rPr>
                <w:rFonts w:hint="eastAsia"/>
                <w:color w:val="auto"/>
                <w:sz w:val="24"/>
                <w:u w:val="none"/>
                <w:lang w:val="en-US" w:eastAsia="zh-CN"/>
              </w:rPr>
              <w:t>/a），生产废水量按用水量80%计，则生产废水产生量为8m</w:t>
            </w:r>
            <w:r>
              <w:rPr>
                <w:rFonts w:hint="eastAsia"/>
                <w:color w:val="auto"/>
                <w:sz w:val="24"/>
                <w:u w:val="none"/>
                <w:vertAlign w:val="superscript"/>
                <w:lang w:val="en-US" w:eastAsia="zh-CN"/>
              </w:rPr>
              <w:t>3</w:t>
            </w:r>
            <w:r>
              <w:rPr>
                <w:rFonts w:hint="eastAsia"/>
                <w:color w:val="auto"/>
                <w:sz w:val="24"/>
                <w:u w:val="none"/>
                <w:lang w:val="en-US" w:eastAsia="zh-CN"/>
              </w:rPr>
              <w:t>/d（2000m</w:t>
            </w:r>
            <w:r>
              <w:rPr>
                <w:rFonts w:hint="eastAsia"/>
                <w:color w:val="auto"/>
                <w:sz w:val="24"/>
                <w:u w:val="none"/>
                <w:vertAlign w:val="superscript"/>
                <w:lang w:val="en-US" w:eastAsia="zh-CN"/>
              </w:rPr>
              <w:t>3</w:t>
            </w:r>
            <w:r>
              <w:rPr>
                <w:rFonts w:hint="eastAsia"/>
                <w:color w:val="auto"/>
                <w:sz w:val="24"/>
                <w:u w:val="none"/>
                <w:lang w:val="en-US" w:eastAsia="zh-CN"/>
              </w:rPr>
              <w:t>/a），主要污染因子为</w:t>
            </w:r>
            <w:r>
              <w:rPr>
                <w:rFonts w:hint="eastAsia"/>
                <w:bCs/>
                <w:color w:val="auto"/>
                <w:sz w:val="24"/>
                <w:u w:val="none"/>
              </w:rPr>
              <w:t>pH、</w:t>
            </w:r>
            <w:r>
              <w:rPr>
                <w:bCs/>
                <w:color w:val="auto"/>
                <w:sz w:val="24"/>
                <w:u w:val="none"/>
              </w:rPr>
              <w:t>COD、NH</w:t>
            </w:r>
            <w:r>
              <w:rPr>
                <w:bCs/>
                <w:color w:val="auto"/>
                <w:sz w:val="24"/>
                <w:u w:val="none"/>
                <w:vertAlign w:val="subscript"/>
              </w:rPr>
              <w:t>3</w:t>
            </w:r>
            <w:r>
              <w:rPr>
                <w:bCs/>
                <w:color w:val="auto"/>
                <w:sz w:val="24"/>
                <w:u w:val="none"/>
              </w:rPr>
              <w:t>-N、总氮、总磷、SS、BOD</w:t>
            </w:r>
            <w:r>
              <w:rPr>
                <w:bCs/>
                <w:color w:val="auto"/>
                <w:sz w:val="24"/>
                <w:u w:val="none"/>
                <w:vertAlign w:val="subscript"/>
              </w:rPr>
              <w:t>5</w:t>
            </w:r>
            <w:r>
              <w:rPr>
                <w:rFonts w:hint="eastAsia"/>
                <w:bCs/>
                <w:color w:val="auto"/>
                <w:sz w:val="24"/>
                <w:u w:val="none"/>
              </w:rPr>
              <w:t>、动植物油、LAS</w:t>
            </w:r>
            <w:r>
              <w:rPr>
                <w:rFonts w:hint="eastAsia"/>
                <w:color w:val="auto"/>
                <w:sz w:val="24"/>
                <w:u w:val="none"/>
                <w:lang w:val="en-US" w:eastAsia="zh-CN"/>
              </w:rPr>
              <w:t>，经厂区污水处理站（采用“格栅+隔油+调节+气浮+混凝沉淀”工艺）处理后回用于周边农田灌溉。污水处理站无生化处理工序，出水无法达《农田灌溉水质标准》（GB 5084—2021）。</w:t>
            </w:r>
          </w:p>
          <w:p>
            <w:pPr>
              <w:spacing w:line="360" w:lineRule="auto"/>
              <w:ind w:firstLine="480" w:firstLineChars="200"/>
              <w:rPr>
                <w:rFonts w:hint="default" w:eastAsia="宋体"/>
                <w:color w:val="auto"/>
                <w:sz w:val="24"/>
                <w:u w:val="none"/>
                <w:lang w:val="en-US" w:eastAsia="zh-CN"/>
              </w:rPr>
            </w:pPr>
            <w:r>
              <w:rPr>
                <w:rFonts w:hint="eastAsia"/>
                <w:color w:val="auto"/>
                <w:sz w:val="24"/>
                <w:u w:val="none"/>
                <w:lang w:eastAsia="zh-CN"/>
              </w:rPr>
              <w:t>（</w:t>
            </w:r>
            <w:r>
              <w:rPr>
                <w:rFonts w:hint="eastAsia"/>
                <w:color w:val="auto"/>
                <w:sz w:val="24"/>
                <w:u w:val="none"/>
                <w:lang w:val="en-US" w:eastAsia="zh-CN"/>
              </w:rPr>
              <w:t>3</w:t>
            </w:r>
            <w:r>
              <w:rPr>
                <w:rFonts w:hint="eastAsia"/>
                <w:color w:val="auto"/>
                <w:sz w:val="24"/>
                <w:u w:val="none"/>
                <w:lang w:eastAsia="zh-CN"/>
              </w:rPr>
              <w:t>）</w:t>
            </w:r>
            <w:r>
              <w:rPr>
                <w:rFonts w:hint="eastAsia"/>
                <w:color w:val="auto"/>
                <w:sz w:val="24"/>
                <w:u w:val="none"/>
                <w:lang w:val="en-US" w:eastAsia="zh-CN"/>
              </w:rPr>
              <w:t>噪声</w:t>
            </w:r>
          </w:p>
          <w:p>
            <w:pPr>
              <w:spacing w:line="360" w:lineRule="auto"/>
              <w:ind w:firstLine="480" w:firstLineChars="200"/>
              <w:rPr>
                <w:rFonts w:hint="default" w:eastAsia="宋体"/>
                <w:color w:val="auto"/>
                <w:sz w:val="24"/>
                <w:u w:val="none"/>
                <w:lang w:val="en-US" w:eastAsia="zh-CN"/>
              </w:rPr>
            </w:pPr>
            <w:r>
              <w:rPr>
                <w:rFonts w:hint="eastAsia"/>
                <w:color w:val="auto"/>
                <w:sz w:val="24"/>
                <w:u w:val="none"/>
                <w:lang w:val="en-US" w:eastAsia="zh-CN"/>
              </w:rPr>
              <w:t>老厂区噪声主要为切菜机、空压机、炒锅等生产设备，选用低噪声设备，且主要产噪设备均设置于车间内，噪声影响较小。</w:t>
            </w:r>
          </w:p>
          <w:p>
            <w:pPr>
              <w:spacing w:line="360" w:lineRule="auto"/>
              <w:ind w:firstLine="480" w:firstLineChars="200"/>
              <w:rPr>
                <w:rFonts w:hint="default" w:eastAsia="宋体"/>
                <w:color w:val="auto"/>
                <w:sz w:val="24"/>
                <w:u w:val="none"/>
                <w:lang w:val="en-US" w:eastAsia="zh-CN"/>
              </w:rPr>
            </w:pPr>
            <w:r>
              <w:rPr>
                <w:rFonts w:hint="eastAsia"/>
                <w:color w:val="auto"/>
                <w:sz w:val="24"/>
                <w:u w:val="none"/>
                <w:lang w:eastAsia="zh-CN"/>
              </w:rPr>
              <w:t>（</w:t>
            </w:r>
            <w:r>
              <w:rPr>
                <w:rFonts w:hint="eastAsia"/>
                <w:color w:val="auto"/>
                <w:sz w:val="24"/>
                <w:u w:val="none"/>
                <w:lang w:val="en-US" w:eastAsia="zh-CN"/>
              </w:rPr>
              <w:t>4</w:t>
            </w:r>
            <w:r>
              <w:rPr>
                <w:rFonts w:hint="eastAsia"/>
                <w:color w:val="auto"/>
                <w:sz w:val="24"/>
                <w:u w:val="none"/>
                <w:lang w:eastAsia="zh-CN"/>
              </w:rPr>
              <w:t>）</w:t>
            </w:r>
            <w:r>
              <w:rPr>
                <w:rFonts w:hint="eastAsia"/>
                <w:color w:val="auto"/>
                <w:sz w:val="24"/>
                <w:u w:val="none"/>
                <w:lang w:val="en-US" w:eastAsia="zh-CN"/>
              </w:rPr>
              <w:t>固体废物</w:t>
            </w:r>
          </w:p>
          <w:p>
            <w:pPr>
              <w:spacing w:line="360" w:lineRule="auto"/>
              <w:ind w:firstLine="480" w:firstLineChars="200"/>
              <w:rPr>
                <w:rFonts w:hint="default" w:eastAsia="宋体"/>
                <w:color w:val="auto"/>
                <w:sz w:val="24"/>
                <w:u w:val="none"/>
                <w:lang w:val="en-US" w:eastAsia="zh-CN"/>
              </w:rPr>
            </w:pPr>
            <w:r>
              <w:rPr>
                <w:rFonts w:hint="eastAsia"/>
                <w:color w:val="auto"/>
                <w:sz w:val="24"/>
                <w:u w:val="none"/>
                <w:lang w:val="en-US" w:eastAsia="zh-CN"/>
              </w:rPr>
              <w:t>老厂区固体废物产生情况及处置方式如下：</w:t>
            </w:r>
          </w:p>
          <w:p>
            <w:pPr>
              <w:spacing w:line="360" w:lineRule="auto"/>
              <w:jc w:val="center"/>
              <w:rPr>
                <w:rFonts w:hint="default" w:eastAsia="宋体"/>
                <w:b/>
                <w:bCs/>
                <w:color w:val="auto"/>
                <w:sz w:val="24"/>
                <w:u w:val="none"/>
                <w:lang w:val="en-US" w:eastAsia="zh-CN"/>
              </w:rPr>
            </w:pPr>
            <w:r>
              <w:rPr>
                <w:rFonts w:hint="eastAsia"/>
                <w:b/>
                <w:bCs/>
                <w:color w:val="auto"/>
                <w:sz w:val="24"/>
                <w:u w:val="none"/>
                <w:lang w:val="en-US" w:eastAsia="zh-CN"/>
              </w:rPr>
              <w:t>表2.12-7 老厂区固体废物产生及处置情况表</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2169"/>
              <w:gridCol w:w="1621"/>
              <w:gridCol w:w="1621"/>
              <w:gridCol w:w="1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序号</w:t>
                  </w:r>
                </w:p>
              </w:tc>
              <w:tc>
                <w:tcPr>
                  <w:tcW w:w="1295"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名称</w:t>
                  </w:r>
                </w:p>
              </w:tc>
              <w:tc>
                <w:tcPr>
                  <w:tcW w:w="968"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类型</w:t>
                  </w:r>
                </w:p>
              </w:tc>
              <w:tc>
                <w:tcPr>
                  <w:tcW w:w="968"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产生量（t/a）</w:t>
                  </w:r>
                </w:p>
              </w:tc>
              <w:tc>
                <w:tcPr>
                  <w:tcW w:w="1127"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处置方式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295" w:type="pct"/>
                  <w:shd w:val="clear" w:color="auto" w:fill="auto"/>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bCs/>
                      <w:color w:val="auto"/>
                      <w:spacing w:val="4"/>
                      <w:szCs w:val="21"/>
                      <w:u w:val="none"/>
                    </w:rPr>
                    <w:t>不合格原辅料</w:t>
                  </w:r>
                </w:p>
              </w:tc>
              <w:tc>
                <w:tcPr>
                  <w:tcW w:w="968" w:type="pct"/>
                  <w:vMerge w:val="restar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一般工业固废</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1.5</w:t>
                  </w:r>
                </w:p>
              </w:tc>
              <w:tc>
                <w:tcPr>
                  <w:tcW w:w="1127" w:type="pct"/>
                  <w:vMerge w:val="restart"/>
                  <w:vAlign w:val="center"/>
                </w:tcPr>
                <w:p>
                  <w:pPr>
                    <w:jc w:val="center"/>
                    <w:rPr>
                      <w:rFonts w:hint="default"/>
                      <w:color w:val="auto"/>
                      <w:sz w:val="21"/>
                      <w:szCs w:val="21"/>
                      <w:u w:val="none"/>
                      <w:vertAlign w:val="baseline"/>
                      <w:lang w:val="en-US" w:eastAsia="zh-CN"/>
                    </w:rPr>
                  </w:pPr>
                  <w:r>
                    <w:rPr>
                      <w:bCs/>
                      <w:color w:val="auto"/>
                      <w:spacing w:val="4"/>
                      <w:szCs w:val="21"/>
                      <w:u w:val="none"/>
                    </w:rPr>
                    <w:t>外售给饲料加工企业综合利用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w:t>
                  </w:r>
                </w:p>
              </w:tc>
              <w:tc>
                <w:tcPr>
                  <w:tcW w:w="1295" w:type="pct"/>
                  <w:shd w:val="clear" w:color="auto" w:fill="auto"/>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bCs/>
                      <w:color w:val="auto"/>
                      <w:spacing w:val="4"/>
                      <w:szCs w:val="21"/>
                      <w:u w:val="none"/>
                      <w:lang w:val="en-US" w:eastAsia="zh-CN"/>
                    </w:rPr>
                    <w:t>不合格产品</w:t>
                  </w:r>
                </w:p>
              </w:tc>
              <w:tc>
                <w:tcPr>
                  <w:tcW w:w="968" w:type="pct"/>
                  <w:vMerge w:val="continue"/>
                  <w:vAlign w:val="center"/>
                </w:tcPr>
                <w:p>
                  <w:pPr>
                    <w:jc w:val="center"/>
                    <w:rPr>
                      <w:rFonts w:hint="default"/>
                      <w:i w:val="0"/>
                      <w:iCs w:val="0"/>
                      <w:color w:val="auto"/>
                      <w:sz w:val="21"/>
                      <w:szCs w:val="21"/>
                      <w:u w:val="none"/>
                      <w:vertAlign w:val="baseline"/>
                      <w:lang w:val="en-US" w:eastAsia="zh-CN"/>
                    </w:rPr>
                  </w:pP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1127" w:type="pct"/>
                  <w:vMerge w:val="continue"/>
                  <w:vAlign w:val="center"/>
                </w:tcPr>
                <w:p>
                  <w:pPr>
                    <w:jc w:val="center"/>
                    <w:rPr>
                      <w:rFonts w:hint="default"/>
                      <w:color w:val="auto"/>
                      <w:sz w:val="21"/>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3</w:t>
                  </w:r>
                </w:p>
              </w:tc>
              <w:tc>
                <w:tcPr>
                  <w:tcW w:w="1295" w:type="pct"/>
                  <w:shd w:val="clear" w:color="auto" w:fill="auto"/>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color w:val="auto"/>
                      <w:szCs w:val="21"/>
                      <w:u w:val="none"/>
                    </w:rPr>
                    <w:t>废包装材料</w:t>
                  </w:r>
                </w:p>
              </w:tc>
              <w:tc>
                <w:tcPr>
                  <w:tcW w:w="968" w:type="pct"/>
                  <w:vMerge w:val="continue"/>
                  <w:vAlign w:val="center"/>
                </w:tcPr>
                <w:p>
                  <w:pPr>
                    <w:jc w:val="center"/>
                    <w:rPr>
                      <w:rFonts w:hint="default"/>
                      <w:color w:val="auto"/>
                      <w:sz w:val="21"/>
                      <w:szCs w:val="21"/>
                      <w:u w:val="none"/>
                      <w:vertAlign w:val="baseline"/>
                      <w:lang w:val="en-US" w:eastAsia="zh-CN"/>
                    </w:rPr>
                  </w:pP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0.5</w:t>
                  </w:r>
                </w:p>
              </w:tc>
              <w:tc>
                <w:tcPr>
                  <w:tcW w:w="1127" w:type="pct"/>
                  <w:vAlign w:val="center"/>
                </w:tcPr>
                <w:p>
                  <w:pPr>
                    <w:jc w:val="center"/>
                    <w:rPr>
                      <w:rFonts w:hint="default"/>
                      <w:color w:val="auto"/>
                      <w:sz w:val="21"/>
                      <w:szCs w:val="21"/>
                      <w:u w:val="none"/>
                      <w:vertAlign w:val="baseline"/>
                      <w:lang w:val="en-US" w:eastAsia="zh-CN"/>
                    </w:rPr>
                  </w:pPr>
                  <w:r>
                    <w:rPr>
                      <w:rFonts w:hint="eastAsia"/>
                      <w:color w:val="auto"/>
                      <w:szCs w:val="21"/>
                      <w:u w:val="none"/>
                    </w:rPr>
                    <w:t>外售给资源回收单位综合利用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4</w:t>
                  </w:r>
                </w:p>
              </w:tc>
              <w:tc>
                <w:tcPr>
                  <w:tcW w:w="1295" w:type="pct"/>
                  <w:shd w:val="clear" w:color="auto" w:fill="auto"/>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color w:val="auto"/>
                      <w:szCs w:val="21"/>
                      <w:u w:val="none"/>
                    </w:rPr>
                    <w:t>油烟净化器</w:t>
                  </w:r>
                  <w:r>
                    <w:rPr>
                      <w:rFonts w:hint="eastAsia"/>
                      <w:color w:val="auto"/>
                      <w:szCs w:val="21"/>
                      <w:u w:val="none"/>
                    </w:rPr>
                    <w:t>废油脂</w:t>
                  </w:r>
                </w:p>
              </w:tc>
              <w:tc>
                <w:tcPr>
                  <w:tcW w:w="968" w:type="pct"/>
                  <w:vMerge w:val="continue"/>
                  <w:vAlign w:val="center"/>
                </w:tcPr>
                <w:p>
                  <w:pPr>
                    <w:jc w:val="center"/>
                    <w:rPr>
                      <w:rFonts w:hint="default"/>
                      <w:color w:val="auto"/>
                      <w:sz w:val="21"/>
                      <w:szCs w:val="21"/>
                      <w:u w:val="none"/>
                      <w:vertAlign w:val="baseline"/>
                      <w:lang w:val="en-US" w:eastAsia="zh-CN"/>
                    </w:rPr>
                  </w:pP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0.55</w:t>
                  </w:r>
                </w:p>
              </w:tc>
              <w:tc>
                <w:tcPr>
                  <w:tcW w:w="1127" w:type="pct"/>
                  <w:vMerge w:val="restart"/>
                  <w:vAlign w:val="center"/>
                </w:tcPr>
                <w:p>
                  <w:pPr>
                    <w:jc w:val="center"/>
                    <w:rPr>
                      <w:rFonts w:hint="default"/>
                      <w:color w:val="auto"/>
                      <w:sz w:val="21"/>
                      <w:szCs w:val="21"/>
                      <w:u w:val="none"/>
                      <w:vertAlign w:val="baseline"/>
                      <w:lang w:val="en-US" w:eastAsia="zh-CN"/>
                    </w:rPr>
                  </w:pPr>
                  <w:r>
                    <w:rPr>
                      <w:rFonts w:hint="eastAsia"/>
                      <w:color w:val="auto"/>
                      <w:szCs w:val="21"/>
                      <w:u w:val="none"/>
                    </w:rPr>
                    <w:t>交由有餐厨垃圾回收资质的单位处理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5</w:t>
                  </w:r>
                </w:p>
              </w:tc>
              <w:tc>
                <w:tcPr>
                  <w:tcW w:w="1295" w:type="pct"/>
                  <w:shd w:val="clear" w:color="auto" w:fill="auto"/>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bCs/>
                      <w:color w:val="auto"/>
                      <w:spacing w:val="4"/>
                      <w:szCs w:val="21"/>
                      <w:u w:val="none"/>
                    </w:rPr>
                    <w:t>清罐废油脂</w:t>
                  </w:r>
                </w:p>
              </w:tc>
              <w:tc>
                <w:tcPr>
                  <w:tcW w:w="968" w:type="pct"/>
                  <w:vMerge w:val="continue"/>
                  <w:vAlign w:val="center"/>
                </w:tcPr>
                <w:p>
                  <w:pPr>
                    <w:jc w:val="center"/>
                    <w:rPr>
                      <w:rFonts w:hint="default"/>
                      <w:color w:val="auto"/>
                      <w:sz w:val="21"/>
                      <w:szCs w:val="21"/>
                      <w:u w:val="none"/>
                      <w:vertAlign w:val="baseline"/>
                      <w:lang w:val="en-US" w:eastAsia="zh-CN"/>
                    </w:rPr>
                  </w:pP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0.2</w:t>
                  </w:r>
                </w:p>
              </w:tc>
              <w:tc>
                <w:tcPr>
                  <w:tcW w:w="1127" w:type="pct"/>
                  <w:vMerge w:val="continue"/>
                  <w:vAlign w:val="center"/>
                </w:tcPr>
                <w:p>
                  <w:pPr>
                    <w:jc w:val="center"/>
                    <w:rPr>
                      <w:rFonts w:hint="default"/>
                      <w:color w:val="auto"/>
                      <w:sz w:val="21"/>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6</w:t>
                  </w:r>
                </w:p>
              </w:tc>
              <w:tc>
                <w:tcPr>
                  <w:tcW w:w="1295" w:type="pct"/>
                  <w:shd w:val="clear" w:color="auto" w:fill="auto"/>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color w:val="auto"/>
                      <w:szCs w:val="21"/>
                      <w:u w:val="none"/>
                    </w:rPr>
                    <w:t>污水处理污泥</w:t>
                  </w:r>
                </w:p>
              </w:tc>
              <w:tc>
                <w:tcPr>
                  <w:tcW w:w="968" w:type="pct"/>
                  <w:vMerge w:val="continue"/>
                  <w:vAlign w:val="center"/>
                </w:tcPr>
                <w:p>
                  <w:pPr>
                    <w:jc w:val="center"/>
                    <w:rPr>
                      <w:rFonts w:hint="default"/>
                      <w:color w:val="auto"/>
                      <w:sz w:val="21"/>
                      <w:szCs w:val="21"/>
                      <w:u w:val="none"/>
                      <w:vertAlign w:val="baseline"/>
                      <w:lang w:val="en-US" w:eastAsia="zh-CN"/>
                    </w:rPr>
                  </w:pP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w:t>
                  </w:r>
                </w:p>
              </w:tc>
              <w:tc>
                <w:tcPr>
                  <w:tcW w:w="1127" w:type="pct"/>
                  <w:vMerge w:val="restart"/>
                  <w:vAlign w:val="center"/>
                </w:tcPr>
                <w:p>
                  <w:pPr>
                    <w:jc w:val="center"/>
                    <w:rPr>
                      <w:rFonts w:hint="default"/>
                      <w:color w:val="auto"/>
                      <w:sz w:val="21"/>
                      <w:szCs w:val="21"/>
                      <w:u w:val="none"/>
                      <w:vertAlign w:val="baseline"/>
                      <w:lang w:val="en-US" w:eastAsia="zh-CN"/>
                    </w:rPr>
                  </w:pPr>
                  <w:r>
                    <w:rPr>
                      <w:color w:val="auto"/>
                      <w:szCs w:val="21"/>
                      <w:u w:val="none"/>
                    </w:rPr>
                    <w:t>收集后</w:t>
                  </w:r>
                  <w:r>
                    <w:rPr>
                      <w:rFonts w:hint="eastAsia"/>
                      <w:color w:val="auto"/>
                      <w:szCs w:val="21"/>
                      <w:u w:val="none"/>
                    </w:rPr>
                    <w:t>给</w:t>
                  </w:r>
                  <w:r>
                    <w:rPr>
                      <w:color w:val="auto"/>
                      <w:szCs w:val="21"/>
                      <w:u w:val="none"/>
                    </w:rPr>
                    <w:t>当地居民用作农肥</w:t>
                  </w:r>
                  <w:r>
                    <w:rPr>
                      <w:rFonts w:hint="eastAsia"/>
                      <w:bCs/>
                      <w:color w:val="auto"/>
                      <w:spacing w:val="4"/>
                      <w:szCs w:val="21"/>
                      <w:u w:val="none"/>
                    </w:rPr>
                    <w:t>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7</w:t>
                  </w:r>
                </w:p>
              </w:tc>
              <w:tc>
                <w:tcPr>
                  <w:tcW w:w="1295" w:type="pct"/>
                  <w:shd w:val="clear" w:color="auto" w:fill="auto"/>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cs="Times New Roman"/>
                      <w:bCs/>
                      <w:color w:val="auto"/>
                      <w:spacing w:val="4"/>
                      <w:kern w:val="2"/>
                      <w:sz w:val="21"/>
                      <w:szCs w:val="21"/>
                      <w:u w:val="none"/>
                      <w:lang w:val="en-US" w:eastAsia="zh-CN" w:bidi="ar-SA"/>
                    </w:rPr>
                    <w:t>锅炉灰渣</w:t>
                  </w:r>
                </w:p>
              </w:tc>
              <w:tc>
                <w:tcPr>
                  <w:tcW w:w="968" w:type="pct"/>
                  <w:vMerge w:val="continue"/>
                  <w:vAlign w:val="center"/>
                </w:tcPr>
                <w:p>
                  <w:pPr>
                    <w:jc w:val="center"/>
                    <w:rPr>
                      <w:rFonts w:hint="default"/>
                      <w:color w:val="auto"/>
                      <w:sz w:val="21"/>
                      <w:szCs w:val="21"/>
                      <w:u w:val="none"/>
                      <w:vertAlign w:val="baseline"/>
                      <w:lang w:val="en-US" w:eastAsia="zh-CN"/>
                    </w:rPr>
                  </w:pP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20</w:t>
                  </w:r>
                </w:p>
              </w:tc>
              <w:tc>
                <w:tcPr>
                  <w:tcW w:w="1127" w:type="pct"/>
                  <w:vMerge w:val="continue"/>
                  <w:vAlign w:val="center"/>
                </w:tcPr>
                <w:p>
                  <w:pPr>
                    <w:jc w:val="center"/>
                    <w:rPr>
                      <w:rFonts w:hint="default"/>
                      <w:color w:val="auto"/>
                      <w:sz w:val="21"/>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shd w:val="clear" w:color="auto" w:fill="auto"/>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8</w:t>
                  </w:r>
                </w:p>
              </w:tc>
              <w:tc>
                <w:tcPr>
                  <w:tcW w:w="1295" w:type="pct"/>
                  <w:shd w:val="clear" w:color="auto" w:fill="auto"/>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color w:val="auto"/>
                      <w:szCs w:val="21"/>
                      <w:u w:val="none"/>
                    </w:rPr>
                    <w:t>空气净化废过滤材料</w:t>
                  </w:r>
                </w:p>
              </w:tc>
              <w:tc>
                <w:tcPr>
                  <w:tcW w:w="968" w:type="pct"/>
                  <w:vMerge w:val="continue"/>
                  <w:vAlign w:val="center"/>
                </w:tcPr>
                <w:p>
                  <w:pPr>
                    <w:jc w:val="center"/>
                    <w:rPr>
                      <w:rFonts w:hint="eastAsia"/>
                      <w:color w:val="auto"/>
                      <w:sz w:val="21"/>
                      <w:szCs w:val="21"/>
                      <w:u w:val="none"/>
                      <w:vertAlign w:val="baseline"/>
                      <w:lang w:val="en-US" w:eastAsia="zh-CN"/>
                    </w:rPr>
                  </w:pP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0.05</w:t>
                  </w:r>
                </w:p>
              </w:tc>
              <w:tc>
                <w:tcPr>
                  <w:tcW w:w="1127" w:type="pct"/>
                  <w:vAlign w:val="center"/>
                </w:tcPr>
                <w:p>
                  <w:pPr>
                    <w:jc w:val="center"/>
                    <w:rPr>
                      <w:rFonts w:hint="default"/>
                      <w:color w:val="auto"/>
                      <w:sz w:val="21"/>
                      <w:szCs w:val="21"/>
                      <w:u w:val="none"/>
                      <w:vertAlign w:val="baseline"/>
                      <w:lang w:val="en-US" w:eastAsia="zh-CN"/>
                    </w:rPr>
                  </w:pPr>
                  <w:r>
                    <w:rPr>
                      <w:rFonts w:hint="eastAsia"/>
                      <w:bCs/>
                      <w:color w:val="auto"/>
                      <w:spacing w:val="4"/>
                      <w:szCs w:val="21"/>
                      <w:u w:val="none"/>
                    </w:rPr>
                    <w:t>供应商回收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pct"/>
                  <w:shd w:val="clear" w:color="auto" w:fill="auto"/>
                  <w:vAlign w:val="center"/>
                </w:tcPr>
                <w:p>
                  <w:pPr>
                    <w:jc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9</w:t>
                  </w:r>
                </w:p>
              </w:tc>
              <w:tc>
                <w:tcPr>
                  <w:tcW w:w="1295" w:type="pct"/>
                  <w:shd w:val="clear" w:color="auto" w:fill="auto"/>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cs="Times New Roman"/>
                      <w:bCs/>
                      <w:color w:val="auto"/>
                      <w:spacing w:val="4"/>
                      <w:kern w:val="2"/>
                      <w:sz w:val="21"/>
                      <w:szCs w:val="21"/>
                      <w:u w:val="none"/>
                      <w:lang w:val="en-US" w:eastAsia="zh-CN" w:bidi="ar-SA"/>
                    </w:rPr>
                    <w:t>生活垃圾</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生活垃圾</w:t>
                  </w:r>
                </w:p>
              </w:tc>
              <w:tc>
                <w:tcPr>
                  <w:tcW w:w="968"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5.25</w:t>
                  </w:r>
                </w:p>
              </w:tc>
              <w:tc>
                <w:tcPr>
                  <w:tcW w:w="1127" w:type="pct"/>
                  <w:vAlign w:val="center"/>
                </w:tcPr>
                <w:p>
                  <w:pPr>
                    <w:jc w:val="center"/>
                    <w:rPr>
                      <w:rFonts w:hint="default"/>
                      <w:color w:val="auto"/>
                      <w:sz w:val="21"/>
                      <w:szCs w:val="21"/>
                      <w:u w:val="none"/>
                      <w:vertAlign w:val="baseline"/>
                      <w:lang w:val="en-US" w:eastAsia="zh-CN"/>
                    </w:rPr>
                  </w:pPr>
                  <w:r>
                    <w:rPr>
                      <w:rFonts w:hint="eastAsia"/>
                      <w:bCs/>
                      <w:color w:val="auto"/>
                      <w:spacing w:val="4"/>
                      <w:szCs w:val="21"/>
                      <w:u w:val="none"/>
                    </w:rPr>
                    <w:t>由当地环卫部门统一清运</w:t>
                  </w:r>
                </w:p>
              </w:tc>
            </w:tr>
          </w:tbl>
          <w:p>
            <w:pPr>
              <w:spacing w:line="360" w:lineRule="auto"/>
              <w:ind w:firstLine="480" w:firstLineChars="200"/>
              <w:rPr>
                <w:rFonts w:hint="eastAsia"/>
                <w:color w:val="auto"/>
                <w:sz w:val="24"/>
                <w:u w:val="none"/>
                <w:lang w:val="en-US" w:eastAsia="zh-CN"/>
              </w:rPr>
            </w:pPr>
            <w:r>
              <w:rPr>
                <w:rFonts w:hint="eastAsia"/>
                <w:color w:val="auto"/>
                <w:sz w:val="24"/>
                <w:u w:val="none"/>
                <w:lang w:eastAsia="zh-CN"/>
              </w:rPr>
              <w:t>（</w:t>
            </w:r>
            <w:r>
              <w:rPr>
                <w:rFonts w:hint="eastAsia"/>
                <w:color w:val="auto"/>
                <w:sz w:val="24"/>
                <w:u w:val="none"/>
                <w:lang w:val="en-US" w:eastAsia="zh-CN"/>
              </w:rPr>
              <w:t>5</w:t>
            </w:r>
            <w:r>
              <w:rPr>
                <w:rFonts w:hint="eastAsia"/>
                <w:color w:val="auto"/>
                <w:sz w:val="24"/>
                <w:u w:val="none"/>
                <w:lang w:eastAsia="zh-CN"/>
              </w:rPr>
              <w:t>）</w:t>
            </w:r>
            <w:r>
              <w:rPr>
                <w:rFonts w:hint="eastAsia"/>
                <w:color w:val="auto"/>
                <w:sz w:val="24"/>
                <w:u w:val="none"/>
                <w:lang w:val="en-US" w:eastAsia="zh-CN"/>
              </w:rPr>
              <w:t>老厂区污染物排放量及污染防治措施汇总</w:t>
            </w:r>
          </w:p>
          <w:p>
            <w:pPr>
              <w:spacing w:line="360" w:lineRule="auto"/>
              <w:jc w:val="center"/>
              <w:rPr>
                <w:rFonts w:hint="default" w:eastAsia="宋体"/>
                <w:b/>
                <w:bCs/>
                <w:color w:val="auto"/>
                <w:sz w:val="24"/>
                <w:u w:val="none"/>
                <w:lang w:val="en-US" w:eastAsia="zh-CN"/>
              </w:rPr>
            </w:pPr>
            <w:r>
              <w:rPr>
                <w:rFonts w:hint="eastAsia"/>
                <w:b/>
                <w:bCs/>
                <w:color w:val="auto"/>
                <w:sz w:val="24"/>
                <w:u w:val="none"/>
                <w:lang w:val="en-US" w:eastAsia="zh-CN"/>
              </w:rPr>
              <w:t>表2.12-8 老厂区污染物排放量及污染防治措施汇总表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236"/>
              <w:gridCol w:w="1610"/>
              <w:gridCol w:w="988"/>
              <w:gridCol w:w="1004"/>
              <w:gridCol w:w="2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5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eastAsia="宋体"/>
                      <w:b/>
                      <w:bCs/>
                      <w:color w:val="auto"/>
                      <w:sz w:val="21"/>
                      <w:szCs w:val="21"/>
                      <w:highlight w:val="none"/>
                      <w:u w:val="none"/>
                      <w:lang w:eastAsia="zh-CN"/>
                    </w:rPr>
                  </w:pPr>
                  <w:r>
                    <w:rPr>
                      <w:rFonts w:hint="eastAsia"/>
                      <w:b/>
                      <w:bCs/>
                      <w:color w:val="auto"/>
                      <w:sz w:val="21"/>
                      <w:szCs w:val="21"/>
                      <w:highlight w:val="none"/>
                      <w:u w:val="none"/>
                      <w:lang w:val="en-US" w:eastAsia="zh-CN"/>
                    </w:rPr>
                    <w:t>类别</w:t>
                  </w:r>
                </w:p>
              </w:tc>
              <w:tc>
                <w:tcPr>
                  <w:tcW w:w="7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b/>
                      <w:bCs/>
                      <w:color w:val="auto"/>
                      <w:sz w:val="21"/>
                      <w:szCs w:val="21"/>
                      <w:highlight w:val="none"/>
                      <w:u w:val="none"/>
                    </w:rPr>
                  </w:pPr>
                  <w:r>
                    <w:rPr>
                      <w:b/>
                      <w:bCs/>
                      <w:color w:val="auto"/>
                      <w:sz w:val="21"/>
                      <w:szCs w:val="21"/>
                      <w:highlight w:val="none"/>
                      <w:u w:val="none"/>
                    </w:rPr>
                    <w:t>污染源</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b/>
                      <w:bCs/>
                      <w:color w:val="auto"/>
                      <w:sz w:val="21"/>
                      <w:szCs w:val="21"/>
                      <w:highlight w:val="none"/>
                      <w:u w:val="none"/>
                    </w:rPr>
                  </w:pPr>
                  <w:r>
                    <w:rPr>
                      <w:b/>
                      <w:bCs/>
                      <w:color w:val="auto"/>
                      <w:sz w:val="21"/>
                      <w:szCs w:val="21"/>
                      <w:highlight w:val="none"/>
                      <w:u w:val="none"/>
                    </w:rPr>
                    <w:t>污染物</w:t>
                  </w:r>
                </w:p>
              </w:tc>
              <w:tc>
                <w:tcPr>
                  <w:tcW w:w="5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b/>
                      <w:bCs/>
                      <w:color w:val="auto"/>
                      <w:sz w:val="21"/>
                      <w:szCs w:val="21"/>
                      <w:highlight w:val="none"/>
                      <w:u w:val="none"/>
                      <w:lang w:val="en-US" w:eastAsia="zh-CN"/>
                    </w:rPr>
                  </w:pPr>
                  <w:r>
                    <w:rPr>
                      <w:rFonts w:hint="eastAsia"/>
                      <w:b/>
                      <w:bCs/>
                      <w:color w:val="auto"/>
                      <w:sz w:val="21"/>
                      <w:szCs w:val="21"/>
                      <w:highlight w:val="none"/>
                      <w:u w:val="none"/>
                      <w:lang w:val="en-US" w:eastAsia="zh-CN"/>
                    </w:rPr>
                    <w:t>产生量（t/a）</w:t>
                  </w:r>
                </w:p>
              </w:tc>
              <w:tc>
                <w:tcPr>
                  <w:tcW w:w="5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eastAsia="宋体"/>
                      <w:b/>
                      <w:bCs/>
                      <w:color w:val="auto"/>
                      <w:sz w:val="21"/>
                      <w:szCs w:val="21"/>
                      <w:highlight w:val="none"/>
                      <w:u w:val="none"/>
                      <w:lang w:val="en-US" w:eastAsia="zh-CN"/>
                    </w:rPr>
                  </w:pPr>
                  <w:r>
                    <w:rPr>
                      <w:rFonts w:hint="eastAsia"/>
                      <w:b/>
                      <w:bCs/>
                      <w:color w:val="auto"/>
                      <w:sz w:val="21"/>
                      <w:szCs w:val="21"/>
                      <w:highlight w:val="none"/>
                      <w:u w:val="none"/>
                      <w:lang w:val="en-US" w:eastAsia="zh-CN"/>
                    </w:rPr>
                    <w:t>排放量（t/a）</w:t>
                  </w:r>
                </w:p>
              </w:tc>
              <w:tc>
                <w:tcPr>
                  <w:tcW w:w="15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b/>
                      <w:bCs/>
                      <w:color w:val="auto"/>
                      <w:sz w:val="21"/>
                      <w:szCs w:val="21"/>
                      <w:highlight w:val="none"/>
                      <w:u w:val="none"/>
                    </w:rPr>
                  </w:pPr>
                  <w:r>
                    <w:rPr>
                      <w:b/>
                      <w:bCs/>
                      <w:color w:val="auto"/>
                      <w:sz w:val="21"/>
                      <w:szCs w:val="21"/>
                      <w:highlight w:val="none"/>
                      <w:u w:val="none"/>
                    </w:rPr>
                    <w:t>环境保护措施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废气</w:t>
                  </w:r>
                </w:p>
              </w:tc>
              <w:tc>
                <w:tcPr>
                  <w:tcW w:w="73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蒸汽发生器废气</w:t>
                  </w:r>
                </w:p>
              </w:tc>
              <w:tc>
                <w:tcPr>
                  <w:tcW w:w="961" w:type="pct"/>
                  <w:tcBorders>
                    <w:tl2br w:val="nil"/>
                    <w:tr2bl w:val="nil"/>
                  </w:tcBorders>
                  <w:noWrap w:val="0"/>
                  <w:vAlign w:val="center"/>
                </w:tcPr>
                <w:p>
                  <w:pPr>
                    <w:widowControl/>
                    <w:tabs>
                      <w:tab w:val="left" w:pos="1050"/>
                    </w:tabs>
                    <w:autoSpaceDE w:val="0"/>
                    <w:jc w:val="center"/>
                    <w:rPr>
                      <w:rFonts w:hint="default" w:eastAsia="宋体"/>
                      <w:color w:val="auto"/>
                      <w:sz w:val="21"/>
                      <w:szCs w:val="21"/>
                      <w:highlight w:val="none"/>
                      <w:u w:val="none"/>
                      <w:lang w:val="en-US" w:eastAsia="zh-CN"/>
                    </w:rPr>
                  </w:pPr>
                  <w:r>
                    <w:rPr>
                      <w:rFonts w:eastAsia="Times New Roman"/>
                      <w:color w:val="auto"/>
                      <w:kern w:val="0"/>
                      <w:sz w:val="21"/>
                      <w:szCs w:val="21"/>
                      <w:u w:val="none"/>
                    </w:rPr>
                    <w:t>SO</w:t>
                  </w:r>
                  <w:r>
                    <w:rPr>
                      <w:rFonts w:eastAsia="Times New Roman"/>
                      <w:color w:val="auto"/>
                      <w:kern w:val="0"/>
                      <w:sz w:val="21"/>
                      <w:szCs w:val="21"/>
                      <w:u w:val="none"/>
                      <w:vertAlign w:val="subscript"/>
                    </w:rPr>
                    <w:t>2</w:t>
                  </w:r>
                </w:p>
              </w:tc>
              <w:tc>
                <w:tcPr>
                  <w:tcW w:w="590" w:type="pct"/>
                  <w:tcBorders>
                    <w:tl2br w:val="nil"/>
                    <w:tr2bl w:val="nil"/>
                  </w:tcBorders>
                  <w:noWrap w:val="0"/>
                  <w:vAlign w:val="center"/>
                </w:tcPr>
                <w:p>
                  <w:pPr>
                    <w:keepNext w:val="0"/>
                    <w:keepLines w:val="0"/>
                    <w:widowControl/>
                    <w:suppressLineNumbers w:val="0"/>
                    <w:jc w:val="center"/>
                    <w:textAlignment w:val="center"/>
                    <w:rPr>
                      <w:rFonts w:hint="eastAsia" w:eastAsia="宋体"/>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0.85</w:t>
                  </w:r>
                </w:p>
              </w:tc>
              <w:tc>
                <w:tcPr>
                  <w:tcW w:w="599" w:type="pct"/>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0.85</w:t>
                  </w:r>
                </w:p>
              </w:tc>
              <w:tc>
                <w:tcPr>
                  <w:tcW w:w="159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水膜除尘器+9m排气筒排放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61" w:type="pct"/>
                  <w:tcBorders>
                    <w:tl2br w:val="nil"/>
                    <w:tr2bl w:val="nil"/>
                  </w:tcBorders>
                  <w:noWrap w:val="0"/>
                  <w:vAlign w:val="center"/>
                </w:tcPr>
                <w:p>
                  <w:pPr>
                    <w:widowControl/>
                    <w:tabs>
                      <w:tab w:val="left" w:pos="1050"/>
                    </w:tabs>
                    <w:autoSpaceDE w:val="0"/>
                    <w:jc w:val="center"/>
                    <w:rPr>
                      <w:rFonts w:hint="default" w:eastAsia="宋体"/>
                      <w:color w:val="auto"/>
                      <w:sz w:val="21"/>
                      <w:szCs w:val="21"/>
                      <w:highlight w:val="none"/>
                      <w:u w:val="none"/>
                      <w:lang w:val="en-US" w:eastAsia="zh-CN"/>
                    </w:rPr>
                  </w:pPr>
                  <w:r>
                    <w:rPr>
                      <w:rFonts w:hint="eastAsia" w:ascii="宋体" w:hAnsi="宋体" w:cs="宋体"/>
                      <w:color w:val="auto"/>
                      <w:kern w:val="0"/>
                      <w:sz w:val="21"/>
                      <w:szCs w:val="21"/>
                      <w:u w:val="none"/>
                    </w:rPr>
                    <w:t>颗粒物</w:t>
                  </w:r>
                </w:p>
              </w:tc>
              <w:tc>
                <w:tcPr>
                  <w:tcW w:w="590" w:type="pct"/>
                  <w:tcBorders>
                    <w:tl2br w:val="nil"/>
                    <w:tr2bl w:val="nil"/>
                  </w:tcBorders>
                  <w:noWrap w:val="0"/>
                  <w:vAlign w:val="center"/>
                </w:tcPr>
                <w:p>
                  <w:pPr>
                    <w:keepNext w:val="0"/>
                    <w:keepLines w:val="0"/>
                    <w:widowControl/>
                    <w:suppressLineNumbers w:val="0"/>
                    <w:jc w:val="center"/>
                    <w:textAlignment w:val="center"/>
                    <w:rPr>
                      <w:rFonts w:hint="eastAsia" w:eastAsia="宋体"/>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18.8</w:t>
                  </w:r>
                </w:p>
              </w:tc>
              <w:tc>
                <w:tcPr>
                  <w:tcW w:w="599" w:type="pct"/>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eastAsia" w:ascii="Times New Roman" w:hAnsi="Times New Roman" w:eastAsia="宋体" w:cs="Times New Roman"/>
                      <w:i w:val="0"/>
                      <w:iCs w:val="0"/>
                      <w:color w:val="auto"/>
                      <w:kern w:val="0"/>
                      <w:sz w:val="21"/>
                      <w:szCs w:val="21"/>
                      <w:u w:val="none"/>
                      <w:lang w:val="en-US" w:eastAsia="zh-CN" w:bidi="ar"/>
                    </w:rPr>
                    <w:t xml:space="preserve">2.2 </w:t>
                  </w:r>
                </w:p>
              </w:tc>
              <w:tc>
                <w:tcPr>
                  <w:tcW w:w="15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61" w:type="pct"/>
                  <w:tcBorders>
                    <w:tl2br w:val="nil"/>
                    <w:tr2bl w:val="nil"/>
                  </w:tcBorders>
                  <w:noWrap w:val="0"/>
                  <w:vAlign w:val="center"/>
                </w:tcPr>
                <w:p>
                  <w:pPr>
                    <w:widowControl/>
                    <w:tabs>
                      <w:tab w:val="left" w:pos="1050"/>
                    </w:tabs>
                    <w:autoSpaceDE w:val="0"/>
                    <w:jc w:val="center"/>
                    <w:rPr>
                      <w:rFonts w:hint="default" w:eastAsia="宋体"/>
                      <w:color w:val="auto"/>
                      <w:sz w:val="21"/>
                      <w:szCs w:val="21"/>
                      <w:highlight w:val="none"/>
                      <w:u w:val="none"/>
                      <w:lang w:val="en-US" w:eastAsia="zh-CN"/>
                    </w:rPr>
                  </w:pPr>
                  <w:r>
                    <w:rPr>
                      <w:rFonts w:eastAsia="Times New Roman"/>
                      <w:color w:val="auto"/>
                      <w:kern w:val="0"/>
                      <w:sz w:val="21"/>
                      <w:szCs w:val="21"/>
                      <w:u w:val="none"/>
                    </w:rPr>
                    <w:t>NOx</w:t>
                  </w:r>
                </w:p>
              </w:tc>
              <w:tc>
                <w:tcPr>
                  <w:tcW w:w="590" w:type="pct"/>
                  <w:tcBorders>
                    <w:tl2br w:val="nil"/>
                    <w:tr2bl w:val="nil"/>
                  </w:tcBorders>
                  <w:noWrap w:val="0"/>
                  <w:vAlign w:val="center"/>
                </w:tcPr>
                <w:p>
                  <w:pPr>
                    <w:keepNext w:val="0"/>
                    <w:keepLines w:val="0"/>
                    <w:widowControl/>
                    <w:suppressLineNumbers w:val="0"/>
                    <w:jc w:val="center"/>
                    <w:textAlignment w:val="center"/>
                    <w:rPr>
                      <w:rFonts w:hint="eastAsia" w:eastAsia="宋体"/>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0.51</w:t>
                  </w:r>
                </w:p>
              </w:tc>
              <w:tc>
                <w:tcPr>
                  <w:tcW w:w="599" w:type="pct"/>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0.51</w:t>
                  </w:r>
                </w:p>
              </w:tc>
              <w:tc>
                <w:tcPr>
                  <w:tcW w:w="15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炒制油烟</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油烟</w:t>
                  </w:r>
                </w:p>
              </w:tc>
              <w:tc>
                <w:tcPr>
                  <w:tcW w:w="5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0.58</w:t>
                  </w:r>
                </w:p>
              </w:tc>
              <w:tc>
                <w:tcPr>
                  <w:tcW w:w="5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0.0058</w:t>
                  </w:r>
                </w:p>
              </w:tc>
              <w:tc>
                <w:tcPr>
                  <w:tcW w:w="15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静电油烟净化器处理后排至车间外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车间</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异味、非甲烷总烃、粉尘</w:t>
                  </w:r>
                </w:p>
              </w:tc>
              <w:tc>
                <w:tcPr>
                  <w:tcW w:w="5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少量</w:t>
                  </w:r>
                </w:p>
              </w:tc>
              <w:tc>
                <w:tcPr>
                  <w:tcW w:w="5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少量</w:t>
                  </w:r>
                </w:p>
              </w:tc>
              <w:tc>
                <w:tcPr>
                  <w:tcW w:w="15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无组织排放，</w:t>
                  </w:r>
                  <w:r>
                    <w:rPr>
                      <w:rFonts w:hint="eastAsia"/>
                      <w:color w:val="auto"/>
                      <w:sz w:val="21"/>
                      <w:szCs w:val="21"/>
                      <w:highlight w:val="none"/>
                      <w:u w:val="none"/>
                      <w:lang w:val="en-US" w:eastAsia="zh-CN"/>
                    </w:rPr>
                    <w:t>车间自然通风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污水处理站臭气</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氨、硫化氢、臭气浓度</w:t>
                  </w:r>
                </w:p>
              </w:tc>
              <w:tc>
                <w:tcPr>
                  <w:tcW w:w="5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难以计量</w:t>
                  </w:r>
                </w:p>
              </w:tc>
              <w:tc>
                <w:tcPr>
                  <w:tcW w:w="5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难以计量</w:t>
                  </w:r>
                </w:p>
              </w:tc>
              <w:tc>
                <w:tcPr>
                  <w:tcW w:w="15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5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eastAsia="宋体"/>
                      <w:color w:val="auto"/>
                      <w:sz w:val="21"/>
                      <w:szCs w:val="21"/>
                      <w:highlight w:val="none"/>
                      <w:u w:val="none"/>
                      <w:lang w:eastAsia="zh-CN"/>
                    </w:rPr>
                  </w:pPr>
                  <w:r>
                    <w:rPr>
                      <w:rFonts w:hint="eastAsia"/>
                      <w:color w:val="auto"/>
                      <w:sz w:val="21"/>
                      <w:szCs w:val="21"/>
                      <w:highlight w:val="none"/>
                      <w:u w:val="none"/>
                      <w:lang w:val="en-US" w:eastAsia="zh-CN"/>
                    </w:rPr>
                    <w:t>废水</w:t>
                  </w:r>
                </w:p>
              </w:tc>
              <w:tc>
                <w:tcPr>
                  <w:tcW w:w="7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生活污水</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pH、COD、NH</w:t>
                  </w:r>
                  <w:r>
                    <w:rPr>
                      <w:rFonts w:hint="default" w:eastAsia="宋体"/>
                      <w:color w:val="auto"/>
                      <w:sz w:val="21"/>
                      <w:szCs w:val="21"/>
                      <w:highlight w:val="none"/>
                      <w:u w:val="none"/>
                      <w:vertAlign w:val="subscript"/>
                      <w:lang w:val="en-US" w:eastAsia="zh-CN"/>
                    </w:rPr>
                    <w:t>3</w:t>
                  </w:r>
                  <w:r>
                    <w:rPr>
                      <w:rFonts w:hint="default" w:eastAsia="宋体"/>
                      <w:color w:val="auto"/>
                      <w:sz w:val="21"/>
                      <w:szCs w:val="21"/>
                      <w:highlight w:val="none"/>
                      <w:u w:val="none"/>
                      <w:lang w:val="en-US" w:eastAsia="zh-CN"/>
                    </w:rPr>
                    <w:t>-N、总氮、总磷、SS、BOD</w:t>
                  </w:r>
                  <w:r>
                    <w:rPr>
                      <w:rFonts w:hint="default" w:eastAsia="宋体"/>
                      <w:color w:val="auto"/>
                      <w:sz w:val="21"/>
                      <w:szCs w:val="21"/>
                      <w:highlight w:val="none"/>
                      <w:u w:val="none"/>
                      <w:vertAlign w:val="subscript"/>
                      <w:lang w:val="en-US" w:eastAsia="zh-CN"/>
                    </w:rPr>
                    <w:t>5</w:t>
                  </w:r>
                  <w:r>
                    <w:rPr>
                      <w:rFonts w:hint="default" w:eastAsia="宋体"/>
                      <w:color w:val="auto"/>
                      <w:sz w:val="21"/>
                      <w:szCs w:val="21"/>
                      <w:highlight w:val="none"/>
                      <w:u w:val="none"/>
                      <w:lang w:val="en-US" w:eastAsia="zh-CN"/>
                    </w:rPr>
                    <w:t>、动植物油</w:t>
                  </w:r>
                </w:p>
              </w:tc>
              <w:tc>
                <w:tcPr>
                  <w:tcW w:w="5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废水量642.5</w:t>
                  </w:r>
                </w:p>
              </w:tc>
              <w:tc>
                <w:tcPr>
                  <w:tcW w:w="5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不排放</w:t>
                  </w:r>
                </w:p>
              </w:tc>
              <w:tc>
                <w:tcPr>
                  <w:tcW w:w="15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eastAsia="宋体"/>
                      <w:color w:val="auto"/>
                      <w:sz w:val="21"/>
                      <w:szCs w:val="21"/>
                      <w:highlight w:val="none"/>
                      <w:u w:val="none"/>
                      <w:lang w:eastAsia="zh-CN"/>
                    </w:rPr>
                  </w:pPr>
                  <w:r>
                    <w:rPr>
                      <w:rFonts w:hint="eastAsia" w:eastAsia="宋体"/>
                      <w:color w:val="auto"/>
                      <w:sz w:val="21"/>
                      <w:szCs w:val="21"/>
                      <w:highlight w:val="none"/>
                      <w:u w:val="none"/>
                      <w:lang w:eastAsia="zh-CN"/>
                    </w:rPr>
                    <w:t>化粪池处理后回用于周边农田</w:t>
                  </w:r>
                  <w:r>
                    <w:rPr>
                      <w:rFonts w:hint="eastAsia" w:eastAsia="宋体"/>
                      <w:color w:val="auto"/>
                      <w:sz w:val="21"/>
                      <w:szCs w:val="21"/>
                      <w:highlight w:val="none"/>
                      <w:u w:val="none"/>
                      <w:lang w:val="en-US" w:eastAsia="zh-CN"/>
                    </w:rPr>
                    <w:t>灌溉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生产废水</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pH、COD、NH</w:t>
                  </w:r>
                  <w:r>
                    <w:rPr>
                      <w:rFonts w:hint="default" w:eastAsia="宋体"/>
                      <w:color w:val="auto"/>
                      <w:sz w:val="21"/>
                      <w:szCs w:val="21"/>
                      <w:highlight w:val="none"/>
                      <w:u w:val="none"/>
                      <w:vertAlign w:val="subscript"/>
                      <w:lang w:val="en-US" w:eastAsia="zh-CN"/>
                    </w:rPr>
                    <w:t>3</w:t>
                  </w:r>
                  <w:r>
                    <w:rPr>
                      <w:rFonts w:hint="default" w:eastAsia="宋体"/>
                      <w:color w:val="auto"/>
                      <w:sz w:val="21"/>
                      <w:szCs w:val="21"/>
                      <w:highlight w:val="none"/>
                      <w:u w:val="none"/>
                      <w:lang w:val="en-US" w:eastAsia="zh-CN"/>
                    </w:rPr>
                    <w:t>-N、总氮、总磷、SS、BOD</w:t>
                  </w:r>
                  <w:r>
                    <w:rPr>
                      <w:rFonts w:hint="default" w:eastAsia="宋体"/>
                      <w:color w:val="auto"/>
                      <w:sz w:val="21"/>
                      <w:szCs w:val="21"/>
                      <w:highlight w:val="none"/>
                      <w:u w:val="none"/>
                      <w:vertAlign w:val="subscript"/>
                      <w:lang w:val="en-US" w:eastAsia="zh-CN"/>
                    </w:rPr>
                    <w:t>5</w:t>
                  </w:r>
                  <w:r>
                    <w:rPr>
                      <w:rFonts w:hint="default" w:eastAsia="宋体"/>
                      <w:color w:val="auto"/>
                      <w:sz w:val="21"/>
                      <w:szCs w:val="21"/>
                      <w:highlight w:val="none"/>
                      <w:u w:val="none"/>
                      <w:lang w:val="en-US" w:eastAsia="zh-CN"/>
                    </w:rPr>
                    <w:t>、动植物油</w:t>
                  </w:r>
                </w:p>
              </w:tc>
              <w:tc>
                <w:tcPr>
                  <w:tcW w:w="5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废水量2000</w:t>
                  </w:r>
                </w:p>
              </w:tc>
              <w:tc>
                <w:tcPr>
                  <w:tcW w:w="5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不排放</w:t>
                  </w:r>
                </w:p>
              </w:tc>
              <w:tc>
                <w:tcPr>
                  <w:tcW w:w="15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污水处理站（采用“格栅+隔油+调节+气浮+混凝沉淀”工艺）处理后回用于周边农田灌溉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eastAsia="宋体"/>
                      <w:color w:val="auto"/>
                      <w:sz w:val="21"/>
                      <w:szCs w:val="21"/>
                      <w:highlight w:val="none"/>
                      <w:u w:val="none"/>
                      <w:lang w:eastAsia="zh-CN"/>
                    </w:rPr>
                  </w:pPr>
                  <w:r>
                    <w:rPr>
                      <w:rFonts w:hint="eastAsia"/>
                      <w:color w:val="auto"/>
                      <w:sz w:val="21"/>
                      <w:szCs w:val="21"/>
                      <w:highlight w:val="none"/>
                      <w:u w:val="none"/>
                      <w:lang w:val="en-US" w:eastAsia="zh-CN"/>
                    </w:rPr>
                    <w:t>噪声</w:t>
                  </w:r>
                </w:p>
              </w:tc>
              <w:tc>
                <w:tcPr>
                  <w:tcW w:w="7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color w:val="auto"/>
                      <w:sz w:val="21"/>
                      <w:szCs w:val="21"/>
                      <w:highlight w:val="none"/>
                      <w:u w:val="none"/>
                    </w:rPr>
                  </w:pPr>
                  <w:r>
                    <w:rPr>
                      <w:rFonts w:hint="eastAsia"/>
                      <w:color w:val="auto"/>
                      <w:sz w:val="21"/>
                      <w:szCs w:val="21"/>
                      <w:highlight w:val="none"/>
                      <w:u w:val="none"/>
                    </w:rPr>
                    <w:t>设备噪声</w:t>
                  </w:r>
                </w:p>
              </w:tc>
              <w:tc>
                <w:tcPr>
                  <w:tcW w:w="9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color w:val="auto"/>
                      <w:sz w:val="21"/>
                      <w:szCs w:val="21"/>
                      <w:highlight w:val="none"/>
                      <w:u w:val="none"/>
                    </w:rPr>
                  </w:pPr>
                  <w:r>
                    <w:rPr>
                      <w:rFonts w:hint="eastAsia"/>
                      <w:color w:val="auto"/>
                      <w:sz w:val="21"/>
                      <w:szCs w:val="21"/>
                      <w:highlight w:val="none"/>
                      <w:u w:val="none"/>
                    </w:rPr>
                    <w:t>等效A声级</w:t>
                  </w:r>
                </w:p>
              </w:tc>
              <w:tc>
                <w:tcPr>
                  <w:tcW w:w="5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eastAsia="宋体"/>
                      <w:color w:val="auto"/>
                      <w:sz w:val="21"/>
                      <w:szCs w:val="21"/>
                      <w:highlight w:val="none"/>
                      <w:u w:val="none"/>
                      <w:lang w:val="en-US" w:eastAsia="zh-CN"/>
                    </w:rPr>
                  </w:pPr>
                  <w:r>
                    <w:rPr>
                      <w:rFonts w:hint="eastAsia"/>
                      <w:color w:val="auto"/>
                      <w:sz w:val="21"/>
                      <w:szCs w:val="21"/>
                      <w:highlight w:val="none"/>
                      <w:u w:val="none"/>
                      <w:lang w:val="en-US" w:eastAsia="zh-CN"/>
                    </w:rPr>
                    <w:t>/</w:t>
                  </w:r>
                </w:p>
              </w:tc>
              <w:tc>
                <w:tcPr>
                  <w:tcW w:w="5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w:t>
                  </w:r>
                </w:p>
              </w:tc>
              <w:tc>
                <w:tcPr>
                  <w:tcW w:w="15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color w:val="auto"/>
                      <w:sz w:val="21"/>
                      <w:szCs w:val="21"/>
                      <w:highlight w:val="none"/>
                      <w:u w:val="none"/>
                    </w:rPr>
                  </w:pPr>
                  <w:r>
                    <w:rPr>
                      <w:rFonts w:hint="eastAsia"/>
                      <w:color w:val="auto"/>
                      <w:sz w:val="21"/>
                      <w:szCs w:val="21"/>
                      <w:highlight w:val="none"/>
                      <w:u w:val="none"/>
                    </w:rPr>
                    <w:t>厂房隔声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固体废物</w:t>
                  </w:r>
                </w:p>
              </w:tc>
              <w:tc>
                <w:tcPr>
                  <w:tcW w:w="738"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一般工业固废</w:t>
                  </w:r>
                </w:p>
              </w:tc>
              <w:tc>
                <w:tcPr>
                  <w:tcW w:w="961"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bCs/>
                      <w:color w:val="auto"/>
                      <w:spacing w:val="4"/>
                      <w:szCs w:val="21"/>
                      <w:u w:val="none"/>
                    </w:rPr>
                    <w:t>不合格原辅料</w:t>
                  </w:r>
                </w:p>
              </w:tc>
              <w:tc>
                <w:tcPr>
                  <w:tcW w:w="590"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1.5</w:t>
                  </w:r>
                </w:p>
              </w:tc>
              <w:tc>
                <w:tcPr>
                  <w:tcW w:w="59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0</w:t>
                  </w:r>
                </w:p>
              </w:tc>
              <w:tc>
                <w:tcPr>
                  <w:tcW w:w="1598"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kern w:val="2"/>
                      <w:sz w:val="21"/>
                      <w:szCs w:val="21"/>
                      <w:highlight w:val="none"/>
                      <w:u w:val="none"/>
                      <w:lang w:val="en-US" w:eastAsia="zh-CN" w:bidi="ar-SA"/>
                    </w:rPr>
                  </w:pPr>
                  <w:r>
                    <w:rPr>
                      <w:bCs/>
                      <w:color w:val="auto"/>
                      <w:spacing w:val="4"/>
                      <w:szCs w:val="21"/>
                      <w:u w:val="none"/>
                    </w:rPr>
                    <w:t>外售给饲料加工企业综合利用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p>
              </w:tc>
              <w:tc>
                <w:tcPr>
                  <w:tcW w:w="961"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bCs/>
                      <w:color w:val="auto"/>
                      <w:spacing w:val="4"/>
                      <w:szCs w:val="21"/>
                      <w:u w:val="none"/>
                      <w:lang w:val="en-US" w:eastAsia="zh-CN"/>
                    </w:rPr>
                    <w:t>不合格产品</w:t>
                  </w:r>
                </w:p>
              </w:tc>
              <w:tc>
                <w:tcPr>
                  <w:tcW w:w="590"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1</w:t>
                  </w:r>
                </w:p>
              </w:tc>
              <w:tc>
                <w:tcPr>
                  <w:tcW w:w="59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0</w:t>
                  </w:r>
                </w:p>
              </w:tc>
              <w:tc>
                <w:tcPr>
                  <w:tcW w:w="159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kern w:val="2"/>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p>
              </w:tc>
              <w:tc>
                <w:tcPr>
                  <w:tcW w:w="961" w:type="pct"/>
                  <w:tcBorders>
                    <w:tl2br w:val="nil"/>
                    <w:tr2bl w:val="nil"/>
                  </w:tcBorders>
                  <w:shd w:val="clear" w:color="auto" w:fill="auto"/>
                  <w:noWrap w:val="0"/>
                  <w:vAlign w:val="center"/>
                </w:tcPr>
                <w:p>
                  <w:pPr>
                    <w:jc w:val="center"/>
                    <w:rPr>
                      <w:rFonts w:hint="eastAsia" w:ascii="Times New Roman" w:hAnsi="Times New Roman" w:eastAsia="宋体" w:cs="Times New Roman"/>
                      <w:bCs/>
                      <w:color w:val="auto"/>
                      <w:spacing w:val="4"/>
                      <w:kern w:val="2"/>
                      <w:sz w:val="21"/>
                      <w:szCs w:val="21"/>
                      <w:u w:val="none"/>
                      <w:lang w:val="en-US" w:eastAsia="zh-CN" w:bidi="ar-SA"/>
                    </w:rPr>
                  </w:pPr>
                  <w:r>
                    <w:rPr>
                      <w:rFonts w:hint="eastAsia"/>
                      <w:color w:val="auto"/>
                      <w:szCs w:val="21"/>
                      <w:u w:val="none"/>
                    </w:rPr>
                    <w:t>废包装材料</w:t>
                  </w:r>
                </w:p>
              </w:tc>
              <w:tc>
                <w:tcPr>
                  <w:tcW w:w="590"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0.5</w:t>
                  </w:r>
                </w:p>
              </w:tc>
              <w:tc>
                <w:tcPr>
                  <w:tcW w:w="59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0</w:t>
                  </w:r>
                </w:p>
              </w:tc>
              <w:tc>
                <w:tcPr>
                  <w:tcW w:w="2672" w:type="dxa"/>
                  <w:tcBorders>
                    <w:tl2br w:val="nil"/>
                    <w:tr2bl w:val="nil"/>
                  </w:tcBorders>
                  <w:noWrap w:val="0"/>
                  <w:vAlign w:val="center"/>
                </w:tcPr>
                <w:p>
                  <w:pPr>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color w:val="auto"/>
                      <w:szCs w:val="21"/>
                      <w:u w:val="none"/>
                    </w:rPr>
                    <w:t>外售给资源回收单位综合利用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p>
              </w:tc>
              <w:tc>
                <w:tcPr>
                  <w:tcW w:w="961"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color w:val="auto"/>
                      <w:szCs w:val="21"/>
                      <w:u w:val="none"/>
                    </w:rPr>
                    <w:t>油烟净化器</w:t>
                  </w:r>
                  <w:r>
                    <w:rPr>
                      <w:rFonts w:hint="eastAsia"/>
                      <w:color w:val="auto"/>
                      <w:szCs w:val="21"/>
                      <w:u w:val="none"/>
                    </w:rPr>
                    <w:t>废油脂</w:t>
                  </w:r>
                </w:p>
              </w:tc>
              <w:tc>
                <w:tcPr>
                  <w:tcW w:w="590"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0.55</w:t>
                  </w:r>
                </w:p>
              </w:tc>
              <w:tc>
                <w:tcPr>
                  <w:tcW w:w="59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0</w:t>
                  </w:r>
                </w:p>
              </w:tc>
              <w:tc>
                <w:tcPr>
                  <w:tcW w:w="2672" w:type="dxa"/>
                  <w:vMerge w:val="restart"/>
                  <w:tcBorders>
                    <w:tl2br w:val="nil"/>
                    <w:tr2bl w:val="nil"/>
                  </w:tcBorders>
                  <w:noWrap w:val="0"/>
                  <w:vAlign w:val="center"/>
                </w:tcPr>
                <w:p>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szCs w:val="21"/>
                      <w:u w:val="none"/>
                    </w:rPr>
                    <w:t>交由有餐厨垃圾回收资质的单位处理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p>
              </w:tc>
              <w:tc>
                <w:tcPr>
                  <w:tcW w:w="961"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bCs/>
                      <w:color w:val="auto"/>
                      <w:spacing w:val="4"/>
                      <w:szCs w:val="21"/>
                      <w:u w:val="none"/>
                    </w:rPr>
                    <w:t>清罐废油脂</w:t>
                  </w:r>
                </w:p>
              </w:tc>
              <w:tc>
                <w:tcPr>
                  <w:tcW w:w="590"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0.2</w:t>
                  </w:r>
                </w:p>
              </w:tc>
              <w:tc>
                <w:tcPr>
                  <w:tcW w:w="59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0</w:t>
                  </w:r>
                </w:p>
              </w:tc>
              <w:tc>
                <w:tcPr>
                  <w:tcW w:w="159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kern w:val="2"/>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p>
              </w:tc>
              <w:tc>
                <w:tcPr>
                  <w:tcW w:w="961"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color w:val="auto"/>
                      <w:szCs w:val="21"/>
                      <w:u w:val="none"/>
                    </w:rPr>
                    <w:t>污水处理污泥</w:t>
                  </w:r>
                </w:p>
              </w:tc>
              <w:tc>
                <w:tcPr>
                  <w:tcW w:w="590"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2</w:t>
                  </w:r>
                </w:p>
              </w:tc>
              <w:tc>
                <w:tcPr>
                  <w:tcW w:w="59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0</w:t>
                  </w:r>
                </w:p>
              </w:tc>
              <w:tc>
                <w:tcPr>
                  <w:tcW w:w="2672" w:type="dxa"/>
                  <w:vMerge w:val="restart"/>
                  <w:tcBorders>
                    <w:tl2br w:val="nil"/>
                    <w:tr2bl w:val="nil"/>
                  </w:tcBorders>
                  <w:noWrap w:val="0"/>
                  <w:vAlign w:val="center"/>
                </w:tcPr>
                <w:p>
                  <w:pPr>
                    <w:jc w:val="center"/>
                    <w:rPr>
                      <w:rFonts w:hint="eastAsia" w:ascii="Times New Roman" w:hAnsi="Times New Roman" w:eastAsia="宋体" w:cs="Times New Roman"/>
                      <w:color w:val="auto"/>
                      <w:kern w:val="2"/>
                      <w:sz w:val="21"/>
                      <w:szCs w:val="21"/>
                      <w:highlight w:val="none"/>
                      <w:u w:val="none"/>
                      <w:lang w:val="en-US" w:eastAsia="zh-CN" w:bidi="ar-SA"/>
                    </w:rPr>
                  </w:pPr>
                  <w:r>
                    <w:rPr>
                      <w:color w:val="auto"/>
                      <w:szCs w:val="21"/>
                      <w:u w:val="none"/>
                    </w:rPr>
                    <w:t>收集后</w:t>
                  </w:r>
                  <w:r>
                    <w:rPr>
                      <w:rFonts w:hint="eastAsia"/>
                      <w:color w:val="auto"/>
                      <w:szCs w:val="21"/>
                      <w:u w:val="none"/>
                    </w:rPr>
                    <w:t>给</w:t>
                  </w:r>
                  <w:r>
                    <w:rPr>
                      <w:color w:val="auto"/>
                      <w:szCs w:val="21"/>
                      <w:u w:val="none"/>
                    </w:rPr>
                    <w:t>当地居民用作农肥</w:t>
                  </w:r>
                  <w:r>
                    <w:rPr>
                      <w:rFonts w:hint="eastAsia"/>
                      <w:bCs/>
                      <w:color w:val="auto"/>
                      <w:spacing w:val="4"/>
                      <w:szCs w:val="21"/>
                      <w:u w:val="none"/>
                    </w:rPr>
                    <w:t>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eastAsia="宋体"/>
                      <w:color w:val="auto"/>
                      <w:kern w:val="2"/>
                      <w:sz w:val="21"/>
                      <w:szCs w:val="21"/>
                      <w:highlight w:val="none"/>
                      <w:u w:val="none"/>
                      <w:lang w:val="en-US" w:eastAsia="zh-CN" w:bidi="ar-SA"/>
                    </w:rPr>
                  </w:pPr>
                </w:p>
              </w:tc>
              <w:tc>
                <w:tcPr>
                  <w:tcW w:w="961" w:type="pct"/>
                  <w:tcBorders>
                    <w:tl2br w:val="nil"/>
                    <w:tr2bl w:val="nil"/>
                  </w:tcBorders>
                  <w:shd w:val="clear" w:color="auto" w:fill="auto"/>
                  <w:noWrap w:val="0"/>
                  <w:vAlign w:val="center"/>
                </w:tcPr>
                <w:p>
                  <w:pPr>
                    <w:jc w:val="center"/>
                    <w:rPr>
                      <w:rFonts w:hint="eastAsia" w:ascii="Times New Roman" w:hAnsi="Times New Roman" w:eastAsia="宋体" w:cs="Times New Roman"/>
                      <w:bCs/>
                      <w:color w:val="auto"/>
                      <w:spacing w:val="4"/>
                      <w:kern w:val="2"/>
                      <w:sz w:val="21"/>
                      <w:szCs w:val="21"/>
                      <w:u w:val="none"/>
                      <w:lang w:val="en-US" w:eastAsia="zh-CN" w:bidi="ar-SA"/>
                    </w:rPr>
                  </w:pPr>
                  <w:r>
                    <w:rPr>
                      <w:rFonts w:hint="eastAsia" w:cs="Times New Roman"/>
                      <w:bCs/>
                      <w:color w:val="auto"/>
                      <w:spacing w:val="4"/>
                      <w:kern w:val="2"/>
                      <w:sz w:val="21"/>
                      <w:szCs w:val="21"/>
                      <w:u w:val="none"/>
                      <w:lang w:val="en-US" w:eastAsia="zh-CN" w:bidi="ar-SA"/>
                    </w:rPr>
                    <w:t>锅炉灰渣</w:t>
                  </w:r>
                </w:p>
              </w:tc>
              <w:tc>
                <w:tcPr>
                  <w:tcW w:w="590"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20</w:t>
                  </w:r>
                </w:p>
              </w:tc>
              <w:tc>
                <w:tcPr>
                  <w:tcW w:w="59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0</w:t>
                  </w:r>
                </w:p>
              </w:tc>
              <w:tc>
                <w:tcPr>
                  <w:tcW w:w="159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kern w:val="2"/>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eastAsia="宋体"/>
                      <w:color w:val="auto"/>
                      <w:kern w:val="2"/>
                      <w:sz w:val="21"/>
                      <w:szCs w:val="21"/>
                      <w:highlight w:val="none"/>
                      <w:u w:val="none"/>
                      <w:lang w:val="en-US" w:eastAsia="zh-CN" w:bidi="ar-SA"/>
                    </w:rPr>
                  </w:pPr>
                </w:p>
              </w:tc>
              <w:tc>
                <w:tcPr>
                  <w:tcW w:w="961"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color w:val="auto"/>
                      <w:szCs w:val="21"/>
                      <w:u w:val="none"/>
                    </w:rPr>
                    <w:t>空气净化废过滤材料</w:t>
                  </w:r>
                </w:p>
              </w:tc>
              <w:tc>
                <w:tcPr>
                  <w:tcW w:w="590"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0.05</w:t>
                  </w:r>
                </w:p>
              </w:tc>
              <w:tc>
                <w:tcPr>
                  <w:tcW w:w="59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0</w:t>
                  </w:r>
                </w:p>
              </w:tc>
              <w:tc>
                <w:tcPr>
                  <w:tcW w:w="2672" w:type="dxa"/>
                  <w:tcBorders>
                    <w:tl2br w:val="nil"/>
                    <w:tr2bl w:val="nil"/>
                  </w:tcBorders>
                  <w:noWrap w:val="0"/>
                  <w:vAlign w:val="center"/>
                </w:tcPr>
                <w:p>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Cs/>
                      <w:color w:val="auto"/>
                      <w:spacing w:val="4"/>
                      <w:szCs w:val="21"/>
                      <w:u w:val="none"/>
                    </w:rPr>
                    <w:t>供应商回收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73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color w:val="auto"/>
                      <w:kern w:val="2"/>
                      <w:sz w:val="21"/>
                      <w:szCs w:val="21"/>
                      <w:highlight w:val="none"/>
                      <w:u w:val="none"/>
                      <w:lang w:val="en-US" w:eastAsia="zh-CN" w:bidi="ar-SA"/>
                    </w:rPr>
                  </w:pPr>
                  <w:r>
                    <w:rPr>
                      <w:rFonts w:hint="eastAsia"/>
                      <w:color w:val="auto"/>
                      <w:kern w:val="2"/>
                      <w:sz w:val="21"/>
                      <w:szCs w:val="21"/>
                      <w:highlight w:val="none"/>
                      <w:u w:val="none"/>
                      <w:lang w:val="en-US" w:eastAsia="zh-CN" w:bidi="ar-SA"/>
                    </w:rPr>
                    <w:t>生活垃圾</w:t>
                  </w:r>
                </w:p>
              </w:tc>
              <w:tc>
                <w:tcPr>
                  <w:tcW w:w="961" w:type="pct"/>
                  <w:tcBorders>
                    <w:tl2br w:val="nil"/>
                    <w:tr2bl w:val="nil"/>
                  </w:tcBorders>
                  <w:shd w:val="clear" w:color="auto" w:fill="auto"/>
                  <w:noWrap w:val="0"/>
                  <w:vAlign w:val="center"/>
                </w:tcPr>
                <w:p>
                  <w:pPr>
                    <w:jc w:val="center"/>
                    <w:rPr>
                      <w:rFonts w:hint="eastAsia" w:ascii="Times New Roman" w:hAnsi="Times New Roman" w:eastAsia="宋体" w:cs="Times New Roman"/>
                      <w:bCs/>
                      <w:color w:val="auto"/>
                      <w:spacing w:val="4"/>
                      <w:kern w:val="2"/>
                      <w:sz w:val="21"/>
                      <w:szCs w:val="21"/>
                      <w:u w:val="none"/>
                      <w:lang w:val="en-US" w:eastAsia="zh-CN" w:bidi="ar-SA"/>
                    </w:rPr>
                  </w:pPr>
                  <w:r>
                    <w:rPr>
                      <w:rFonts w:hint="eastAsia" w:cs="Times New Roman"/>
                      <w:bCs/>
                      <w:color w:val="auto"/>
                      <w:spacing w:val="4"/>
                      <w:kern w:val="2"/>
                      <w:sz w:val="21"/>
                      <w:szCs w:val="21"/>
                      <w:u w:val="none"/>
                      <w:lang w:val="en-US" w:eastAsia="zh-CN" w:bidi="ar-SA"/>
                    </w:rPr>
                    <w:t>生活垃圾</w:t>
                  </w:r>
                </w:p>
              </w:tc>
              <w:tc>
                <w:tcPr>
                  <w:tcW w:w="590"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5.25</w:t>
                  </w:r>
                </w:p>
              </w:tc>
              <w:tc>
                <w:tcPr>
                  <w:tcW w:w="59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0</w:t>
                  </w:r>
                </w:p>
              </w:tc>
              <w:tc>
                <w:tcPr>
                  <w:tcW w:w="2672" w:type="dxa"/>
                  <w:tcBorders>
                    <w:tl2br w:val="nil"/>
                    <w:tr2bl w:val="nil"/>
                  </w:tcBorders>
                  <w:noWrap w:val="0"/>
                  <w:vAlign w:val="center"/>
                </w:tcPr>
                <w:p>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Cs/>
                      <w:color w:val="auto"/>
                      <w:spacing w:val="4"/>
                      <w:szCs w:val="21"/>
                      <w:u w:val="none"/>
                    </w:rPr>
                    <w:t>由当地环卫部门统一清运</w:t>
                  </w:r>
                </w:p>
              </w:tc>
            </w:tr>
          </w:tbl>
          <w:p>
            <w:pPr>
              <w:spacing w:line="360" w:lineRule="auto"/>
              <w:ind w:firstLine="480" w:firstLineChars="200"/>
              <w:rPr>
                <w:rFonts w:hint="default" w:eastAsia="宋体"/>
                <w:color w:val="auto"/>
                <w:sz w:val="24"/>
                <w:u w:val="none"/>
                <w:lang w:val="en-US" w:eastAsia="zh-CN"/>
              </w:rPr>
            </w:pPr>
            <w:r>
              <w:rPr>
                <w:rFonts w:hint="eastAsia"/>
                <w:color w:val="auto"/>
                <w:sz w:val="24"/>
                <w:u w:val="none"/>
                <w:lang w:val="en-US" w:eastAsia="zh-CN"/>
              </w:rPr>
              <w:t>老厂区内存在的主要环境问题如下：</w:t>
            </w:r>
          </w:p>
          <w:p>
            <w:pPr>
              <w:spacing w:line="360" w:lineRule="auto"/>
              <w:ind w:firstLine="480" w:firstLineChars="200"/>
              <w:rPr>
                <w:rFonts w:hint="eastAsia" w:eastAsia="宋体"/>
                <w:color w:val="auto"/>
                <w:sz w:val="24"/>
                <w:u w:val="none"/>
                <w:lang w:val="en-US" w:eastAsia="zh-CN"/>
              </w:rPr>
            </w:pPr>
            <w:r>
              <w:rPr>
                <w:rFonts w:hint="eastAsia"/>
                <w:color w:val="auto"/>
                <w:sz w:val="24"/>
                <w:u w:val="none"/>
                <w:lang w:val="en-US" w:eastAsia="zh-CN"/>
              </w:rPr>
              <w:t>①蒸汽发生器采用薪材为燃料，废气经水膜除尘器处理后经9m排气筒排放，除尘效率较低，且未配套设置脱硫装置，排气筒高度低于15m，不满足</w:t>
            </w:r>
            <w:r>
              <w:rPr>
                <w:rFonts w:hint="eastAsia"/>
                <w:color w:val="auto"/>
                <w:spacing w:val="4"/>
                <w:sz w:val="24"/>
                <w:u w:val="none"/>
              </w:rPr>
              <w:t>《锅炉大气污染物排放标准》（GB13271-2014）</w:t>
            </w:r>
            <w:r>
              <w:rPr>
                <w:rFonts w:hint="eastAsia"/>
                <w:color w:val="auto"/>
                <w:spacing w:val="4"/>
                <w:sz w:val="24"/>
                <w:u w:val="none"/>
                <w:lang w:val="en-US" w:eastAsia="zh-CN"/>
              </w:rPr>
              <w:t>要求。</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②污水处理站各污水池未加盖密闭，无有效除臭措施，恶臭气体无组织排放，影响污水站周边环境空气。</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③污水处理站无生化处理工序，出水无法达《农田灌溉水质标准》（GB 5084—2021），回用于周边农田灌溉不符合相关要求。</w:t>
            </w:r>
          </w:p>
          <w:p>
            <w:pPr>
              <w:spacing w:line="360" w:lineRule="auto"/>
              <w:ind w:firstLine="480" w:firstLineChars="200"/>
              <w:rPr>
                <w:rFonts w:hint="eastAsia"/>
                <w:color w:val="auto"/>
                <w:sz w:val="24"/>
                <w:u w:val="none"/>
                <w:lang w:val="en-US" w:eastAsia="zh-CN"/>
              </w:rPr>
            </w:pPr>
            <w:r>
              <w:rPr>
                <w:rFonts w:hint="eastAsia"/>
                <w:color w:val="auto"/>
                <w:sz w:val="24"/>
                <w:u w:val="none"/>
                <w:lang w:val="en-US" w:eastAsia="zh-CN"/>
              </w:rPr>
              <w:t>④未按照《一般工业固体废物贮存和填埋污染控制标准》（GB18599-2020）要求储存一般固废，部分锅炉灰渣有乱堆乱放现象。</w:t>
            </w:r>
          </w:p>
          <w:p>
            <w:pPr>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⑤环境管理水平较落后，未开展环境保护自行监测，废气处理设施出口未规范设置采样孔。</w:t>
            </w:r>
          </w:p>
          <w:p>
            <w:pPr>
              <w:spacing w:line="360" w:lineRule="auto"/>
              <w:ind w:firstLine="480" w:firstLineChars="200"/>
              <w:rPr>
                <w:rFonts w:hint="eastAsia"/>
                <w:color w:val="auto"/>
                <w:sz w:val="24"/>
                <w:u w:val="none"/>
                <w:lang w:eastAsia="zh-CN"/>
              </w:rPr>
            </w:pPr>
            <w:r>
              <w:rPr>
                <w:color w:val="auto"/>
                <w:sz w:val="24"/>
                <w:u w:val="none"/>
              </w:rPr>
              <w:t>搬迁后，老厂停止生产</w:t>
            </w:r>
            <w:r>
              <w:rPr>
                <w:rFonts w:hint="eastAsia"/>
                <w:color w:val="auto"/>
                <w:sz w:val="24"/>
                <w:u w:val="none"/>
              </w:rPr>
              <w:t>，生产线及生产设备全部拆除</w:t>
            </w:r>
            <w:r>
              <w:rPr>
                <w:color w:val="auto"/>
                <w:sz w:val="24"/>
                <w:u w:val="none"/>
              </w:rPr>
              <w:t>，</w:t>
            </w:r>
            <w:r>
              <w:rPr>
                <w:rFonts w:hint="eastAsia"/>
                <w:color w:val="auto"/>
                <w:sz w:val="24"/>
                <w:u w:val="none"/>
                <w:lang w:val="en-US" w:eastAsia="zh-CN"/>
              </w:rPr>
              <w:t>原有生产</w:t>
            </w:r>
            <w:r>
              <w:rPr>
                <w:color w:val="auto"/>
                <w:sz w:val="24"/>
                <w:u w:val="none"/>
              </w:rPr>
              <w:t>废气</w:t>
            </w:r>
            <w:r>
              <w:rPr>
                <w:rFonts w:hint="eastAsia"/>
                <w:color w:val="auto"/>
                <w:sz w:val="24"/>
                <w:u w:val="none"/>
                <w:lang w:eastAsia="zh-CN"/>
              </w:rPr>
              <w:t>、</w:t>
            </w:r>
            <w:r>
              <w:rPr>
                <w:color w:val="auto"/>
                <w:sz w:val="24"/>
                <w:u w:val="none"/>
              </w:rPr>
              <w:t>废水</w:t>
            </w:r>
            <w:r>
              <w:rPr>
                <w:rFonts w:hint="eastAsia"/>
                <w:color w:val="auto"/>
                <w:sz w:val="24"/>
                <w:u w:val="none"/>
                <w:lang w:eastAsia="zh-CN"/>
              </w:rPr>
              <w:t>、</w:t>
            </w:r>
            <w:r>
              <w:rPr>
                <w:rFonts w:hint="eastAsia"/>
                <w:color w:val="auto"/>
                <w:sz w:val="24"/>
                <w:u w:val="none"/>
                <w:lang w:val="en-US" w:eastAsia="zh-CN"/>
              </w:rPr>
              <w:t>噪声、固体废物将</w:t>
            </w:r>
            <w:r>
              <w:rPr>
                <w:color w:val="auto"/>
                <w:sz w:val="24"/>
                <w:u w:val="none"/>
              </w:rPr>
              <w:t>不再产生</w:t>
            </w:r>
            <w:r>
              <w:rPr>
                <w:rFonts w:hint="eastAsia"/>
                <w:color w:val="auto"/>
                <w:sz w:val="24"/>
                <w:u w:val="none"/>
                <w:lang w:eastAsia="zh-CN"/>
              </w:rPr>
              <w:t>；</w:t>
            </w:r>
            <w:r>
              <w:rPr>
                <w:rFonts w:hint="eastAsia"/>
                <w:color w:val="auto"/>
                <w:sz w:val="24"/>
                <w:u w:val="none"/>
                <w:lang w:val="en-US" w:eastAsia="zh-CN"/>
              </w:rPr>
              <w:t>新厂区将按本环评要求完善各项环保措施，制定环境管理制度及开展自行检测，极大程度提升企业环境管理水平。</w:t>
            </w:r>
          </w:p>
          <w:p>
            <w:pPr>
              <w:spacing w:line="360" w:lineRule="auto"/>
              <w:ind w:firstLine="480" w:firstLineChars="200"/>
              <w:rPr>
                <w:rFonts w:hint="eastAsia" w:eastAsia="宋体"/>
                <w:color w:val="auto"/>
                <w:sz w:val="24"/>
                <w:u w:val="none"/>
                <w:lang w:eastAsia="zh-CN"/>
              </w:rPr>
            </w:pPr>
            <w:r>
              <w:rPr>
                <w:rFonts w:hint="eastAsia"/>
                <w:color w:val="auto"/>
                <w:sz w:val="24"/>
                <w:u w:val="none"/>
                <w:lang w:eastAsia="zh-CN"/>
              </w:rPr>
              <w:t>（</w:t>
            </w:r>
            <w:r>
              <w:rPr>
                <w:rFonts w:hint="eastAsia"/>
                <w:color w:val="auto"/>
                <w:sz w:val="24"/>
                <w:u w:val="none"/>
                <w:lang w:val="en-US" w:eastAsia="zh-CN"/>
              </w:rPr>
              <w:t>6</w:t>
            </w:r>
            <w:r>
              <w:rPr>
                <w:rFonts w:hint="eastAsia"/>
                <w:color w:val="auto"/>
                <w:sz w:val="24"/>
                <w:u w:val="none"/>
                <w:lang w:eastAsia="zh-CN"/>
              </w:rPr>
              <w:t>）老厂区搬迁过程中环境问题的处理</w:t>
            </w:r>
          </w:p>
          <w:p>
            <w:pPr>
              <w:spacing w:line="360" w:lineRule="auto"/>
              <w:ind w:firstLine="480" w:firstLineChars="200"/>
              <w:rPr>
                <w:rFonts w:hint="eastAsia"/>
                <w:color w:val="auto"/>
                <w:sz w:val="24"/>
                <w:u w:val="none"/>
              </w:rPr>
            </w:pPr>
            <w:r>
              <w:rPr>
                <w:rFonts w:hint="eastAsia"/>
                <w:color w:val="auto"/>
                <w:sz w:val="24"/>
                <w:u w:val="none"/>
                <w:lang w:val="en-US" w:eastAsia="zh-CN"/>
              </w:rPr>
              <w:t>搬迁过程中需妥善处理老厂区内的遗留污染，避免</w:t>
            </w:r>
            <w:r>
              <w:rPr>
                <w:color w:val="auto"/>
                <w:sz w:val="24"/>
                <w:u w:val="none"/>
              </w:rPr>
              <w:t>对环境产生不利影响，</w:t>
            </w:r>
            <w:r>
              <w:rPr>
                <w:rFonts w:hint="eastAsia"/>
                <w:color w:val="auto"/>
                <w:sz w:val="24"/>
                <w:u w:val="none"/>
                <w:lang w:val="en-US" w:eastAsia="zh-CN"/>
              </w:rPr>
              <w:t>本环评提出以下要求</w:t>
            </w:r>
            <w:r>
              <w:rPr>
                <w:rFonts w:hint="eastAsia"/>
                <w:color w:val="auto"/>
                <w:sz w:val="24"/>
                <w:u w:val="none"/>
              </w:rPr>
              <w:t>：</w:t>
            </w:r>
          </w:p>
          <w:p>
            <w:pPr>
              <w:adjustRightInd w:val="0"/>
              <w:snapToGrid w:val="0"/>
              <w:spacing w:line="360" w:lineRule="auto"/>
              <w:ind w:firstLine="480" w:firstLineChars="200"/>
              <w:rPr>
                <w:color w:val="auto"/>
                <w:sz w:val="24"/>
                <w:u w:val="none"/>
              </w:rPr>
            </w:pPr>
            <w:r>
              <w:rPr>
                <w:rFonts w:hint="eastAsia"/>
                <w:color w:val="auto"/>
                <w:sz w:val="24"/>
                <w:u w:val="none"/>
                <w:lang w:val="en-US" w:eastAsia="zh-CN"/>
              </w:rPr>
              <w:t>①</w:t>
            </w:r>
            <w:r>
              <w:rPr>
                <w:color w:val="auto"/>
                <w:sz w:val="24"/>
                <w:u w:val="none"/>
              </w:rPr>
              <w:t>设备的处理：</w:t>
            </w:r>
            <w:r>
              <w:rPr>
                <w:rFonts w:hint="eastAsia"/>
                <w:color w:val="auto"/>
                <w:sz w:val="24"/>
                <w:u w:val="none"/>
              </w:rPr>
              <w:t>老厂区</w:t>
            </w:r>
            <w:r>
              <w:rPr>
                <w:color w:val="auto"/>
                <w:sz w:val="24"/>
                <w:u w:val="none"/>
              </w:rPr>
              <w:t>可利用的部分设备搬迁至本项目新址，淘汰废弃的生产设备外委收购回收处理</w:t>
            </w:r>
            <w:r>
              <w:rPr>
                <w:rFonts w:hint="eastAsia"/>
                <w:color w:val="auto"/>
                <w:sz w:val="24"/>
                <w:u w:val="none"/>
              </w:rPr>
              <w:t>。</w:t>
            </w:r>
            <w:r>
              <w:rPr>
                <w:color w:val="auto"/>
                <w:sz w:val="24"/>
                <w:u w:val="none"/>
              </w:rPr>
              <w:t>迁建项目建成后，建设单位应合理地安排搬迁时间，协调好</w:t>
            </w:r>
            <w:r>
              <w:rPr>
                <w:rFonts w:hint="eastAsia"/>
                <w:color w:val="auto"/>
                <w:sz w:val="24"/>
                <w:u w:val="none"/>
              </w:rPr>
              <w:t>老厂区</w:t>
            </w:r>
            <w:r>
              <w:rPr>
                <w:color w:val="auto"/>
                <w:sz w:val="24"/>
                <w:u w:val="none"/>
              </w:rPr>
              <w:t>设备的搬迁时间与新址设备安装时间</w:t>
            </w:r>
            <w:r>
              <w:rPr>
                <w:rFonts w:hint="eastAsia"/>
                <w:color w:val="auto"/>
                <w:sz w:val="24"/>
                <w:u w:val="none"/>
                <w:lang w:eastAsia="zh-CN"/>
              </w:rPr>
              <w:t>，企业应制定拆迁方案，并制定拆迁突发应急事件预案</w:t>
            </w:r>
            <w:r>
              <w:rPr>
                <w:color w:val="auto"/>
                <w:sz w:val="24"/>
                <w:u w:val="none"/>
              </w:rPr>
              <w:t>。</w:t>
            </w:r>
          </w:p>
          <w:p>
            <w:pPr>
              <w:adjustRightInd w:val="0"/>
              <w:snapToGrid w:val="0"/>
              <w:spacing w:line="360" w:lineRule="auto"/>
              <w:ind w:firstLine="480" w:firstLineChars="200"/>
              <w:rPr>
                <w:rFonts w:hint="default"/>
                <w:color w:val="auto"/>
                <w:sz w:val="24"/>
                <w:u w:val="none"/>
                <w:lang w:val="en-US" w:eastAsia="zh-CN"/>
              </w:rPr>
            </w:pPr>
            <w:r>
              <w:rPr>
                <w:rFonts w:hint="eastAsia"/>
                <w:color w:val="auto"/>
                <w:sz w:val="24"/>
                <w:u w:val="none"/>
                <w:lang w:val="en-US" w:eastAsia="zh-CN"/>
              </w:rPr>
              <w:t>②遗留废弃物处置：</w:t>
            </w:r>
            <w:r>
              <w:rPr>
                <w:color w:val="auto"/>
                <w:sz w:val="24"/>
                <w:u w:val="none"/>
              </w:rPr>
              <w:t>建设单位应在搬迁期间将老厂区现有的</w:t>
            </w:r>
            <w:r>
              <w:rPr>
                <w:rFonts w:hint="eastAsia"/>
                <w:color w:val="auto"/>
                <w:sz w:val="24"/>
                <w:u w:val="none"/>
                <w:lang w:val="en-US" w:eastAsia="zh-CN"/>
              </w:rPr>
              <w:t>废弃边角料、废包装、废油脂、污水站污泥、锅炉灰渣、空气净化废过滤材料、生活垃圾等废弃物</w:t>
            </w:r>
            <w:r>
              <w:rPr>
                <w:color w:val="auto"/>
                <w:sz w:val="24"/>
                <w:u w:val="none"/>
              </w:rPr>
              <w:t>全部收集</w:t>
            </w:r>
            <w:r>
              <w:rPr>
                <w:rFonts w:hint="eastAsia"/>
                <w:color w:val="auto"/>
                <w:sz w:val="24"/>
                <w:u w:val="none"/>
                <w:lang w:eastAsia="zh-CN"/>
              </w:rPr>
              <w:t>，</w:t>
            </w:r>
            <w:r>
              <w:rPr>
                <w:color w:val="auto"/>
                <w:sz w:val="24"/>
                <w:u w:val="none"/>
              </w:rPr>
              <w:t>并</w:t>
            </w:r>
            <w:r>
              <w:rPr>
                <w:rFonts w:hint="eastAsia"/>
                <w:color w:val="auto"/>
                <w:sz w:val="24"/>
                <w:u w:val="none"/>
                <w:lang w:val="en-US" w:eastAsia="zh-CN"/>
              </w:rPr>
              <w:t>交由相关单位处置</w:t>
            </w:r>
            <w:r>
              <w:rPr>
                <w:rFonts w:hint="eastAsia"/>
                <w:color w:val="auto"/>
                <w:sz w:val="24"/>
                <w:u w:val="none"/>
                <w:lang w:eastAsia="zh-CN"/>
              </w:rPr>
              <w:t>。</w:t>
            </w:r>
            <w:r>
              <w:rPr>
                <w:rFonts w:hint="eastAsia"/>
                <w:color w:val="auto"/>
                <w:sz w:val="24"/>
                <w:u w:val="none"/>
                <w:lang w:val="en-US" w:eastAsia="zh-CN"/>
              </w:rPr>
              <w:t xml:space="preserve"> </w:t>
            </w:r>
          </w:p>
          <w:p>
            <w:pPr>
              <w:spacing w:line="360" w:lineRule="auto"/>
              <w:ind w:firstLine="480" w:firstLineChars="200"/>
              <w:rPr>
                <w:rFonts w:hint="eastAsia"/>
                <w:color w:val="auto"/>
                <w:sz w:val="24"/>
                <w:u w:val="none"/>
              </w:rPr>
            </w:pPr>
            <w:r>
              <w:rPr>
                <w:rFonts w:hint="eastAsia"/>
                <w:color w:val="auto"/>
                <w:sz w:val="24"/>
                <w:u w:val="none"/>
                <w:lang w:val="en-US" w:eastAsia="zh-CN"/>
              </w:rPr>
              <w:t>③</w:t>
            </w:r>
            <w:r>
              <w:rPr>
                <w:rFonts w:hint="eastAsia"/>
                <w:color w:val="auto"/>
                <w:sz w:val="24"/>
                <w:u w:val="none"/>
              </w:rPr>
              <w:t>老厂区</w:t>
            </w:r>
            <w:r>
              <w:rPr>
                <w:color w:val="auto"/>
                <w:sz w:val="24"/>
                <w:u w:val="none"/>
              </w:rPr>
              <w:t>退出的环保要求：</w:t>
            </w:r>
            <w:r>
              <w:rPr>
                <w:rFonts w:hint="eastAsia"/>
                <w:color w:val="auto"/>
                <w:sz w:val="24"/>
                <w:u w:val="none"/>
                <w:lang w:val="en-US" w:eastAsia="zh-CN"/>
              </w:rPr>
              <w:t>项目搬迁后老厂区内厂房、办公楼仍保留，场地转让给他人用作其他生产用途。</w:t>
            </w:r>
            <w:r>
              <w:rPr>
                <w:rFonts w:hint="eastAsia"/>
                <w:color w:val="auto"/>
                <w:sz w:val="24"/>
                <w:u w:val="none"/>
              </w:rPr>
              <w:t>设备搬迁后，需对原厂区内部进行清理和检查，若发现厂内地面或墙壁</w:t>
            </w:r>
            <w:r>
              <w:rPr>
                <w:rFonts w:hint="eastAsia"/>
                <w:color w:val="auto"/>
                <w:sz w:val="24"/>
                <w:u w:val="none"/>
                <w:lang w:eastAsia="zh-CN"/>
              </w:rPr>
              <w:t>、</w:t>
            </w:r>
            <w:r>
              <w:rPr>
                <w:rFonts w:hint="eastAsia"/>
                <w:color w:val="auto"/>
                <w:sz w:val="24"/>
                <w:u w:val="none"/>
                <w:lang w:val="en-US" w:eastAsia="zh-CN"/>
              </w:rPr>
              <w:t>食用油罐原址周边</w:t>
            </w:r>
            <w:r>
              <w:rPr>
                <w:rFonts w:hint="eastAsia"/>
                <w:color w:val="auto"/>
                <w:sz w:val="24"/>
                <w:u w:val="none"/>
              </w:rPr>
              <w:t>等位置疑似存在油类污染，需进行清理，</w:t>
            </w:r>
            <w:r>
              <w:rPr>
                <w:rFonts w:hint="eastAsia"/>
                <w:color w:val="auto"/>
                <w:sz w:val="24"/>
                <w:u w:val="none"/>
                <w:lang w:val="en-US" w:eastAsia="zh-CN"/>
              </w:rPr>
              <w:t>并将清理废物妥善处置</w:t>
            </w:r>
            <w:r>
              <w:rPr>
                <w:rFonts w:hint="eastAsia"/>
                <w:color w:val="auto"/>
                <w:sz w:val="24"/>
                <w:u w:val="none"/>
              </w:rPr>
              <w:t>。</w:t>
            </w:r>
          </w:p>
          <w:p>
            <w:pPr>
              <w:spacing w:line="360" w:lineRule="auto"/>
              <w:ind w:firstLine="480" w:firstLineChars="200"/>
              <w:rPr>
                <w:rFonts w:hint="default" w:eastAsia="宋体"/>
                <w:color w:val="auto"/>
                <w:sz w:val="24"/>
                <w:u w:val="none"/>
                <w:lang w:val="en-US" w:eastAsia="zh-CN"/>
              </w:rPr>
            </w:pPr>
            <w:r>
              <w:rPr>
                <w:rFonts w:hint="eastAsia"/>
                <w:color w:val="auto"/>
                <w:sz w:val="24"/>
                <w:u w:val="none"/>
                <w:lang w:eastAsia="zh-CN"/>
              </w:rPr>
              <w:t>（</w:t>
            </w:r>
            <w:r>
              <w:rPr>
                <w:rFonts w:hint="eastAsia"/>
                <w:color w:val="auto"/>
                <w:sz w:val="24"/>
                <w:u w:val="none"/>
                <w:lang w:val="en-US" w:eastAsia="zh-CN"/>
              </w:rPr>
              <w:t>7</w:t>
            </w:r>
            <w:r>
              <w:rPr>
                <w:rFonts w:hint="eastAsia"/>
                <w:color w:val="auto"/>
                <w:sz w:val="24"/>
                <w:u w:val="none"/>
                <w:lang w:eastAsia="zh-CN"/>
              </w:rPr>
              <w:t>）</w:t>
            </w:r>
            <w:r>
              <w:rPr>
                <w:rFonts w:hint="eastAsia"/>
                <w:color w:val="auto"/>
                <w:sz w:val="24"/>
                <w:u w:val="none"/>
                <w:lang w:val="en-US" w:eastAsia="zh-CN"/>
              </w:rPr>
              <w:t>搬迁后污染物排放量变化情况</w:t>
            </w:r>
          </w:p>
          <w:p>
            <w:pPr>
              <w:spacing w:line="360" w:lineRule="auto"/>
              <w:ind w:firstLine="480" w:firstLineChars="200"/>
              <w:rPr>
                <w:rFonts w:hint="default" w:eastAsia="宋体"/>
                <w:color w:val="auto"/>
                <w:sz w:val="24"/>
                <w:u w:val="none"/>
                <w:lang w:val="en-US" w:eastAsia="zh-CN"/>
              </w:rPr>
            </w:pPr>
            <w:r>
              <w:rPr>
                <w:rFonts w:hint="eastAsia"/>
                <w:color w:val="auto"/>
                <w:sz w:val="24"/>
                <w:u w:val="none"/>
                <w:lang w:val="en-US" w:eastAsia="zh-CN"/>
              </w:rPr>
              <w:t>本项目搬迁后污染物排放量变化情况见下表：</w:t>
            </w:r>
          </w:p>
          <w:p>
            <w:pPr>
              <w:spacing w:line="360" w:lineRule="auto"/>
              <w:jc w:val="center"/>
              <w:rPr>
                <w:rFonts w:hint="default" w:eastAsia="宋体"/>
                <w:b/>
                <w:bCs/>
                <w:color w:val="auto"/>
                <w:sz w:val="24"/>
                <w:u w:val="none"/>
                <w:lang w:val="en-US" w:eastAsia="zh-CN"/>
              </w:rPr>
            </w:pPr>
            <w:r>
              <w:rPr>
                <w:rFonts w:hint="eastAsia"/>
                <w:b/>
                <w:bCs/>
                <w:color w:val="auto"/>
                <w:sz w:val="24"/>
                <w:u w:val="none"/>
                <w:lang w:val="en-US" w:eastAsia="zh-CN"/>
              </w:rPr>
              <w:t>表2.12-8 搬迁后污染物变化情况一览表</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1546"/>
              <w:gridCol w:w="2015"/>
              <w:gridCol w:w="1234"/>
              <w:gridCol w:w="1253"/>
              <w:gridCol w:w="1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63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eastAsia="宋体"/>
                      <w:b/>
                      <w:bCs/>
                      <w:color w:val="auto"/>
                      <w:sz w:val="21"/>
                      <w:szCs w:val="21"/>
                      <w:highlight w:val="none"/>
                      <w:u w:val="none"/>
                      <w:lang w:eastAsia="zh-CN"/>
                    </w:rPr>
                  </w:pPr>
                  <w:r>
                    <w:rPr>
                      <w:rFonts w:hint="eastAsia"/>
                      <w:b/>
                      <w:bCs/>
                      <w:color w:val="auto"/>
                      <w:sz w:val="21"/>
                      <w:szCs w:val="21"/>
                      <w:highlight w:val="none"/>
                      <w:u w:val="none"/>
                      <w:lang w:val="en-US" w:eastAsia="zh-CN"/>
                    </w:rPr>
                    <w:t>类别</w:t>
                  </w:r>
                </w:p>
              </w:tc>
              <w:tc>
                <w:tcPr>
                  <w:tcW w:w="9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b/>
                      <w:bCs/>
                      <w:color w:val="auto"/>
                      <w:sz w:val="21"/>
                      <w:szCs w:val="21"/>
                      <w:highlight w:val="none"/>
                      <w:u w:val="none"/>
                    </w:rPr>
                  </w:pPr>
                  <w:r>
                    <w:rPr>
                      <w:b/>
                      <w:bCs/>
                      <w:color w:val="auto"/>
                      <w:sz w:val="21"/>
                      <w:szCs w:val="21"/>
                      <w:highlight w:val="none"/>
                      <w:u w:val="none"/>
                    </w:rPr>
                    <w:t>污染源</w:t>
                  </w:r>
                </w:p>
              </w:tc>
              <w:tc>
                <w:tcPr>
                  <w:tcW w:w="12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b/>
                      <w:bCs/>
                      <w:color w:val="auto"/>
                      <w:sz w:val="21"/>
                      <w:szCs w:val="21"/>
                      <w:highlight w:val="none"/>
                      <w:u w:val="none"/>
                    </w:rPr>
                  </w:pPr>
                  <w:r>
                    <w:rPr>
                      <w:b/>
                      <w:bCs/>
                      <w:color w:val="auto"/>
                      <w:sz w:val="21"/>
                      <w:szCs w:val="21"/>
                      <w:highlight w:val="none"/>
                      <w:u w:val="none"/>
                    </w:rPr>
                    <w:t>污染物</w:t>
                  </w:r>
                </w:p>
              </w:tc>
              <w:tc>
                <w:tcPr>
                  <w:tcW w:w="73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b/>
                      <w:bCs/>
                      <w:color w:val="auto"/>
                      <w:sz w:val="21"/>
                      <w:szCs w:val="21"/>
                      <w:highlight w:val="none"/>
                      <w:u w:val="none"/>
                      <w:lang w:val="en-US" w:eastAsia="zh-CN"/>
                    </w:rPr>
                  </w:pPr>
                  <w:r>
                    <w:rPr>
                      <w:rFonts w:hint="eastAsia"/>
                      <w:b/>
                      <w:bCs/>
                      <w:color w:val="auto"/>
                      <w:sz w:val="21"/>
                      <w:szCs w:val="21"/>
                      <w:highlight w:val="none"/>
                      <w:u w:val="none"/>
                      <w:lang w:val="en-US" w:eastAsia="zh-CN"/>
                    </w:rPr>
                    <w:t>搬迁前排放量（t/a）</w:t>
                  </w:r>
                </w:p>
              </w:tc>
              <w:tc>
                <w:tcPr>
                  <w:tcW w:w="7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eastAsia="宋体"/>
                      <w:b/>
                      <w:bCs/>
                      <w:color w:val="auto"/>
                      <w:sz w:val="21"/>
                      <w:szCs w:val="21"/>
                      <w:highlight w:val="none"/>
                      <w:u w:val="none"/>
                      <w:lang w:val="en-US" w:eastAsia="zh-CN"/>
                    </w:rPr>
                  </w:pPr>
                  <w:r>
                    <w:rPr>
                      <w:rFonts w:hint="eastAsia"/>
                      <w:b/>
                      <w:bCs/>
                      <w:color w:val="auto"/>
                      <w:sz w:val="21"/>
                      <w:szCs w:val="21"/>
                      <w:highlight w:val="none"/>
                      <w:u w:val="none"/>
                      <w:lang w:val="en-US" w:eastAsia="zh-CN"/>
                    </w:rPr>
                    <w:t>搬迁后排放量（t/a）</w:t>
                  </w:r>
                </w:p>
              </w:tc>
              <w:tc>
                <w:tcPr>
                  <w:tcW w:w="7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b/>
                      <w:bCs/>
                      <w:color w:val="auto"/>
                      <w:sz w:val="21"/>
                      <w:szCs w:val="21"/>
                      <w:highlight w:val="none"/>
                      <w:u w:val="none"/>
                      <w:lang w:val="en-US" w:eastAsia="zh-CN"/>
                    </w:rPr>
                  </w:pPr>
                  <w:r>
                    <w:rPr>
                      <w:rFonts w:hint="eastAsia"/>
                      <w:b/>
                      <w:bCs/>
                      <w:color w:val="auto"/>
                      <w:sz w:val="21"/>
                      <w:szCs w:val="21"/>
                      <w:highlight w:val="none"/>
                      <w:u w:val="none"/>
                      <w:lang w:val="en-US" w:eastAsia="zh-CN"/>
                    </w:rPr>
                    <w:t>变化量（t/a）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废气</w:t>
                  </w:r>
                </w:p>
              </w:tc>
              <w:tc>
                <w:tcPr>
                  <w:tcW w:w="92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蒸汽发生器废气</w:t>
                  </w:r>
                </w:p>
              </w:tc>
              <w:tc>
                <w:tcPr>
                  <w:tcW w:w="1203" w:type="pct"/>
                  <w:tcBorders>
                    <w:tl2br w:val="nil"/>
                    <w:tr2bl w:val="nil"/>
                  </w:tcBorders>
                  <w:noWrap w:val="0"/>
                  <w:vAlign w:val="center"/>
                </w:tcPr>
                <w:p>
                  <w:pPr>
                    <w:widowControl/>
                    <w:tabs>
                      <w:tab w:val="left" w:pos="1050"/>
                    </w:tabs>
                    <w:autoSpaceDE w:val="0"/>
                    <w:jc w:val="center"/>
                    <w:rPr>
                      <w:rFonts w:hint="default" w:eastAsia="宋体"/>
                      <w:color w:val="auto"/>
                      <w:sz w:val="21"/>
                      <w:szCs w:val="21"/>
                      <w:highlight w:val="none"/>
                      <w:u w:val="none"/>
                      <w:lang w:val="en-US" w:eastAsia="zh-CN"/>
                    </w:rPr>
                  </w:pPr>
                  <w:r>
                    <w:rPr>
                      <w:rFonts w:eastAsia="Times New Roman"/>
                      <w:color w:val="auto"/>
                      <w:kern w:val="0"/>
                      <w:sz w:val="21"/>
                      <w:szCs w:val="21"/>
                      <w:u w:val="none"/>
                    </w:rPr>
                    <w:t>SO</w:t>
                  </w:r>
                  <w:r>
                    <w:rPr>
                      <w:rFonts w:eastAsia="Times New Roman"/>
                      <w:color w:val="auto"/>
                      <w:kern w:val="0"/>
                      <w:sz w:val="21"/>
                      <w:szCs w:val="21"/>
                      <w:u w:val="none"/>
                      <w:vertAlign w:val="subscript"/>
                    </w:rPr>
                    <w:t>2</w:t>
                  </w:r>
                </w:p>
              </w:tc>
              <w:tc>
                <w:tcPr>
                  <w:tcW w:w="737" w:type="pct"/>
                  <w:tcBorders>
                    <w:tl2br w:val="nil"/>
                    <w:tr2bl w:val="nil"/>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0.85</w:t>
                  </w:r>
                </w:p>
              </w:tc>
              <w:tc>
                <w:tcPr>
                  <w:tcW w:w="748" w:type="pct"/>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color w:val="auto"/>
                      <w:sz w:val="21"/>
                      <w:szCs w:val="21"/>
                      <w:u w:val="none"/>
                    </w:rPr>
                    <w:t>0.17</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1203" w:type="pct"/>
                  <w:tcBorders>
                    <w:tl2br w:val="nil"/>
                    <w:tr2bl w:val="nil"/>
                  </w:tcBorders>
                  <w:noWrap w:val="0"/>
                  <w:vAlign w:val="center"/>
                </w:tcPr>
                <w:p>
                  <w:pPr>
                    <w:widowControl/>
                    <w:tabs>
                      <w:tab w:val="left" w:pos="1050"/>
                    </w:tabs>
                    <w:autoSpaceDE w:val="0"/>
                    <w:jc w:val="center"/>
                    <w:rPr>
                      <w:rFonts w:hint="default" w:eastAsia="宋体"/>
                      <w:color w:val="auto"/>
                      <w:sz w:val="21"/>
                      <w:szCs w:val="21"/>
                      <w:highlight w:val="none"/>
                      <w:u w:val="none"/>
                      <w:lang w:val="en-US" w:eastAsia="zh-CN"/>
                    </w:rPr>
                  </w:pPr>
                  <w:r>
                    <w:rPr>
                      <w:rFonts w:hint="eastAsia" w:ascii="宋体" w:hAnsi="宋体" w:cs="宋体"/>
                      <w:color w:val="auto"/>
                      <w:kern w:val="0"/>
                      <w:sz w:val="21"/>
                      <w:szCs w:val="21"/>
                      <w:u w:val="none"/>
                    </w:rPr>
                    <w:t>颗粒物</w:t>
                  </w:r>
                </w:p>
              </w:tc>
              <w:tc>
                <w:tcPr>
                  <w:tcW w:w="737" w:type="pct"/>
                  <w:tcBorders>
                    <w:tl2br w:val="nil"/>
                    <w:tr2bl w:val="nil"/>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 xml:space="preserve">2.2 </w:t>
                  </w:r>
                </w:p>
              </w:tc>
              <w:tc>
                <w:tcPr>
                  <w:tcW w:w="748" w:type="pct"/>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color w:val="auto"/>
                      <w:sz w:val="21"/>
                      <w:szCs w:val="21"/>
                      <w:u w:val="none"/>
                    </w:rPr>
                    <w:t>0.12</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1203" w:type="pct"/>
                  <w:tcBorders>
                    <w:tl2br w:val="nil"/>
                    <w:tr2bl w:val="nil"/>
                  </w:tcBorders>
                  <w:noWrap w:val="0"/>
                  <w:vAlign w:val="center"/>
                </w:tcPr>
                <w:p>
                  <w:pPr>
                    <w:widowControl/>
                    <w:tabs>
                      <w:tab w:val="left" w:pos="1050"/>
                    </w:tabs>
                    <w:autoSpaceDE w:val="0"/>
                    <w:jc w:val="center"/>
                    <w:rPr>
                      <w:rFonts w:hint="default" w:eastAsia="宋体"/>
                      <w:color w:val="auto"/>
                      <w:sz w:val="21"/>
                      <w:szCs w:val="21"/>
                      <w:highlight w:val="none"/>
                      <w:u w:val="none"/>
                      <w:lang w:val="en-US" w:eastAsia="zh-CN"/>
                    </w:rPr>
                  </w:pPr>
                  <w:r>
                    <w:rPr>
                      <w:rFonts w:eastAsia="Times New Roman"/>
                      <w:color w:val="auto"/>
                      <w:kern w:val="0"/>
                      <w:sz w:val="21"/>
                      <w:szCs w:val="21"/>
                      <w:u w:val="none"/>
                    </w:rPr>
                    <w:t>NOx</w:t>
                  </w:r>
                </w:p>
              </w:tc>
              <w:tc>
                <w:tcPr>
                  <w:tcW w:w="737" w:type="pct"/>
                  <w:tcBorders>
                    <w:tl2br w:val="nil"/>
                    <w:tr2bl w:val="nil"/>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0.51</w:t>
                  </w:r>
                </w:p>
              </w:tc>
              <w:tc>
                <w:tcPr>
                  <w:tcW w:w="748" w:type="pct"/>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eastAsia" w:eastAsia="宋体"/>
                      <w:color w:val="auto"/>
                      <w:sz w:val="21"/>
                      <w:szCs w:val="21"/>
                      <w:u w:val="none"/>
                      <w:lang w:val="en-US" w:eastAsia="zh-CN"/>
                    </w:rPr>
                    <w:t>0.18</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油烟</w:t>
                  </w:r>
                </w:p>
              </w:tc>
              <w:tc>
                <w:tcPr>
                  <w:tcW w:w="12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油烟</w:t>
                  </w:r>
                </w:p>
              </w:tc>
              <w:tc>
                <w:tcPr>
                  <w:tcW w:w="73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lang w:val="en-US" w:eastAsia="zh-CN"/>
                    </w:rPr>
                    <w:t>0.0058</w:t>
                  </w:r>
                </w:p>
              </w:tc>
              <w:tc>
                <w:tcPr>
                  <w:tcW w:w="7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color w:val="auto"/>
                      <w:kern w:val="0"/>
                      <w:sz w:val="21"/>
                      <w:szCs w:val="21"/>
                      <w:u w:val="none"/>
                    </w:rPr>
                    <w:t>0.0</w:t>
                  </w:r>
                  <w:r>
                    <w:rPr>
                      <w:rFonts w:hint="eastAsia"/>
                      <w:color w:val="auto"/>
                      <w:kern w:val="0"/>
                      <w:sz w:val="21"/>
                      <w:szCs w:val="21"/>
                      <w:u w:val="none"/>
                      <w:lang w:val="en-US" w:eastAsia="zh-CN"/>
                    </w:rPr>
                    <w:t>6</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0.0542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车间</w:t>
                  </w:r>
                </w:p>
              </w:tc>
              <w:tc>
                <w:tcPr>
                  <w:tcW w:w="12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异味、非甲烷总烃、粉尘</w:t>
                  </w:r>
                </w:p>
              </w:tc>
              <w:tc>
                <w:tcPr>
                  <w:tcW w:w="73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lang w:val="en-US" w:eastAsia="zh-CN"/>
                    </w:rPr>
                    <w:t>少量</w:t>
                  </w:r>
                </w:p>
              </w:tc>
              <w:tc>
                <w:tcPr>
                  <w:tcW w:w="7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少量</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eastAsia" w:ascii="Times New Roman" w:hAnsi="Times New Roman" w:eastAsia="宋体" w:cs="Times New Roman"/>
                      <w:i w:val="0"/>
                      <w:iCs w:val="0"/>
                      <w:color w:val="auto"/>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污水处理站臭气</w:t>
                  </w:r>
                </w:p>
              </w:tc>
              <w:tc>
                <w:tcPr>
                  <w:tcW w:w="12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氨</w:t>
                  </w:r>
                </w:p>
              </w:tc>
              <w:tc>
                <w:tcPr>
                  <w:tcW w:w="73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难以计量</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0.0736</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12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硫化氢</w:t>
                  </w:r>
                </w:p>
              </w:tc>
              <w:tc>
                <w:tcPr>
                  <w:tcW w:w="73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highlight w:val="none"/>
                      <w:u w:val="none"/>
                      <w:lang w:val="en-US" w:eastAsia="zh-CN"/>
                    </w:rPr>
                  </w:pPr>
                  <w:r>
                    <w:rPr>
                      <w:rFonts w:hint="eastAsia"/>
                      <w:color w:val="auto"/>
                      <w:sz w:val="21"/>
                      <w:szCs w:val="21"/>
                      <w:highlight w:val="none"/>
                      <w:u w:val="none"/>
                      <w:lang w:val="en-US" w:eastAsia="zh-CN"/>
                    </w:rPr>
                    <w:t>难以计量</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0.0029</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r>
                    <w:rPr>
                      <w:color w:val="auto"/>
                      <w:sz w:val="21"/>
                      <w:szCs w:val="21"/>
                      <w:u w:val="none"/>
                    </w:rPr>
                    <w:t>天然气燃烧</w:t>
                  </w:r>
                  <w:r>
                    <w:rPr>
                      <w:rFonts w:hint="eastAsia"/>
                      <w:color w:val="auto"/>
                      <w:sz w:val="21"/>
                      <w:szCs w:val="21"/>
                      <w:u w:val="none"/>
                      <w:lang w:eastAsia="zh-CN"/>
                    </w:rPr>
                    <w:t>（</w:t>
                  </w:r>
                  <w:r>
                    <w:rPr>
                      <w:rFonts w:hint="eastAsia"/>
                      <w:color w:val="auto"/>
                      <w:sz w:val="21"/>
                      <w:szCs w:val="21"/>
                      <w:u w:val="none"/>
                      <w:lang w:val="en-US" w:eastAsia="zh-CN"/>
                    </w:rPr>
                    <w:t>炒制</w:t>
                  </w:r>
                  <w:r>
                    <w:rPr>
                      <w:rFonts w:hint="eastAsia"/>
                      <w:color w:val="auto"/>
                      <w:sz w:val="21"/>
                      <w:szCs w:val="21"/>
                      <w:u w:val="none"/>
                      <w:lang w:eastAsia="zh-CN"/>
                    </w:rPr>
                    <w:t>）</w:t>
                  </w:r>
                  <w:r>
                    <w:rPr>
                      <w:color w:val="auto"/>
                      <w:sz w:val="21"/>
                      <w:szCs w:val="21"/>
                      <w:u w:val="none"/>
                    </w:rPr>
                    <w:t>废气</w:t>
                  </w:r>
                </w:p>
              </w:tc>
              <w:tc>
                <w:tcPr>
                  <w:tcW w:w="1203" w:type="pct"/>
                  <w:tcBorders>
                    <w:tl2br w:val="nil"/>
                    <w:tr2bl w:val="nil"/>
                  </w:tcBorders>
                  <w:noWrap w:val="0"/>
                  <w:vAlign w:val="center"/>
                </w:tcPr>
                <w:p>
                  <w:pPr>
                    <w:autoSpaceDE w:val="0"/>
                    <w:jc w:val="center"/>
                    <w:textAlignment w:val="center"/>
                    <w:rPr>
                      <w:rFonts w:hint="eastAsia" w:eastAsia="宋体"/>
                      <w:color w:val="auto"/>
                      <w:sz w:val="21"/>
                      <w:szCs w:val="21"/>
                      <w:highlight w:val="none"/>
                      <w:u w:val="none"/>
                      <w:lang w:val="en-US" w:eastAsia="zh-CN"/>
                    </w:rPr>
                  </w:pPr>
                  <w:r>
                    <w:rPr>
                      <w:color w:val="auto"/>
                      <w:spacing w:val="4"/>
                      <w:sz w:val="21"/>
                      <w:szCs w:val="21"/>
                      <w:u w:val="none"/>
                    </w:rPr>
                    <w:t>二氧化硫</w:t>
                  </w:r>
                </w:p>
              </w:tc>
              <w:tc>
                <w:tcPr>
                  <w:tcW w:w="73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w:t>
                  </w:r>
                </w:p>
              </w:tc>
              <w:tc>
                <w:tcPr>
                  <w:tcW w:w="748" w:type="pct"/>
                  <w:tcBorders>
                    <w:tl2br w:val="nil"/>
                    <w:tr2bl w:val="nil"/>
                  </w:tcBorders>
                  <w:noWrap w:val="0"/>
                  <w:vAlign w:val="center"/>
                </w:tcPr>
                <w:p>
                  <w:pPr>
                    <w:autoSpaceDE w:val="0"/>
                    <w:jc w:val="center"/>
                    <w:rPr>
                      <w:rFonts w:hint="eastAsia"/>
                      <w:color w:val="auto"/>
                      <w:sz w:val="21"/>
                      <w:szCs w:val="21"/>
                      <w:highlight w:val="none"/>
                      <w:u w:val="none"/>
                      <w:lang w:val="en-US" w:eastAsia="zh-CN"/>
                    </w:rPr>
                  </w:pPr>
                  <w:r>
                    <w:rPr>
                      <w:color w:val="auto"/>
                      <w:sz w:val="21"/>
                      <w:szCs w:val="21"/>
                      <w:u w:val="none"/>
                    </w:rPr>
                    <w:t>0.000108</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0.000108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1203" w:type="pct"/>
                  <w:tcBorders>
                    <w:tl2br w:val="nil"/>
                    <w:tr2bl w:val="nil"/>
                  </w:tcBorders>
                  <w:noWrap w:val="0"/>
                  <w:vAlign w:val="center"/>
                </w:tcPr>
                <w:p>
                  <w:pPr>
                    <w:autoSpaceDE w:val="0"/>
                    <w:jc w:val="center"/>
                    <w:textAlignment w:val="center"/>
                    <w:rPr>
                      <w:rFonts w:hint="eastAsia" w:eastAsia="宋体"/>
                      <w:color w:val="auto"/>
                      <w:sz w:val="21"/>
                      <w:szCs w:val="21"/>
                      <w:highlight w:val="none"/>
                      <w:u w:val="none"/>
                      <w:lang w:val="en-US" w:eastAsia="zh-CN"/>
                    </w:rPr>
                  </w:pPr>
                  <w:r>
                    <w:rPr>
                      <w:color w:val="auto"/>
                      <w:spacing w:val="4"/>
                      <w:sz w:val="21"/>
                      <w:szCs w:val="21"/>
                      <w:u w:val="none"/>
                    </w:rPr>
                    <w:t>氮氧化物</w:t>
                  </w:r>
                </w:p>
              </w:tc>
              <w:tc>
                <w:tcPr>
                  <w:tcW w:w="73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w:t>
                  </w:r>
                </w:p>
              </w:tc>
              <w:tc>
                <w:tcPr>
                  <w:tcW w:w="748" w:type="pct"/>
                  <w:tcBorders>
                    <w:tl2br w:val="nil"/>
                    <w:tr2bl w:val="nil"/>
                  </w:tcBorders>
                  <w:noWrap w:val="0"/>
                  <w:vAlign w:val="center"/>
                </w:tcPr>
                <w:p>
                  <w:pPr>
                    <w:autoSpaceDE w:val="0"/>
                    <w:jc w:val="center"/>
                    <w:rPr>
                      <w:rFonts w:hint="eastAsia"/>
                      <w:color w:val="auto"/>
                      <w:sz w:val="21"/>
                      <w:szCs w:val="21"/>
                      <w:highlight w:val="none"/>
                      <w:u w:val="none"/>
                      <w:lang w:val="en-US" w:eastAsia="zh-CN"/>
                    </w:rPr>
                  </w:pPr>
                  <w:r>
                    <w:rPr>
                      <w:color w:val="auto"/>
                      <w:sz w:val="21"/>
                      <w:szCs w:val="21"/>
                      <w:u w:val="none"/>
                    </w:rPr>
                    <w:t>0.24</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p>
              </w:tc>
              <w:tc>
                <w:tcPr>
                  <w:tcW w:w="1203" w:type="pct"/>
                  <w:tcBorders>
                    <w:tl2br w:val="nil"/>
                    <w:tr2bl w:val="nil"/>
                  </w:tcBorders>
                  <w:noWrap w:val="0"/>
                  <w:vAlign w:val="center"/>
                </w:tcPr>
                <w:p>
                  <w:pPr>
                    <w:autoSpaceDE w:val="0"/>
                    <w:jc w:val="center"/>
                    <w:textAlignment w:val="center"/>
                    <w:rPr>
                      <w:rFonts w:hint="default" w:eastAsia="宋体"/>
                      <w:color w:val="auto"/>
                      <w:sz w:val="21"/>
                      <w:szCs w:val="21"/>
                      <w:highlight w:val="none"/>
                      <w:u w:val="none"/>
                      <w:lang w:val="en-US" w:eastAsia="zh-CN"/>
                    </w:rPr>
                  </w:pPr>
                  <w:r>
                    <w:rPr>
                      <w:color w:val="auto"/>
                      <w:spacing w:val="4"/>
                      <w:sz w:val="21"/>
                      <w:szCs w:val="21"/>
                      <w:u w:val="none"/>
                    </w:rPr>
                    <w:t>颗粒物</w:t>
                  </w:r>
                </w:p>
              </w:tc>
              <w:tc>
                <w:tcPr>
                  <w:tcW w:w="73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u w:val="none"/>
                      <w:lang w:val="en-US" w:eastAsia="zh-CN" w:bidi="ar-SA"/>
                    </w:rPr>
                  </w:pPr>
                  <w:r>
                    <w:rPr>
                      <w:rFonts w:hint="eastAsia" w:cs="Times New Roman"/>
                      <w:color w:val="auto"/>
                      <w:kern w:val="2"/>
                      <w:sz w:val="21"/>
                      <w:szCs w:val="21"/>
                      <w:highlight w:val="none"/>
                      <w:u w:val="none"/>
                      <w:lang w:val="en-US" w:eastAsia="zh-CN" w:bidi="ar-SA"/>
                    </w:rPr>
                    <w:t>/</w:t>
                  </w:r>
                </w:p>
              </w:tc>
              <w:tc>
                <w:tcPr>
                  <w:tcW w:w="748" w:type="pct"/>
                  <w:tcBorders>
                    <w:tl2br w:val="nil"/>
                    <w:tr2bl w:val="nil"/>
                  </w:tcBorders>
                  <w:noWrap w:val="0"/>
                  <w:vAlign w:val="center"/>
                </w:tcPr>
                <w:p>
                  <w:pPr>
                    <w:autoSpaceDE w:val="0"/>
                    <w:jc w:val="center"/>
                    <w:rPr>
                      <w:rFonts w:hint="default"/>
                      <w:color w:val="auto"/>
                      <w:sz w:val="21"/>
                      <w:szCs w:val="21"/>
                      <w:highlight w:val="none"/>
                      <w:u w:val="none"/>
                      <w:lang w:val="en-US" w:eastAsia="zh-CN"/>
                    </w:rPr>
                  </w:pPr>
                  <w:r>
                    <w:rPr>
                      <w:color w:val="auto"/>
                      <w:sz w:val="21"/>
                      <w:szCs w:val="21"/>
                      <w:u w:val="none"/>
                    </w:rPr>
                    <w:t>0.022</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63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eastAsia="宋体"/>
                      <w:color w:val="auto"/>
                      <w:sz w:val="21"/>
                      <w:szCs w:val="21"/>
                      <w:highlight w:val="none"/>
                      <w:u w:val="none"/>
                      <w:lang w:eastAsia="zh-CN"/>
                    </w:rPr>
                  </w:pPr>
                  <w:r>
                    <w:rPr>
                      <w:rFonts w:hint="eastAsia"/>
                      <w:color w:val="auto"/>
                      <w:sz w:val="21"/>
                      <w:szCs w:val="21"/>
                      <w:highlight w:val="none"/>
                      <w:u w:val="none"/>
                      <w:lang w:val="en-US" w:eastAsia="zh-CN"/>
                    </w:rPr>
                    <w:t>废水</w:t>
                  </w:r>
                </w:p>
              </w:tc>
              <w:tc>
                <w:tcPr>
                  <w:tcW w:w="9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生活污水</w:t>
                  </w:r>
                </w:p>
              </w:tc>
              <w:tc>
                <w:tcPr>
                  <w:tcW w:w="12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pH、COD、NH</w:t>
                  </w:r>
                  <w:r>
                    <w:rPr>
                      <w:rFonts w:hint="default" w:eastAsia="宋体"/>
                      <w:color w:val="auto"/>
                      <w:sz w:val="21"/>
                      <w:szCs w:val="21"/>
                      <w:highlight w:val="none"/>
                      <w:u w:val="none"/>
                      <w:vertAlign w:val="subscript"/>
                      <w:lang w:val="en-US" w:eastAsia="zh-CN"/>
                    </w:rPr>
                    <w:t>3</w:t>
                  </w:r>
                  <w:r>
                    <w:rPr>
                      <w:rFonts w:hint="default" w:eastAsia="宋体"/>
                      <w:color w:val="auto"/>
                      <w:sz w:val="21"/>
                      <w:szCs w:val="21"/>
                      <w:highlight w:val="none"/>
                      <w:u w:val="none"/>
                      <w:lang w:val="en-US" w:eastAsia="zh-CN"/>
                    </w:rPr>
                    <w:t>-N、总氮、总磷、SS、BOD</w:t>
                  </w:r>
                  <w:r>
                    <w:rPr>
                      <w:rFonts w:hint="default" w:eastAsia="宋体"/>
                      <w:color w:val="auto"/>
                      <w:sz w:val="21"/>
                      <w:szCs w:val="21"/>
                      <w:highlight w:val="none"/>
                      <w:u w:val="none"/>
                      <w:vertAlign w:val="subscript"/>
                      <w:lang w:val="en-US" w:eastAsia="zh-CN"/>
                    </w:rPr>
                    <w:t>5</w:t>
                  </w:r>
                  <w:r>
                    <w:rPr>
                      <w:rFonts w:hint="default" w:eastAsia="宋体"/>
                      <w:color w:val="auto"/>
                      <w:sz w:val="21"/>
                      <w:szCs w:val="21"/>
                      <w:highlight w:val="none"/>
                      <w:u w:val="none"/>
                      <w:lang w:val="en-US" w:eastAsia="zh-CN"/>
                    </w:rPr>
                    <w:t>、动植物油</w:t>
                  </w:r>
                </w:p>
              </w:tc>
              <w:tc>
                <w:tcPr>
                  <w:tcW w:w="73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lang w:val="en-US" w:eastAsia="zh-CN"/>
                    </w:rPr>
                    <w:t>回用于农灌</w:t>
                  </w:r>
                </w:p>
              </w:tc>
              <w:tc>
                <w:tcPr>
                  <w:tcW w:w="7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r>
                    <w:rPr>
                      <w:rFonts w:hint="eastAsia"/>
                      <w:color w:val="auto"/>
                      <w:sz w:val="21"/>
                      <w:szCs w:val="21"/>
                      <w:highlight w:val="none"/>
                      <w:u w:val="none"/>
                      <w:lang w:val="en-US" w:eastAsia="zh-CN"/>
                    </w:rPr>
                    <w:t>废水量</w:t>
                  </w:r>
                </w:p>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default" w:ascii="Times New Roman" w:hAnsi="Times New Roman" w:eastAsia="宋体" w:cs="Times New Roman"/>
                      <w:color w:val="auto"/>
                      <w:sz w:val="21"/>
                      <w:szCs w:val="21"/>
                      <w:u w:val="none"/>
                    </w:rPr>
                    <w:t>2950</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eastAsia" w:ascii="Times New Roman" w:hAnsi="Times New Roman" w:eastAsia="宋体" w:cs="Times New Roman"/>
                      <w:color w:val="auto"/>
                      <w:sz w:val="21"/>
                      <w:szCs w:val="21"/>
                      <w:u w:val="none"/>
                      <w:lang w:val="en-US" w:eastAsia="zh-CN"/>
                    </w:rPr>
                    <w:t>+</w:t>
                  </w:r>
                  <w:r>
                    <w:rPr>
                      <w:rFonts w:hint="default" w:ascii="Times New Roman" w:hAnsi="Times New Roman" w:eastAsia="宋体" w:cs="Times New Roman"/>
                      <w:color w:val="auto"/>
                      <w:sz w:val="21"/>
                      <w:szCs w:val="21"/>
                      <w:u w:val="none"/>
                    </w:rPr>
                    <w:t>2950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质检废水</w:t>
                  </w:r>
                </w:p>
              </w:tc>
              <w:tc>
                <w:tcPr>
                  <w:tcW w:w="12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eastAsia="宋体"/>
                      <w:color w:val="auto"/>
                      <w:sz w:val="21"/>
                      <w:szCs w:val="21"/>
                      <w:highlight w:val="none"/>
                      <w:u w:val="none"/>
                      <w:lang w:val="en-US" w:eastAsia="zh-CN"/>
                    </w:rPr>
                    <w:t>pH、</w:t>
                  </w:r>
                  <w:r>
                    <w:rPr>
                      <w:rFonts w:hint="default" w:eastAsia="宋体"/>
                      <w:color w:val="auto"/>
                      <w:sz w:val="21"/>
                      <w:szCs w:val="21"/>
                      <w:highlight w:val="none"/>
                      <w:u w:val="none"/>
                      <w:lang w:val="en-US" w:eastAsia="zh-CN"/>
                    </w:rPr>
                    <w:t>COD、NH</w:t>
                  </w:r>
                  <w:r>
                    <w:rPr>
                      <w:rFonts w:hint="default" w:eastAsia="宋体"/>
                      <w:color w:val="auto"/>
                      <w:sz w:val="21"/>
                      <w:szCs w:val="21"/>
                      <w:highlight w:val="none"/>
                      <w:u w:val="none"/>
                      <w:vertAlign w:val="subscript"/>
                      <w:lang w:val="en-US" w:eastAsia="zh-CN"/>
                    </w:rPr>
                    <w:t>3</w:t>
                  </w:r>
                  <w:r>
                    <w:rPr>
                      <w:rFonts w:hint="default" w:eastAsia="宋体"/>
                      <w:color w:val="auto"/>
                      <w:sz w:val="21"/>
                      <w:szCs w:val="21"/>
                      <w:highlight w:val="none"/>
                      <w:u w:val="none"/>
                      <w:lang w:val="en-US" w:eastAsia="zh-CN"/>
                    </w:rPr>
                    <w:t>-N、总氮、总磷、SS、BOD</w:t>
                  </w:r>
                  <w:r>
                    <w:rPr>
                      <w:rFonts w:hint="default" w:eastAsia="宋体"/>
                      <w:color w:val="auto"/>
                      <w:sz w:val="21"/>
                      <w:szCs w:val="21"/>
                      <w:highlight w:val="none"/>
                      <w:u w:val="none"/>
                      <w:vertAlign w:val="subscript"/>
                      <w:lang w:val="en-US" w:eastAsia="zh-CN"/>
                    </w:rPr>
                    <w:t>5</w:t>
                  </w:r>
                  <w:r>
                    <w:rPr>
                      <w:rFonts w:hint="default" w:eastAsia="宋体"/>
                      <w:color w:val="auto"/>
                      <w:sz w:val="21"/>
                      <w:szCs w:val="21"/>
                      <w:highlight w:val="none"/>
                      <w:u w:val="none"/>
                      <w:lang w:val="en-US" w:eastAsia="zh-CN"/>
                    </w:rPr>
                    <w:t>、动植物油</w:t>
                  </w:r>
                </w:p>
              </w:tc>
              <w:tc>
                <w:tcPr>
                  <w:tcW w:w="73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w:t>
                  </w:r>
                </w:p>
              </w:tc>
              <w:tc>
                <w:tcPr>
                  <w:tcW w:w="7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r>
                    <w:rPr>
                      <w:rFonts w:hint="eastAsia"/>
                      <w:color w:val="auto"/>
                      <w:sz w:val="21"/>
                      <w:szCs w:val="21"/>
                      <w:highlight w:val="none"/>
                      <w:u w:val="none"/>
                      <w:lang w:val="en-US" w:eastAsia="zh-CN"/>
                    </w:rPr>
                    <w:t>废水量</w:t>
                  </w:r>
                </w:p>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10</w:t>
                  </w:r>
                </w:p>
              </w:tc>
              <w:tc>
                <w:tcPr>
                  <w:tcW w:w="1253" w:type="dxa"/>
                  <w:tcBorders>
                    <w:tl2br w:val="nil"/>
                    <w:tr2bl w:val="nil"/>
                  </w:tcBorders>
                  <w:noWrap w:val="0"/>
                  <w:vAlign w:val="center"/>
                </w:tcPr>
                <w:p>
                  <w:pPr>
                    <w:jc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生产废水</w:t>
                  </w:r>
                </w:p>
              </w:tc>
              <w:tc>
                <w:tcPr>
                  <w:tcW w:w="120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pH、COD、NH</w:t>
                  </w:r>
                  <w:r>
                    <w:rPr>
                      <w:rFonts w:hint="default" w:eastAsia="宋体"/>
                      <w:color w:val="auto"/>
                      <w:sz w:val="21"/>
                      <w:szCs w:val="21"/>
                      <w:highlight w:val="none"/>
                      <w:u w:val="none"/>
                      <w:vertAlign w:val="subscript"/>
                      <w:lang w:val="en-US" w:eastAsia="zh-CN"/>
                    </w:rPr>
                    <w:t>3</w:t>
                  </w:r>
                  <w:r>
                    <w:rPr>
                      <w:rFonts w:hint="default" w:eastAsia="宋体"/>
                      <w:color w:val="auto"/>
                      <w:sz w:val="21"/>
                      <w:szCs w:val="21"/>
                      <w:highlight w:val="none"/>
                      <w:u w:val="none"/>
                      <w:lang w:val="en-US" w:eastAsia="zh-CN"/>
                    </w:rPr>
                    <w:t>-N、总氮、总磷、SS、BOD</w:t>
                  </w:r>
                  <w:r>
                    <w:rPr>
                      <w:rFonts w:hint="default" w:eastAsia="宋体"/>
                      <w:color w:val="auto"/>
                      <w:sz w:val="21"/>
                      <w:szCs w:val="21"/>
                      <w:highlight w:val="none"/>
                      <w:u w:val="none"/>
                      <w:vertAlign w:val="subscript"/>
                      <w:lang w:val="en-US" w:eastAsia="zh-CN"/>
                    </w:rPr>
                    <w:t>5</w:t>
                  </w:r>
                  <w:r>
                    <w:rPr>
                      <w:rFonts w:hint="default" w:eastAsia="宋体"/>
                      <w:color w:val="auto"/>
                      <w:sz w:val="21"/>
                      <w:szCs w:val="21"/>
                      <w:highlight w:val="none"/>
                      <w:u w:val="none"/>
                      <w:lang w:val="en-US" w:eastAsia="zh-CN"/>
                    </w:rPr>
                    <w:t>、动植物油</w:t>
                  </w:r>
                </w:p>
              </w:tc>
              <w:tc>
                <w:tcPr>
                  <w:tcW w:w="73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lang w:val="en-US" w:eastAsia="zh-CN"/>
                    </w:rPr>
                    <w:t>回用于农灌</w:t>
                  </w:r>
                </w:p>
              </w:tc>
              <w:tc>
                <w:tcPr>
                  <w:tcW w:w="7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r>
                    <w:rPr>
                      <w:rFonts w:hint="eastAsia"/>
                      <w:color w:val="auto"/>
                      <w:sz w:val="21"/>
                      <w:szCs w:val="21"/>
                      <w:highlight w:val="none"/>
                      <w:u w:val="none"/>
                      <w:lang w:val="en-US" w:eastAsia="zh-CN"/>
                    </w:rPr>
                    <w:t>废水量</w:t>
                  </w:r>
                </w:p>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color w:val="auto"/>
                      <w:sz w:val="21"/>
                      <w:szCs w:val="21"/>
                      <w:highlight w:val="none"/>
                      <w:u w:val="none"/>
                      <w:lang w:val="en-US" w:eastAsia="zh-CN"/>
                    </w:rPr>
                  </w:pPr>
                  <w:r>
                    <w:rPr>
                      <w:rFonts w:hint="eastAsia"/>
                      <w:color w:val="auto"/>
                      <w:sz w:val="21"/>
                      <w:szCs w:val="21"/>
                      <w:highlight w:val="none"/>
                      <w:u w:val="none"/>
                      <w:lang w:val="en-US" w:eastAsia="zh-CN"/>
                    </w:rPr>
                    <w:t>7.98万</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+7.98万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*固体废物</w:t>
                  </w:r>
                </w:p>
              </w:tc>
              <w:tc>
                <w:tcPr>
                  <w:tcW w:w="923"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一般工业固废</w:t>
                  </w:r>
                </w:p>
              </w:tc>
              <w:tc>
                <w:tcPr>
                  <w:tcW w:w="1203"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bCs/>
                      <w:color w:val="auto"/>
                      <w:spacing w:val="4"/>
                      <w:szCs w:val="21"/>
                      <w:u w:val="none"/>
                    </w:rPr>
                    <w:t>不合格原辅料</w:t>
                  </w:r>
                </w:p>
              </w:tc>
              <w:tc>
                <w:tcPr>
                  <w:tcW w:w="737"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1.5</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11</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eastAsia="宋体"/>
                      <w:color w:val="auto"/>
                      <w:kern w:val="2"/>
                      <w:sz w:val="21"/>
                      <w:szCs w:val="21"/>
                      <w:highlight w:val="none"/>
                      <w:u w:val="none"/>
                      <w:lang w:val="en-US" w:eastAsia="zh-CN" w:bidi="ar-SA"/>
                    </w:rPr>
                  </w:pPr>
                </w:p>
              </w:tc>
              <w:tc>
                <w:tcPr>
                  <w:tcW w:w="1203" w:type="pct"/>
                  <w:tcBorders>
                    <w:tl2br w:val="nil"/>
                    <w:tr2bl w:val="nil"/>
                  </w:tcBorders>
                  <w:shd w:val="clear" w:color="auto" w:fill="auto"/>
                  <w:noWrap w:val="0"/>
                  <w:vAlign w:val="center"/>
                </w:tcPr>
                <w:p>
                  <w:pPr>
                    <w:jc w:val="center"/>
                    <w:rPr>
                      <w:rFonts w:hint="default" w:eastAsia="宋体"/>
                      <w:bCs/>
                      <w:color w:val="auto"/>
                      <w:spacing w:val="4"/>
                      <w:szCs w:val="21"/>
                      <w:u w:val="none"/>
                      <w:lang w:val="en-US" w:eastAsia="zh-CN"/>
                    </w:rPr>
                  </w:pPr>
                  <w:r>
                    <w:rPr>
                      <w:rFonts w:hint="eastAsia"/>
                      <w:bCs/>
                      <w:color w:val="auto"/>
                      <w:spacing w:val="4"/>
                      <w:szCs w:val="21"/>
                      <w:u w:val="none"/>
                      <w:lang w:val="en-US" w:eastAsia="zh-CN"/>
                    </w:rPr>
                    <w:t>豆渣及废边角料</w:t>
                  </w:r>
                </w:p>
              </w:tc>
              <w:tc>
                <w:tcPr>
                  <w:tcW w:w="737" w:type="pct"/>
                  <w:tcBorders>
                    <w:tl2br w:val="nil"/>
                    <w:tr2bl w:val="nil"/>
                  </w:tcBorders>
                  <w:shd w:val="clear" w:color="auto" w:fill="auto"/>
                  <w:noWrap w:val="0"/>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220</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p>
              </w:tc>
              <w:tc>
                <w:tcPr>
                  <w:tcW w:w="1203"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bCs/>
                      <w:color w:val="auto"/>
                      <w:spacing w:val="4"/>
                      <w:szCs w:val="21"/>
                      <w:u w:val="none"/>
                      <w:lang w:val="en-US" w:eastAsia="zh-CN"/>
                    </w:rPr>
                    <w:t>不合格产品</w:t>
                  </w:r>
                </w:p>
              </w:tc>
              <w:tc>
                <w:tcPr>
                  <w:tcW w:w="737"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1</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11</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p>
              </w:tc>
              <w:tc>
                <w:tcPr>
                  <w:tcW w:w="1203" w:type="pct"/>
                  <w:tcBorders>
                    <w:tl2br w:val="nil"/>
                    <w:tr2bl w:val="nil"/>
                  </w:tcBorders>
                  <w:shd w:val="clear" w:color="auto" w:fill="auto"/>
                  <w:noWrap w:val="0"/>
                  <w:vAlign w:val="center"/>
                </w:tcPr>
                <w:p>
                  <w:pPr>
                    <w:jc w:val="center"/>
                    <w:rPr>
                      <w:rFonts w:hint="eastAsia" w:ascii="Times New Roman" w:hAnsi="Times New Roman" w:eastAsia="宋体" w:cs="Times New Roman"/>
                      <w:bCs/>
                      <w:color w:val="auto"/>
                      <w:spacing w:val="4"/>
                      <w:kern w:val="2"/>
                      <w:sz w:val="21"/>
                      <w:szCs w:val="21"/>
                      <w:u w:val="none"/>
                      <w:lang w:val="en-US" w:eastAsia="zh-CN" w:bidi="ar-SA"/>
                    </w:rPr>
                  </w:pPr>
                  <w:r>
                    <w:rPr>
                      <w:rFonts w:hint="eastAsia"/>
                      <w:color w:val="auto"/>
                      <w:szCs w:val="21"/>
                      <w:u w:val="none"/>
                    </w:rPr>
                    <w:t>废包装材料</w:t>
                  </w:r>
                </w:p>
              </w:tc>
              <w:tc>
                <w:tcPr>
                  <w:tcW w:w="737"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0.5</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5</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p>
              </w:tc>
              <w:tc>
                <w:tcPr>
                  <w:tcW w:w="1203"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color w:val="auto"/>
                      <w:szCs w:val="21"/>
                      <w:u w:val="none"/>
                    </w:rPr>
                    <w:t>油烟净化器</w:t>
                  </w:r>
                  <w:r>
                    <w:rPr>
                      <w:rFonts w:hint="eastAsia"/>
                      <w:color w:val="auto"/>
                      <w:szCs w:val="21"/>
                      <w:u w:val="none"/>
                    </w:rPr>
                    <w:t>废油脂</w:t>
                  </w:r>
                </w:p>
              </w:tc>
              <w:tc>
                <w:tcPr>
                  <w:tcW w:w="737"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0.55</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5</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p>
              </w:tc>
              <w:tc>
                <w:tcPr>
                  <w:tcW w:w="1203" w:type="pct"/>
                  <w:tcBorders>
                    <w:tl2br w:val="nil"/>
                    <w:tr2bl w:val="nil"/>
                  </w:tcBorders>
                  <w:shd w:val="clear" w:color="auto" w:fill="auto"/>
                  <w:noWrap w:val="0"/>
                  <w:vAlign w:val="center"/>
                </w:tcPr>
                <w:p>
                  <w:pPr>
                    <w:jc w:val="center"/>
                    <w:rPr>
                      <w:rFonts w:hint="default" w:eastAsia="宋体"/>
                      <w:color w:val="auto"/>
                      <w:szCs w:val="21"/>
                      <w:u w:val="none"/>
                      <w:lang w:val="en-US" w:eastAsia="zh-CN"/>
                    </w:rPr>
                  </w:pPr>
                  <w:r>
                    <w:rPr>
                      <w:rFonts w:hint="eastAsia"/>
                      <w:color w:val="auto"/>
                      <w:szCs w:val="21"/>
                      <w:u w:val="none"/>
                      <w:lang w:val="en-US" w:eastAsia="zh-CN"/>
                    </w:rPr>
                    <w:t>隔油池废油脂</w:t>
                  </w:r>
                </w:p>
              </w:tc>
              <w:tc>
                <w:tcPr>
                  <w:tcW w:w="737" w:type="pct"/>
                  <w:tcBorders>
                    <w:tl2br w:val="nil"/>
                    <w:tr2bl w:val="nil"/>
                  </w:tcBorders>
                  <w:shd w:val="clear" w:color="auto" w:fill="auto"/>
                  <w:noWrap w:val="0"/>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5.6</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p>
              </w:tc>
              <w:tc>
                <w:tcPr>
                  <w:tcW w:w="1203"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bCs/>
                      <w:color w:val="auto"/>
                      <w:spacing w:val="4"/>
                      <w:szCs w:val="21"/>
                      <w:u w:val="none"/>
                    </w:rPr>
                    <w:t>清罐废油脂</w:t>
                  </w:r>
                </w:p>
              </w:tc>
              <w:tc>
                <w:tcPr>
                  <w:tcW w:w="737"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0.2</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2</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p>
              </w:tc>
              <w:tc>
                <w:tcPr>
                  <w:tcW w:w="1203"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color w:val="auto"/>
                      <w:szCs w:val="21"/>
                      <w:u w:val="none"/>
                    </w:rPr>
                    <w:t>污水处理</w:t>
                  </w:r>
                  <w:r>
                    <w:rPr>
                      <w:rFonts w:hint="eastAsia"/>
                      <w:color w:val="auto"/>
                      <w:szCs w:val="21"/>
                      <w:u w:val="none"/>
                      <w:lang w:val="en-US" w:eastAsia="zh-CN"/>
                    </w:rPr>
                    <w:t>栅渣及</w:t>
                  </w:r>
                  <w:r>
                    <w:rPr>
                      <w:rFonts w:hint="eastAsia"/>
                      <w:color w:val="auto"/>
                      <w:szCs w:val="21"/>
                      <w:u w:val="none"/>
                    </w:rPr>
                    <w:t>污泥</w:t>
                  </w:r>
                </w:p>
              </w:tc>
              <w:tc>
                <w:tcPr>
                  <w:tcW w:w="737"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2</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20</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eastAsia="宋体"/>
                      <w:color w:val="auto"/>
                      <w:kern w:val="2"/>
                      <w:sz w:val="21"/>
                      <w:szCs w:val="21"/>
                      <w:highlight w:val="none"/>
                      <w:u w:val="none"/>
                      <w:lang w:val="en-US" w:eastAsia="zh-CN" w:bidi="ar-SA"/>
                    </w:rPr>
                  </w:pPr>
                </w:p>
              </w:tc>
              <w:tc>
                <w:tcPr>
                  <w:tcW w:w="1203" w:type="pct"/>
                  <w:tcBorders>
                    <w:tl2br w:val="nil"/>
                    <w:tr2bl w:val="nil"/>
                  </w:tcBorders>
                  <w:shd w:val="clear" w:color="auto" w:fill="auto"/>
                  <w:noWrap w:val="0"/>
                  <w:vAlign w:val="center"/>
                </w:tcPr>
                <w:p>
                  <w:pPr>
                    <w:jc w:val="center"/>
                    <w:rPr>
                      <w:rFonts w:hint="eastAsia" w:ascii="Times New Roman" w:hAnsi="Times New Roman" w:eastAsia="宋体" w:cs="Times New Roman"/>
                      <w:bCs/>
                      <w:color w:val="auto"/>
                      <w:spacing w:val="4"/>
                      <w:kern w:val="2"/>
                      <w:sz w:val="21"/>
                      <w:szCs w:val="21"/>
                      <w:u w:val="none"/>
                      <w:lang w:val="en-US" w:eastAsia="zh-CN" w:bidi="ar-SA"/>
                    </w:rPr>
                  </w:pPr>
                  <w:r>
                    <w:rPr>
                      <w:rFonts w:hint="eastAsia" w:cs="Times New Roman"/>
                      <w:bCs/>
                      <w:color w:val="auto"/>
                      <w:spacing w:val="4"/>
                      <w:kern w:val="2"/>
                      <w:sz w:val="21"/>
                      <w:szCs w:val="21"/>
                      <w:u w:val="none"/>
                      <w:lang w:val="en-US" w:eastAsia="zh-CN" w:bidi="ar-SA"/>
                    </w:rPr>
                    <w:t>锅炉灰渣</w:t>
                  </w:r>
                </w:p>
              </w:tc>
              <w:tc>
                <w:tcPr>
                  <w:tcW w:w="737"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20</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eastAsia="宋体"/>
                      <w:color w:val="auto"/>
                      <w:kern w:val="2"/>
                      <w:sz w:val="21"/>
                      <w:szCs w:val="21"/>
                      <w:highlight w:val="none"/>
                      <w:u w:val="none"/>
                      <w:lang w:val="en-US" w:eastAsia="zh-CN" w:bidi="ar-SA"/>
                    </w:rPr>
                  </w:pPr>
                </w:p>
              </w:tc>
              <w:tc>
                <w:tcPr>
                  <w:tcW w:w="1203" w:type="pct"/>
                  <w:tcBorders>
                    <w:tl2br w:val="nil"/>
                    <w:tr2bl w:val="nil"/>
                  </w:tcBorders>
                  <w:shd w:val="clear" w:color="auto" w:fill="auto"/>
                  <w:noWrap w:val="0"/>
                  <w:vAlign w:val="center"/>
                </w:tcPr>
                <w:p>
                  <w:pPr>
                    <w:jc w:val="center"/>
                    <w:rPr>
                      <w:rFonts w:hint="eastAsia" w:cs="Times New Roman"/>
                      <w:bCs/>
                      <w:color w:val="auto"/>
                      <w:spacing w:val="4"/>
                      <w:kern w:val="2"/>
                      <w:sz w:val="21"/>
                      <w:szCs w:val="21"/>
                      <w:u w:val="none"/>
                      <w:lang w:val="en-US" w:eastAsia="zh-CN" w:bidi="ar-SA"/>
                    </w:rPr>
                  </w:pPr>
                  <w:r>
                    <w:rPr>
                      <w:rFonts w:hint="default" w:ascii="Times New Roman" w:hAnsi="Times New Roman" w:eastAsia="宋体" w:cs="Times New Roman"/>
                      <w:color w:val="auto"/>
                      <w:sz w:val="21"/>
                      <w:szCs w:val="21"/>
                      <w:u w:val="none"/>
                    </w:rPr>
                    <w:t>纯水机废过滤材料及反渗透膜</w:t>
                  </w:r>
                </w:p>
              </w:tc>
              <w:tc>
                <w:tcPr>
                  <w:tcW w:w="737" w:type="pct"/>
                  <w:tcBorders>
                    <w:tl2br w:val="nil"/>
                    <w:tr2bl w:val="nil"/>
                  </w:tcBorders>
                  <w:shd w:val="clear" w:color="auto" w:fill="auto"/>
                  <w:noWrap w:val="0"/>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0.05</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eastAsia="宋体"/>
                      <w:color w:val="auto"/>
                      <w:kern w:val="2"/>
                      <w:sz w:val="21"/>
                      <w:szCs w:val="21"/>
                      <w:highlight w:val="none"/>
                      <w:u w:val="none"/>
                      <w:lang w:val="en-US" w:eastAsia="zh-CN" w:bidi="ar-SA"/>
                    </w:rPr>
                  </w:pPr>
                </w:p>
              </w:tc>
              <w:tc>
                <w:tcPr>
                  <w:tcW w:w="1203" w:type="pct"/>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eastAsia"/>
                      <w:color w:val="auto"/>
                      <w:szCs w:val="21"/>
                      <w:u w:val="none"/>
                    </w:rPr>
                    <w:t>空气净化废过滤材料</w:t>
                  </w:r>
                </w:p>
              </w:tc>
              <w:tc>
                <w:tcPr>
                  <w:tcW w:w="737"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0.05</w:t>
                  </w:r>
                </w:p>
              </w:tc>
              <w:tc>
                <w:tcPr>
                  <w:tcW w:w="748" w:type="pct"/>
                  <w:tcBorders>
                    <w:tl2br w:val="nil"/>
                    <w:tr2bl w:val="nil"/>
                  </w:tcBorders>
                  <w:shd w:val="clear" w:color="auto" w:fill="auto"/>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eastAsia="宋体"/>
                      <w:color w:val="auto"/>
                      <w:sz w:val="21"/>
                      <w:szCs w:val="21"/>
                      <w:highlight w:val="none"/>
                      <w:u w:val="none"/>
                      <w:lang w:val="en-US" w:eastAsia="zh-CN"/>
                    </w:rPr>
                    <w:t>0.1</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eastAsia="宋体"/>
                      <w:color w:val="auto"/>
                      <w:kern w:val="2"/>
                      <w:sz w:val="21"/>
                      <w:szCs w:val="21"/>
                      <w:highlight w:val="none"/>
                      <w:u w:val="none"/>
                      <w:lang w:val="en-US" w:eastAsia="zh-CN" w:bidi="ar-SA"/>
                    </w:rPr>
                  </w:pPr>
                </w:p>
              </w:tc>
              <w:tc>
                <w:tcPr>
                  <w:tcW w:w="2015" w:type="dxa"/>
                  <w:tcBorders>
                    <w:tl2br w:val="nil"/>
                    <w:tr2bl w:val="nil"/>
                  </w:tcBorders>
                  <w:shd w:val="clear" w:color="auto" w:fill="auto"/>
                  <w:noWrap w:val="0"/>
                  <w:vAlign w:val="center"/>
                </w:tcPr>
                <w:p>
                  <w:pPr>
                    <w:jc w:val="center"/>
                    <w:rPr>
                      <w:rFonts w:hint="eastAsia"/>
                      <w:color w:val="auto"/>
                      <w:szCs w:val="21"/>
                      <w:u w:val="none"/>
                    </w:rPr>
                  </w:pPr>
                  <w:r>
                    <w:rPr>
                      <w:rFonts w:hint="default" w:ascii="Times New Roman" w:hAnsi="Times New Roman" w:eastAsia="宋体" w:cs="Times New Roman"/>
                      <w:color w:val="auto"/>
                      <w:sz w:val="21"/>
                      <w:szCs w:val="21"/>
                      <w:u w:val="none"/>
                    </w:rPr>
                    <w:t>废紫外灯管</w:t>
                  </w:r>
                </w:p>
              </w:tc>
              <w:tc>
                <w:tcPr>
                  <w:tcW w:w="737" w:type="pct"/>
                  <w:tcBorders>
                    <w:tl2br w:val="nil"/>
                    <w:tr2bl w:val="nil"/>
                  </w:tcBorders>
                  <w:shd w:val="clear" w:color="auto" w:fill="auto"/>
                  <w:noWrap w:val="0"/>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w:t>
                  </w:r>
                </w:p>
              </w:tc>
              <w:tc>
                <w:tcPr>
                  <w:tcW w:w="1253" w:type="dxa"/>
                  <w:tcBorders>
                    <w:tl2br w:val="nil"/>
                    <w:tr2bl w:val="nil"/>
                  </w:tcBorders>
                  <w:shd w:val="clear" w:color="auto" w:fill="auto"/>
                  <w:noWrap w:val="0"/>
                  <w:vAlign w:val="center"/>
                </w:tcPr>
                <w:p>
                  <w:pPr>
                    <w:jc w:val="center"/>
                    <w:rPr>
                      <w:rFonts w:hint="eastAsia" w:eastAsia="宋体"/>
                      <w:color w:val="auto"/>
                      <w:sz w:val="21"/>
                      <w:szCs w:val="21"/>
                      <w:highlight w:val="none"/>
                      <w:u w:val="none"/>
                      <w:lang w:val="en-US" w:eastAsia="zh-CN"/>
                    </w:rPr>
                  </w:pPr>
                  <w:r>
                    <w:rPr>
                      <w:rFonts w:hint="default" w:ascii="Times New Roman" w:hAnsi="Times New Roman" w:eastAsia="宋体" w:cs="Times New Roman"/>
                      <w:bCs/>
                      <w:color w:val="auto"/>
                      <w:spacing w:val="4"/>
                      <w:sz w:val="21"/>
                      <w:szCs w:val="21"/>
                      <w:u w:val="none"/>
                    </w:rPr>
                    <w:t>0.01</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eastAsia="宋体"/>
                      <w:color w:val="auto"/>
                      <w:kern w:val="2"/>
                      <w:sz w:val="21"/>
                      <w:szCs w:val="21"/>
                      <w:highlight w:val="none"/>
                      <w:u w:val="none"/>
                      <w:lang w:val="en-US" w:eastAsia="zh-CN" w:bidi="ar-SA"/>
                    </w:rPr>
                  </w:pPr>
                </w:p>
              </w:tc>
              <w:tc>
                <w:tcPr>
                  <w:tcW w:w="2015" w:type="dxa"/>
                  <w:tcBorders>
                    <w:tl2br w:val="nil"/>
                    <w:tr2bl w:val="nil"/>
                  </w:tcBorders>
                  <w:shd w:val="clear" w:color="auto" w:fill="auto"/>
                  <w:noWrap w:val="0"/>
                  <w:vAlign w:val="center"/>
                </w:tcPr>
                <w:p>
                  <w:pPr>
                    <w:jc w:val="center"/>
                    <w:rPr>
                      <w:rFonts w:hint="eastAsia"/>
                      <w:color w:val="auto"/>
                      <w:szCs w:val="21"/>
                      <w:u w:val="none"/>
                    </w:rPr>
                  </w:pPr>
                  <w:r>
                    <w:rPr>
                      <w:rFonts w:hint="default" w:ascii="Times New Roman" w:hAnsi="Times New Roman" w:eastAsia="宋体" w:cs="Times New Roman"/>
                      <w:color w:val="auto"/>
                      <w:sz w:val="21"/>
                      <w:szCs w:val="21"/>
                      <w:u w:val="none"/>
                    </w:rPr>
                    <w:t>废润滑油及废油桶</w:t>
                  </w:r>
                </w:p>
              </w:tc>
              <w:tc>
                <w:tcPr>
                  <w:tcW w:w="737" w:type="pct"/>
                  <w:tcBorders>
                    <w:tl2br w:val="nil"/>
                    <w:tr2bl w:val="nil"/>
                  </w:tcBorders>
                  <w:shd w:val="clear" w:color="auto" w:fill="auto"/>
                  <w:noWrap w:val="0"/>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w:t>
                  </w:r>
                </w:p>
              </w:tc>
              <w:tc>
                <w:tcPr>
                  <w:tcW w:w="1253" w:type="dxa"/>
                  <w:tcBorders>
                    <w:tl2br w:val="nil"/>
                    <w:tr2bl w:val="nil"/>
                  </w:tcBorders>
                  <w:shd w:val="clear" w:color="auto" w:fill="auto"/>
                  <w:noWrap w:val="0"/>
                  <w:vAlign w:val="center"/>
                </w:tcPr>
                <w:p>
                  <w:pPr>
                    <w:jc w:val="center"/>
                    <w:rPr>
                      <w:rFonts w:hint="eastAsia" w:eastAsia="宋体"/>
                      <w:color w:val="auto"/>
                      <w:sz w:val="21"/>
                      <w:szCs w:val="21"/>
                      <w:highlight w:val="none"/>
                      <w:u w:val="none"/>
                      <w:lang w:val="en-US" w:eastAsia="zh-CN"/>
                    </w:rPr>
                  </w:pPr>
                  <w:r>
                    <w:rPr>
                      <w:rFonts w:hint="default" w:ascii="Times New Roman" w:hAnsi="Times New Roman" w:eastAsia="宋体" w:cs="Times New Roman"/>
                      <w:bCs/>
                      <w:color w:val="auto"/>
                      <w:spacing w:val="4"/>
                      <w:sz w:val="21"/>
                      <w:szCs w:val="21"/>
                      <w:u w:val="none"/>
                    </w:rPr>
                    <w:t>0.0</w:t>
                  </w:r>
                  <w:r>
                    <w:rPr>
                      <w:rFonts w:hint="eastAsia" w:ascii="Times New Roman" w:hAnsi="Times New Roman" w:eastAsia="宋体" w:cs="Times New Roman"/>
                      <w:bCs/>
                      <w:color w:val="auto"/>
                      <w:spacing w:val="4"/>
                      <w:sz w:val="21"/>
                      <w:szCs w:val="21"/>
                      <w:u w:val="none"/>
                      <w:lang w:val="en-US" w:eastAsia="zh-CN"/>
                    </w:rPr>
                    <w:t>5</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eastAsia="宋体"/>
                      <w:color w:val="auto"/>
                      <w:kern w:val="2"/>
                      <w:sz w:val="21"/>
                      <w:szCs w:val="21"/>
                      <w:highlight w:val="none"/>
                      <w:u w:val="none"/>
                      <w:lang w:val="en-US" w:eastAsia="zh-CN" w:bidi="ar-SA"/>
                    </w:rPr>
                  </w:pPr>
                </w:p>
              </w:tc>
              <w:tc>
                <w:tcPr>
                  <w:tcW w:w="2015" w:type="dxa"/>
                  <w:tcBorders>
                    <w:tl2br w:val="nil"/>
                    <w:tr2bl w:val="nil"/>
                  </w:tcBorders>
                  <w:shd w:val="clear" w:color="auto" w:fill="auto"/>
                  <w:noWrap w:val="0"/>
                  <w:vAlign w:val="center"/>
                </w:tcPr>
                <w:p>
                  <w:pPr>
                    <w:jc w:val="center"/>
                    <w:rPr>
                      <w:rFonts w:hint="default" w:ascii="Times New Roman" w:hAnsi="Times New Roman" w:eastAsia="宋体" w:cs="Times New Roman"/>
                      <w:bCs/>
                      <w:color w:val="auto"/>
                      <w:spacing w:val="4"/>
                      <w:kern w:val="2"/>
                      <w:sz w:val="21"/>
                      <w:szCs w:val="21"/>
                      <w:u w:val="none"/>
                      <w:lang w:val="en-US" w:eastAsia="zh-CN" w:bidi="ar-SA"/>
                    </w:rPr>
                  </w:pPr>
                  <w:r>
                    <w:rPr>
                      <w:rFonts w:hint="default" w:ascii="Times New Roman" w:hAnsi="Times New Roman" w:eastAsia="宋体" w:cs="Times New Roman"/>
                      <w:color w:val="auto"/>
                      <w:sz w:val="21"/>
                      <w:szCs w:val="21"/>
                      <w:u w:val="none"/>
                    </w:rPr>
                    <w:t>废化学药品及包装材料</w:t>
                  </w:r>
                </w:p>
              </w:tc>
              <w:tc>
                <w:tcPr>
                  <w:tcW w:w="737" w:type="pct"/>
                  <w:tcBorders>
                    <w:tl2br w:val="nil"/>
                    <w:tr2bl w:val="nil"/>
                  </w:tcBorders>
                  <w:shd w:val="clear" w:color="auto" w:fill="auto"/>
                  <w:noWrap w:val="0"/>
                  <w:vAlign w:val="center"/>
                </w:tcPr>
                <w:p>
                  <w:pPr>
                    <w:jc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ascii="Times New Roman" w:hAnsi="Times New Roman" w:eastAsia="宋体" w:cs="Times New Roman"/>
                      <w:color w:val="auto"/>
                      <w:kern w:val="2"/>
                      <w:sz w:val="21"/>
                      <w:szCs w:val="21"/>
                      <w:u w:val="none"/>
                      <w:vertAlign w:val="baseline"/>
                      <w:lang w:val="en-US" w:eastAsia="zh-CN" w:bidi="ar-SA"/>
                    </w:rPr>
                    <w:t>/</w:t>
                  </w:r>
                </w:p>
              </w:tc>
              <w:tc>
                <w:tcPr>
                  <w:tcW w:w="1253" w:type="dxa"/>
                  <w:tcBorders>
                    <w:tl2br w:val="nil"/>
                    <w:tr2bl w:val="nil"/>
                  </w:tcBorders>
                  <w:noWrap w:val="0"/>
                  <w:vAlign w:val="center"/>
                </w:tcPr>
                <w:p>
                  <w:pPr>
                    <w:jc w:val="center"/>
                    <w:rPr>
                      <w:rFonts w:hint="default" w:eastAsia="宋体"/>
                      <w:color w:val="auto"/>
                      <w:sz w:val="21"/>
                      <w:szCs w:val="21"/>
                      <w:highlight w:val="none"/>
                      <w:u w:val="none"/>
                      <w:lang w:val="en-US" w:eastAsia="zh-CN"/>
                    </w:rPr>
                  </w:pPr>
                  <w:r>
                    <w:rPr>
                      <w:rFonts w:hint="default" w:ascii="Times New Roman" w:hAnsi="Times New Roman" w:eastAsia="宋体" w:cs="Times New Roman"/>
                      <w:bCs/>
                      <w:color w:val="auto"/>
                      <w:spacing w:val="4"/>
                      <w:sz w:val="21"/>
                      <w:szCs w:val="21"/>
                      <w:u w:val="none"/>
                    </w:rPr>
                    <w:t>0.01</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sz w:val="21"/>
                      <w:szCs w:val="21"/>
                      <w:highlight w:val="none"/>
                      <w:u w:val="none"/>
                      <w:lang w:val="en-US" w:eastAsia="zh-CN"/>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color w:val="auto"/>
                      <w:sz w:val="21"/>
                      <w:szCs w:val="21"/>
                      <w:highlight w:val="none"/>
                      <w:u w:val="none"/>
                      <w:lang w:val="en-US" w:eastAsia="zh-CN"/>
                    </w:rPr>
                  </w:pPr>
                </w:p>
              </w:tc>
              <w:tc>
                <w:tcPr>
                  <w:tcW w:w="923"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color w:val="auto"/>
                      <w:kern w:val="2"/>
                      <w:sz w:val="21"/>
                      <w:szCs w:val="21"/>
                      <w:highlight w:val="none"/>
                      <w:u w:val="none"/>
                      <w:lang w:val="en-US" w:eastAsia="zh-CN" w:bidi="ar-SA"/>
                    </w:rPr>
                  </w:pPr>
                  <w:r>
                    <w:rPr>
                      <w:rFonts w:hint="eastAsia"/>
                      <w:color w:val="auto"/>
                      <w:kern w:val="2"/>
                      <w:sz w:val="21"/>
                      <w:szCs w:val="21"/>
                      <w:highlight w:val="none"/>
                      <w:u w:val="none"/>
                      <w:lang w:val="en-US" w:eastAsia="zh-CN" w:bidi="ar-SA"/>
                    </w:rPr>
                    <w:t>生活垃圾</w:t>
                  </w:r>
                </w:p>
              </w:tc>
              <w:tc>
                <w:tcPr>
                  <w:tcW w:w="1203" w:type="pct"/>
                  <w:tcBorders>
                    <w:tl2br w:val="nil"/>
                    <w:tr2bl w:val="nil"/>
                  </w:tcBorders>
                  <w:shd w:val="clear" w:color="auto" w:fill="auto"/>
                  <w:noWrap w:val="0"/>
                  <w:vAlign w:val="center"/>
                </w:tcPr>
                <w:p>
                  <w:pPr>
                    <w:jc w:val="center"/>
                    <w:rPr>
                      <w:rFonts w:hint="eastAsia" w:ascii="Times New Roman" w:hAnsi="Times New Roman" w:eastAsia="宋体" w:cs="Times New Roman"/>
                      <w:bCs/>
                      <w:color w:val="auto"/>
                      <w:spacing w:val="4"/>
                      <w:kern w:val="2"/>
                      <w:sz w:val="21"/>
                      <w:szCs w:val="21"/>
                      <w:u w:val="none"/>
                      <w:lang w:val="en-US" w:eastAsia="zh-CN" w:bidi="ar-SA"/>
                    </w:rPr>
                  </w:pPr>
                  <w:r>
                    <w:rPr>
                      <w:rFonts w:hint="eastAsia" w:cs="Times New Roman"/>
                      <w:bCs/>
                      <w:color w:val="auto"/>
                      <w:spacing w:val="4"/>
                      <w:kern w:val="2"/>
                      <w:sz w:val="21"/>
                      <w:szCs w:val="21"/>
                      <w:u w:val="none"/>
                      <w:lang w:val="en-US" w:eastAsia="zh-CN" w:bidi="ar-SA"/>
                    </w:rPr>
                    <w:t>生活垃圾</w:t>
                  </w:r>
                </w:p>
              </w:tc>
              <w:tc>
                <w:tcPr>
                  <w:tcW w:w="737" w:type="pct"/>
                  <w:tcBorders>
                    <w:tl2br w:val="nil"/>
                    <w:tr2bl w:val="nil"/>
                  </w:tcBorders>
                  <w:shd w:val="clear" w:color="auto" w:fill="auto"/>
                  <w:noWrap w:val="0"/>
                  <w:vAlign w:val="center"/>
                </w:tcPr>
                <w:p>
                  <w:pPr>
                    <w:jc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5.25</w:t>
                  </w:r>
                </w:p>
              </w:tc>
              <w:tc>
                <w:tcPr>
                  <w:tcW w:w="7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eastAsia="宋体"/>
                      <w:color w:val="auto"/>
                      <w:kern w:val="2"/>
                      <w:sz w:val="21"/>
                      <w:szCs w:val="21"/>
                      <w:highlight w:val="none"/>
                      <w:u w:val="none"/>
                      <w:lang w:val="en-US" w:eastAsia="zh-CN" w:bidi="ar-SA"/>
                    </w:rPr>
                  </w:pPr>
                  <w:r>
                    <w:rPr>
                      <w:rFonts w:hint="eastAsia" w:eastAsia="宋体"/>
                      <w:color w:val="auto"/>
                      <w:kern w:val="2"/>
                      <w:sz w:val="21"/>
                      <w:szCs w:val="21"/>
                      <w:highlight w:val="none"/>
                      <w:u w:val="none"/>
                      <w:lang w:val="en-US" w:eastAsia="zh-CN" w:bidi="ar-SA"/>
                    </w:rPr>
                    <w:t>25</w:t>
                  </w:r>
                </w:p>
              </w:tc>
              <w:tc>
                <w:tcPr>
                  <w:tcW w:w="1253" w:type="dxa"/>
                  <w:tcBorders>
                    <w:tl2br w:val="nil"/>
                    <w:tr2bl w:val="nil"/>
                  </w:tcBorders>
                  <w:noWrap w:val="0"/>
                  <w:vAlign w:val="center"/>
                </w:tcPr>
                <w:p>
                  <w:pPr>
                    <w:keepNext w:val="0"/>
                    <w:keepLines w:val="0"/>
                    <w:widowControl/>
                    <w:suppressLineNumbers w:val="0"/>
                    <w:jc w:val="center"/>
                    <w:textAlignment w:val="center"/>
                    <w:rPr>
                      <w:rFonts w:hint="default" w:eastAsia="宋体"/>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19.75</w:t>
                  </w:r>
                </w:p>
              </w:tc>
            </w:tr>
          </w:tbl>
          <w:p>
            <w:pPr>
              <w:spacing w:line="360" w:lineRule="auto"/>
              <w:ind w:firstLine="422" w:firstLineChars="200"/>
              <w:rPr>
                <w:rFonts w:hint="default" w:eastAsia="宋体"/>
                <w:b/>
                <w:bCs/>
                <w:color w:val="auto"/>
                <w:sz w:val="21"/>
                <w:szCs w:val="21"/>
                <w:u w:val="none"/>
                <w:lang w:val="en-US" w:eastAsia="zh-CN"/>
              </w:rPr>
            </w:pPr>
            <w:r>
              <w:rPr>
                <w:rFonts w:hint="eastAsia"/>
                <w:b/>
                <w:bCs/>
                <w:color w:val="auto"/>
                <w:sz w:val="21"/>
                <w:szCs w:val="21"/>
                <w:u w:val="none"/>
                <w:lang w:val="en-US" w:eastAsia="zh-CN"/>
              </w:rPr>
              <w:t>*注：表中固体废物为产生量。</w:t>
            </w:r>
          </w:p>
          <w:p>
            <w:pPr>
              <w:spacing w:line="360" w:lineRule="auto"/>
              <w:ind w:firstLine="482" w:firstLineChars="200"/>
              <w:rPr>
                <w:b/>
                <w:bCs/>
                <w:color w:val="auto"/>
                <w:sz w:val="24"/>
                <w:u w:val="none"/>
              </w:rPr>
            </w:pPr>
            <w:r>
              <w:rPr>
                <w:rFonts w:hint="eastAsia"/>
                <w:b/>
                <w:bCs/>
                <w:color w:val="auto"/>
                <w:sz w:val="24"/>
                <w:u w:val="none"/>
              </w:rPr>
              <w:t>2.12.2 原</w:t>
            </w:r>
            <w:r>
              <w:rPr>
                <w:b/>
                <w:bCs/>
                <w:color w:val="auto"/>
                <w:sz w:val="24"/>
                <w:u w:val="none"/>
              </w:rPr>
              <w:t>湖南驿通电子科技有限公司</w:t>
            </w:r>
            <w:r>
              <w:rPr>
                <w:rFonts w:hint="eastAsia"/>
                <w:b/>
                <w:bCs/>
                <w:color w:val="auto"/>
                <w:sz w:val="24"/>
                <w:u w:val="none"/>
              </w:rPr>
              <w:t>地块遗留污染问题</w:t>
            </w:r>
          </w:p>
          <w:p>
            <w:pPr>
              <w:spacing w:line="360" w:lineRule="auto"/>
              <w:ind w:firstLine="482" w:firstLineChars="200"/>
              <w:rPr>
                <w:b/>
                <w:color w:val="auto"/>
                <w:sz w:val="24"/>
                <w:u w:val="none"/>
              </w:rPr>
            </w:pPr>
            <w:r>
              <w:rPr>
                <w:rFonts w:hint="eastAsia"/>
                <w:b/>
                <w:color w:val="auto"/>
                <w:sz w:val="24"/>
                <w:u w:val="none"/>
              </w:rPr>
              <w:t>（1）地块使用历史</w:t>
            </w:r>
          </w:p>
          <w:p>
            <w:pPr>
              <w:spacing w:line="360" w:lineRule="auto"/>
              <w:ind w:firstLine="480" w:firstLineChars="200"/>
              <w:rPr>
                <w:color w:val="auto"/>
                <w:sz w:val="24"/>
                <w:u w:val="none"/>
              </w:rPr>
            </w:pPr>
            <w:r>
              <w:rPr>
                <w:rFonts w:hint="eastAsia"/>
                <w:bCs/>
                <w:color w:val="auto"/>
                <w:sz w:val="24"/>
                <w:u w:val="none"/>
              </w:rPr>
              <w:t>本项目位于岳阳市湘阴高新技术产业开发区洋沙湖片区芙蓉北路西侧，</w:t>
            </w:r>
            <w:r>
              <w:rPr>
                <w:rFonts w:hint="eastAsia"/>
                <w:color w:val="auto"/>
                <w:sz w:val="24"/>
                <w:u w:val="none"/>
              </w:rPr>
              <w:t>该地块</w:t>
            </w:r>
            <w:r>
              <w:rPr>
                <w:color w:val="auto"/>
                <w:sz w:val="24"/>
                <w:u w:val="none"/>
              </w:rPr>
              <w:t>原为湖南驿通电子科技有限公司、湘阴康昕家具有限公司生产厂区</w:t>
            </w:r>
            <w:r>
              <w:rPr>
                <w:rFonts w:hint="eastAsia"/>
                <w:color w:val="auto"/>
                <w:sz w:val="24"/>
                <w:u w:val="none"/>
              </w:rPr>
              <w:t>。</w:t>
            </w:r>
            <w:r>
              <w:rPr>
                <w:color w:val="auto"/>
                <w:sz w:val="24"/>
                <w:u w:val="none"/>
              </w:rPr>
              <w:t>总面积约为57557.79m</w:t>
            </w:r>
            <w:r>
              <w:rPr>
                <w:color w:val="auto"/>
                <w:sz w:val="24"/>
                <w:u w:val="none"/>
                <w:vertAlign w:val="superscript"/>
              </w:rPr>
              <w:t>2</w:t>
            </w:r>
            <w:r>
              <w:rPr>
                <w:color w:val="auto"/>
                <w:sz w:val="24"/>
                <w:u w:val="none"/>
              </w:rPr>
              <w:t>。该地块2002年前为荒地，2009年前为农用地，</w:t>
            </w:r>
            <w:r>
              <w:rPr>
                <w:rFonts w:hint="eastAsia"/>
                <w:color w:val="auto"/>
                <w:sz w:val="24"/>
                <w:u w:val="none"/>
              </w:rPr>
              <w:t>2009年~2015年为湖南驿通电子科技有限公司建设期，2015年后为湖南驿通电子科技有限公司运营期，2017年湖南驿通电子科技有限公司3车间租赁给湘阴康昕家具有限公司，2022年湖南驿通电子科技有限公司破产（处于完全停产状态），2022年湘阴康昕家具有限公司停产并撤出。</w:t>
            </w:r>
            <w:r>
              <w:rPr>
                <w:rFonts w:hint="eastAsia"/>
                <w:color w:val="auto"/>
                <w:sz w:val="24"/>
                <w:u w:val="none"/>
              </w:rPr>
              <w:t>随后地块</w:t>
            </w:r>
            <w:r>
              <w:rPr>
                <w:rFonts w:hint="eastAsia"/>
                <w:color w:val="auto"/>
                <w:sz w:val="24"/>
                <w:u w:val="none"/>
                <w:lang w:val="en-US" w:eastAsia="zh-CN"/>
              </w:rPr>
              <w:t>内部分厂房出租给家具厂、汽修厂等小企业用于生产</w:t>
            </w:r>
            <w:r>
              <w:rPr>
                <w:rFonts w:hint="eastAsia"/>
                <w:color w:val="auto"/>
                <w:sz w:val="24"/>
                <w:u w:val="none"/>
                <w:lang w:eastAsia="zh-CN"/>
              </w:rPr>
              <w:t>。</w:t>
            </w:r>
            <w:r>
              <w:rPr>
                <w:rFonts w:hint="eastAsia"/>
                <w:color w:val="auto"/>
                <w:sz w:val="24"/>
                <w:u w:val="none"/>
              </w:rPr>
              <w:t>2025年地块出让，</w:t>
            </w:r>
            <w:r>
              <w:rPr>
                <w:color w:val="auto"/>
                <w:sz w:val="24"/>
                <w:u w:val="none"/>
              </w:rPr>
              <w:t>湖南金甸甸食品有限公司</w:t>
            </w:r>
            <w:r>
              <w:rPr>
                <w:rFonts w:hint="eastAsia"/>
                <w:color w:val="auto"/>
                <w:sz w:val="24"/>
                <w:u w:val="none"/>
              </w:rPr>
              <w:t>购入并取得不动产权证。</w:t>
            </w:r>
          </w:p>
          <w:p>
            <w:pPr>
              <w:spacing w:line="360" w:lineRule="auto"/>
              <w:ind w:firstLine="480" w:firstLineChars="200"/>
              <w:rPr>
                <w:color w:val="auto"/>
                <w:sz w:val="24"/>
                <w:u w:val="none"/>
              </w:rPr>
            </w:pPr>
            <w:r>
              <w:rPr>
                <w:rFonts w:hint="eastAsia"/>
                <w:color w:val="auto"/>
                <w:sz w:val="24"/>
                <w:u w:val="none"/>
              </w:rPr>
              <w:t>湖南驿通电子科技有限公司2009年实施“16万m</w:t>
            </w:r>
            <w:r>
              <w:rPr>
                <w:rFonts w:hint="eastAsia"/>
                <w:color w:val="auto"/>
                <w:sz w:val="24"/>
                <w:u w:val="none"/>
                <w:vertAlign w:val="superscript"/>
              </w:rPr>
              <w:t>2</w:t>
            </w:r>
            <w:r>
              <w:rPr>
                <w:rFonts w:hint="eastAsia"/>
                <w:color w:val="auto"/>
                <w:sz w:val="24"/>
                <w:u w:val="none"/>
              </w:rPr>
              <w:t>/a液晶电视机配套PCB项目”，属于C3982电子电路制造；2022年实施“印刷电路板蚀刻生产线废液再生循环综合利用项目”，属于N7724危险废物治理。湘阴康昕家具有限公司在2017年~2022年期间实施“年生产50吨塑粉建设项目”，属于C2641涂料、油墨、颜料及类似产品制造涂料制造，该地块被列入优先监管名单。</w:t>
            </w:r>
          </w:p>
          <w:p>
            <w:pPr>
              <w:spacing w:line="360" w:lineRule="auto"/>
              <w:ind w:firstLine="482" w:firstLineChars="200"/>
              <w:rPr>
                <w:b/>
                <w:bCs/>
                <w:color w:val="auto"/>
                <w:sz w:val="24"/>
                <w:u w:val="none"/>
              </w:rPr>
            </w:pPr>
            <w:r>
              <w:rPr>
                <w:rFonts w:hint="eastAsia"/>
                <w:b/>
                <w:bCs/>
                <w:color w:val="auto"/>
                <w:sz w:val="24"/>
                <w:u w:val="none"/>
              </w:rPr>
              <w:t>（2）土壤污染状况调查情况</w:t>
            </w:r>
          </w:p>
          <w:p>
            <w:pPr>
              <w:spacing w:line="360" w:lineRule="auto"/>
              <w:ind w:firstLine="480" w:firstLineChars="200"/>
              <w:rPr>
                <w:color w:val="auto"/>
                <w:sz w:val="24"/>
                <w:u w:val="none"/>
              </w:rPr>
            </w:pPr>
            <w:r>
              <w:rPr>
                <w:rFonts w:hint="eastAsia"/>
                <w:color w:val="auto"/>
                <w:sz w:val="24"/>
                <w:u w:val="none"/>
              </w:rPr>
              <w:t>湖南驿通电子科技有限公司于2025年委托湖南隆宇环保科技有限公司负责“湘阴康昕家具有限公司（原湖南驿通电子科技有限公司）地块”土壤污染状况初步调查技术服务工作。湖南隆宇环保科技有限公司共设置了10个土壤检测点位（其中含4个水土复合点）（其中含1个水土复合对照点），钻孔深度均为15m，均未见地下水，没有建设地下水长期监测井，未采集地下水样品，共采集土壤目标样品50个，现场平行样品6个，送检土壤样品共56个，土壤检测因子为pH、《土壤环境质量建设用地土壤污染风险管控标准（试行）》(GB36600—2018)表1中45项基本项+氨氮、锡、石油烃（C10~C40）等特征污染物共49项。根据检测结果，上述土壤检测项目检测因子含量均满足《土壤环境质量建设用地土壤污染风险管控标准（试行）》(GB36600—2018)中第二类用地筛选值要求，其中氨氮、锡满足江西省地方标准《建设用地土壤污染风险管控标准（试行）》（DB36/1282-2020）中表3第二类用地筛选值要求。湖南隆宇环保科技有限公司在现场踏勘、资料收集、采样检测和数据分析的基础上，按照《建设用地土壤污染状况调查技术导则》（HJ25.1-2019）及其他土壤污染状况调查相关技术要求，编写完成了《湘阴康昕家具有限公司（原湖南驿通电子科技有限公司）地块土壤污染状况初步调查报告》。并于2025年9月14日通过专家评审。根据《初步调查报告（报批稿）》结论，调查地块土壤环境质量满足建设用地第二类用地开发建设要求，本地块土壤环境质量状况处于可接受水平，本地块不属于污染地块，不需要进行详细采样调查、风险评估工作，针对该地块的土壤污染状况调查工作结束。</w:t>
            </w:r>
          </w:p>
          <w:p>
            <w:pPr>
              <w:spacing w:line="360" w:lineRule="auto"/>
              <w:ind w:firstLine="482" w:firstLineChars="200"/>
              <w:rPr>
                <w:b/>
                <w:bCs/>
                <w:color w:val="auto"/>
                <w:sz w:val="24"/>
                <w:u w:val="none"/>
              </w:rPr>
            </w:pPr>
            <w:r>
              <w:rPr>
                <w:rFonts w:hint="eastAsia"/>
                <w:b/>
                <w:bCs/>
                <w:color w:val="auto"/>
                <w:sz w:val="24"/>
                <w:u w:val="none"/>
              </w:rPr>
              <w:t>（3）遗留环境问题</w:t>
            </w:r>
          </w:p>
          <w:p>
            <w:pPr>
              <w:spacing w:line="360" w:lineRule="auto"/>
              <w:ind w:firstLine="480" w:firstLineChars="200"/>
              <w:rPr>
                <w:color w:val="auto"/>
                <w:sz w:val="24"/>
                <w:u w:val="none"/>
              </w:rPr>
            </w:pPr>
            <w:r>
              <w:rPr>
                <w:rFonts w:hint="eastAsia"/>
                <w:color w:val="auto"/>
                <w:sz w:val="24"/>
                <w:u w:val="none"/>
              </w:rPr>
              <w:t>废气：地块内主要存在过酸性废气、含氨碱性废气、有机废气、颗粒物，湘阴康昕家具有限公司（原湖南驿通电子科技有限公司）自2022年申请破产后，一直处于闲置状态，线路板生产设备及塑粉生产设备均已拆除，再无废气产生。</w:t>
            </w:r>
          </w:p>
          <w:p>
            <w:pPr>
              <w:spacing w:line="360" w:lineRule="auto"/>
              <w:ind w:firstLine="480" w:firstLineChars="200"/>
              <w:rPr>
                <w:color w:val="auto"/>
                <w:sz w:val="24"/>
                <w:u w:val="none"/>
              </w:rPr>
            </w:pPr>
            <w:r>
              <w:rPr>
                <w:rFonts w:hint="eastAsia"/>
                <w:color w:val="auto"/>
                <w:sz w:val="24"/>
                <w:u w:val="none"/>
              </w:rPr>
              <w:t>废水：历史生产曾产生各种生产废液（主要为不能利用的碱性蚀刻废液、退锡水等）、重金属废水、有机废水、去膜废水、化学镀铜废水、再生装置设备清洗废水、生产废液、废气喷淋塔碱性废水等生产废水。经现场踏勘及人员访谈，废液槽已清空，原生产废水已全部处理后排入市政管网，污水池已无遗留工业废水，但由于地块长期闲置，目前污水池中汇集约30m</w:t>
            </w:r>
            <w:r>
              <w:rPr>
                <w:rFonts w:hint="eastAsia"/>
                <w:color w:val="auto"/>
                <w:sz w:val="24"/>
                <w:u w:val="none"/>
                <w:vertAlign w:val="superscript"/>
              </w:rPr>
              <w:t>3</w:t>
            </w:r>
            <w:r>
              <w:rPr>
                <w:rFonts w:hint="eastAsia"/>
                <w:color w:val="auto"/>
                <w:sz w:val="24"/>
                <w:u w:val="none"/>
              </w:rPr>
              <w:t>雨水，本项目施工期间，将污水池内遗留废水经沉淀处理后排入园区</w:t>
            </w:r>
            <w:r>
              <w:rPr>
                <w:rFonts w:hint="eastAsia"/>
                <w:color w:val="auto"/>
                <w:sz w:val="24"/>
                <w:u w:val="none"/>
                <w:lang w:val="en-US" w:eastAsia="zh-CN"/>
              </w:rPr>
              <w:t>污水</w:t>
            </w:r>
            <w:r>
              <w:rPr>
                <w:rFonts w:hint="eastAsia"/>
                <w:color w:val="auto"/>
                <w:sz w:val="24"/>
                <w:u w:val="none"/>
              </w:rPr>
              <w:t>管网。</w:t>
            </w:r>
          </w:p>
          <w:p>
            <w:pPr>
              <w:spacing w:line="360" w:lineRule="auto"/>
              <w:ind w:firstLine="480" w:firstLineChars="200"/>
              <w:rPr>
                <w:rFonts w:hint="default" w:eastAsia="宋体"/>
                <w:color w:val="auto"/>
                <w:sz w:val="24"/>
                <w:u w:val="none"/>
                <w:lang w:val="en-US" w:eastAsia="zh-CN"/>
              </w:rPr>
            </w:pPr>
            <w:r>
              <w:rPr>
                <w:rFonts w:hint="eastAsia"/>
                <w:color w:val="auto"/>
                <w:sz w:val="24"/>
                <w:u w:val="none"/>
              </w:rPr>
              <w:t>固体废物：原遗留废木材、废包装等一般工业固废已委托资源回收单位综合利用。地块原设有1处危废暂存间，曾储存污水处理站污泥、压滤污泥、除尘器粉尘、废过滤芯、废包装容器、废油墨渣、废活性炭等危险废物。</w:t>
            </w:r>
            <w:r>
              <w:rPr>
                <w:rFonts w:hint="eastAsia"/>
                <w:color w:val="auto"/>
                <w:sz w:val="24"/>
                <w:u w:val="none"/>
                <w:lang w:val="en-US" w:eastAsia="zh-CN"/>
              </w:rPr>
              <w:t>大部分</w:t>
            </w:r>
            <w:r>
              <w:rPr>
                <w:rFonts w:hint="eastAsia"/>
                <w:color w:val="auto"/>
                <w:sz w:val="24"/>
                <w:u w:val="none"/>
              </w:rPr>
              <w:t>遗留危废已由</w:t>
            </w:r>
            <w:r>
              <w:rPr>
                <w:color w:val="auto"/>
                <w:sz w:val="24"/>
                <w:u w:val="none"/>
              </w:rPr>
              <w:t>湖南驿通电子科技有限公司</w:t>
            </w:r>
            <w:r>
              <w:rPr>
                <w:rFonts w:hint="eastAsia"/>
                <w:color w:val="auto"/>
                <w:sz w:val="24"/>
                <w:u w:val="none"/>
              </w:rPr>
              <w:t>委托湖南洋沙湖危险废物治理有限公司、永兴鹏琨环保有限公司、</w:t>
            </w:r>
            <w:r>
              <w:rPr>
                <w:rFonts w:hint="eastAsia"/>
                <w:color w:val="auto"/>
                <w:sz w:val="24"/>
                <w:u w:val="none"/>
                <w:lang w:val="en-US" w:eastAsia="zh-CN"/>
              </w:rPr>
              <w:t>汨罗</w:t>
            </w:r>
            <w:r>
              <w:rPr>
                <w:color w:val="auto"/>
                <w:sz w:val="24"/>
                <w:u w:val="none"/>
              </w:rPr>
              <w:t>万容固体废物处理有限公司</w:t>
            </w:r>
            <w:r>
              <w:rPr>
                <w:rFonts w:hint="eastAsia"/>
                <w:color w:val="auto"/>
                <w:sz w:val="24"/>
                <w:u w:val="none"/>
              </w:rPr>
              <w:t>、</w:t>
            </w:r>
            <w:r>
              <w:rPr>
                <w:color w:val="auto"/>
                <w:sz w:val="24"/>
                <w:u w:val="none"/>
              </w:rPr>
              <w:t>永兴县元泰应用材料有限公司</w:t>
            </w:r>
            <w:r>
              <w:rPr>
                <w:rFonts w:hint="eastAsia"/>
                <w:color w:val="auto"/>
                <w:sz w:val="24"/>
                <w:u w:val="none"/>
              </w:rPr>
              <w:t>处置，危废处置合同及转移联单详见附件</w:t>
            </w:r>
            <w:r>
              <w:rPr>
                <w:rFonts w:hint="eastAsia"/>
                <w:color w:val="auto"/>
                <w:sz w:val="24"/>
                <w:u w:val="none"/>
                <w:lang w:val="en-US" w:eastAsia="zh-CN"/>
              </w:rPr>
              <w:t>7</w:t>
            </w:r>
            <w:r>
              <w:rPr>
                <w:rFonts w:hint="eastAsia"/>
                <w:color w:val="auto"/>
                <w:sz w:val="24"/>
                <w:u w:val="none"/>
              </w:rPr>
              <w:t>。</w:t>
            </w:r>
            <w:r>
              <w:rPr>
                <w:rFonts w:hint="eastAsia"/>
                <w:color w:val="auto"/>
                <w:sz w:val="24"/>
                <w:u w:val="none"/>
                <w:lang w:val="en-US" w:eastAsia="zh-CN"/>
              </w:rPr>
              <w:t>目前仍遗留少量危险废物，</w:t>
            </w:r>
            <w:r>
              <w:rPr>
                <w:rFonts w:hint="eastAsia"/>
                <w:color w:val="auto"/>
                <w:sz w:val="24"/>
                <w:u w:val="none"/>
              </w:rPr>
              <w:t>由</w:t>
            </w:r>
            <w:r>
              <w:rPr>
                <w:color w:val="auto"/>
                <w:sz w:val="24"/>
                <w:u w:val="none"/>
              </w:rPr>
              <w:t>湖南驿通电子科技有限公司</w:t>
            </w:r>
            <w:r>
              <w:rPr>
                <w:rFonts w:hint="eastAsia"/>
                <w:color w:val="auto"/>
                <w:sz w:val="24"/>
                <w:u w:val="none"/>
                <w:lang w:val="en-US" w:eastAsia="zh-CN"/>
              </w:rPr>
              <w:t>负责外委转移处置，计划在本项目投产前全部清除。</w:t>
            </w:r>
          </w:p>
          <w:p>
            <w:pPr>
              <w:spacing w:line="360" w:lineRule="auto"/>
              <w:ind w:firstLine="482" w:firstLineChars="200"/>
              <w:rPr>
                <w:rFonts w:hint="default" w:eastAsia="宋体"/>
                <w:b/>
                <w:bCs/>
                <w:color w:val="auto"/>
                <w:sz w:val="24"/>
                <w:u w:val="none"/>
                <w:lang w:val="en-US" w:eastAsia="zh-CN"/>
              </w:rPr>
            </w:pPr>
            <w:r>
              <w:rPr>
                <w:rFonts w:hint="eastAsia"/>
                <w:b/>
                <w:bCs/>
                <w:color w:val="auto"/>
                <w:sz w:val="24"/>
                <w:u w:val="none"/>
                <w:lang w:eastAsia="zh-CN"/>
              </w:rPr>
              <w:t>（</w:t>
            </w:r>
            <w:r>
              <w:rPr>
                <w:rFonts w:hint="eastAsia"/>
                <w:b/>
                <w:bCs/>
                <w:color w:val="auto"/>
                <w:sz w:val="24"/>
                <w:u w:val="none"/>
                <w:lang w:val="en-US" w:eastAsia="zh-CN"/>
              </w:rPr>
              <w:t>4</w:t>
            </w:r>
            <w:r>
              <w:rPr>
                <w:rFonts w:hint="eastAsia"/>
                <w:b/>
                <w:bCs/>
                <w:color w:val="auto"/>
                <w:sz w:val="24"/>
                <w:u w:val="none"/>
                <w:lang w:eastAsia="zh-CN"/>
              </w:rPr>
              <w:t>）</w:t>
            </w:r>
            <w:r>
              <w:rPr>
                <w:rFonts w:hint="eastAsia"/>
                <w:b/>
                <w:bCs/>
                <w:color w:val="auto"/>
                <w:sz w:val="24"/>
                <w:u w:val="none"/>
                <w:lang w:val="en-US" w:eastAsia="zh-CN"/>
              </w:rPr>
              <w:t>遗留企业处置情况</w:t>
            </w:r>
          </w:p>
          <w:p>
            <w:pPr>
              <w:spacing w:line="360" w:lineRule="auto"/>
              <w:ind w:firstLine="480" w:firstLineChars="200"/>
              <w:rPr>
                <w:rFonts w:hint="eastAsia"/>
                <w:color w:val="auto"/>
                <w:sz w:val="24"/>
                <w:u w:val="none"/>
                <w:lang w:val="en-US" w:eastAsia="zh-CN"/>
              </w:rPr>
            </w:pPr>
            <w:r>
              <w:rPr>
                <w:rFonts w:hint="eastAsia"/>
                <w:color w:val="auto"/>
                <w:sz w:val="24"/>
                <w:u w:val="none"/>
                <w:lang w:val="en-US" w:eastAsia="zh-CN"/>
              </w:rPr>
              <w:t>场地内4#车间内已全部清空，1~3#车间仍遗留部分企业，均为湖南金甸甸食品有限公司</w:t>
            </w:r>
            <w:r>
              <w:rPr>
                <w:rFonts w:hint="eastAsia"/>
                <w:color w:val="auto"/>
                <w:sz w:val="24"/>
                <w:u w:val="none"/>
              </w:rPr>
              <w:t>购入</w:t>
            </w:r>
            <w:r>
              <w:rPr>
                <w:rFonts w:hint="eastAsia"/>
                <w:color w:val="auto"/>
                <w:sz w:val="24"/>
                <w:u w:val="none"/>
                <w:lang w:val="en-US" w:eastAsia="zh-CN"/>
              </w:rPr>
              <w:t>厂房前已入驻企业，遗留企业名单及处置情况如下：</w:t>
            </w:r>
          </w:p>
          <w:p>
            <w:pPr>
              <w:spacing w:line="360" w:lineRule="auto"/>
              <w:jc w:val="center"/>
              <w:rPr>
                <w:rFonts w:hint="default"/>
                <w:b/>
                <w:bCs/>
                <w:color w:val="auto"/>
                <w:sz w:val="24"/>
                <w:u w:val="none"/>
                <w:lang w:val="en-US" w:eastAsia="zh-CN"/>
              </w:rPr>
            </w:pPr>
            <w:r>
              <w:rPr>
                <w:rFonts w:hint="eastAsia"/>
                <w:b/>
                <w:bCs/>
                <w:color w:val="auto"/>
                <w:sz w:val="24"/>
                <w:u w:val="none"/>
                <w:lang w:val="en-US" w:eastAsia="zh-CN"/>
              </w:rPr>
              <w:t>表2.12-9 场地遗留企业处置情况</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
              <w:gridCol w:w="3462"/>
              <w:gridCol w:w="1764"/>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2"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序号</w:t>
                  </w:r>
                </w:p>
              </w:tc>
              <w:tc>
                <w:tcPr>
                  <w:tcW w:w="2066"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企业名称</w:t>
                  </w:r>
                </w:p>
              </w:tc>
              <w:tc>
                <w:tcPr>
                  <w:tcW w:w="1053"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处置方式</w:t>
                  </w:r>
                </w:p>
              </w:tc>
              <w:tc>
                <w:tcPr>
                  <w:tcW w:w="1257" w:type="pct"/>
                  <w:vAlign w:val="center"/>
                </w:tcPr>
                <w:p>
                  <w:pPr>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撤场时间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2"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1</w:t>
                  </w:r>
                </w:p>
              </w:tc>
              <w:tc>
                <w:tcPr>
                  <w:tcW w:w="2066"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海哥家具厂</w:t>
                  </w:r>
                </w:p>
              </w:tc>
              <w:tc>
                <w:tcPr>
                  <w:tcW w:w="1053"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撤场</w:t>
                  </w:r>
                </w:p>
              </w:tc>
              <w:tc>
                <w:tcPr>
                  <w:tcW w:w="1257" w:type="pct"/>
                  <w:vMerge w:val="restar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2026.8.31前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2"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2</w:t>
                  </w:r>
                </w:p>
              </w:tc>
              <w:tc>
                <w:tcPr>
                  <w:tcW w:w="2066"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湘阴县卓尊新型包装材料有限公司</w:t>
                  </w:r>
                </w:p>
              </w:tc>
              <w:tc>
                <w:tcPr>
                  <w:tcW w:w="1053"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撤场</w:t>
                  </w:r>
                </w:p>
              </w:tc>
              <w:tc>
                <w:tcPr>
                  <w:tcW w:w="1257" w:type="pct"/>
                  <w:vMerge w:val="continue"/>
                  <w:vAlign w:val="center"/>
                </w:tcPr>
                <w:p>
                  <w:pPr>
                    <w:jc w:val="center"/>
                    <w:rPr>
                      <w:rFonts w:hint="default"/>
                      <w:color w:val="auto"/>
                      <w:sz w:val="21"/>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2"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3</w:t>
                  </w:r>
                </w:p>
              </w:tc>
              <w:tc>
                <w:tcPr>
                  <w:tcW w:w="2066"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冯德求家具厂</w:t>
                  </w:r>
                </w:p>
              </w:tc>
              <w:tc>
                <w:tcPr>
                  <w:tcW w:w="1053" w:type="pct"/>
                  <w:vAlign w:val="center"/>
                </w:tcPr>
                <w:p>
                  <w:pPr>
                    <w:jc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撤场</w:t>
                  </w:r>
                </w:p>
              </w:tc>
              <w:tc>
                <w:tcPr>
                  <w:tcW w:w="1257" w:type="pct"/>
                  <w:vMerge w:val="continue"/>
                  <w:vAlign w:val="center"/>
                </w:tcPr>
                <w:p>
                  <w:pPr>
                    <w:jc w:val="center"/>
                    <w:rPr>
                      <w:rFonts w:hint="default"/>
                      <w:color w:val="auto"/>
                      <w:sz w:val="21"/>
                      <w:szCs w:val="21"/>
                      <w:u w:val="none"/>
                      <w:vertAlign w:val="baseline"/>
                      <w:lang w:val="en-US" w:eastAsia="zh-CN"/>
                    </w:rPr>
                  </w:pPr>
                </w:p>
              </w:tc>
            </w:tr>
          </w:tbl>
          <w:p>
            <w:pPr>
              <w:spacing w:line="360" w:lineRule="auto"/>
              <w:ind w:firstLine="480" w:firstLineChars="200"/>
              <w:rPr>
                <w:rFonts w:hint="default" w:eastAsia="宋体"/>
                <w:color w:val="auto"/>
                <w:sz w:val="24"/>
                <w:u w:val="none"/>
                <w:lang w:val="en-US" w:eastAsia="zh-CN"/>
              </w:rPr>
            </w:pPr>
            <w:r>
              <w:rPr>
                <w:rFonts w:hint="eastAsia"/>
                <w:color w:val="auto"/>
                <w:sz w:val="24"/>
                <w:u w:val="none"/>
                <w:lang w:val="en-US" w:eastAsia="zh-CN"/>
              </w:rPr>
              <w:t>因遗留企业不符合</w:t>
            </w:r>
            <w:r>
              <w:rPr>
                <w:color w:val="auto"/>
                <w:kern w:val="0"/>
                <w:sz w:val="24"/>
                <w:u w:val="none"/>
              </w:rPr>
              <w:t>《湘阴高新技术产业开发区调区扩区规划环境影响报告书》</w:t>
            </w:r>
            <w:r>
              <w:rPr>
                <w:rFonts w:hint="eastAsia"/>
                <w:color w:val="auto"/>
                <w:sz w:val="24"/>
                <w:u w:val="none"/>
                <w:lang w:val="en-US" w:eastAsia="zh-CN"/>
              </w:rPr>
              <w:t>对于本地块的产业布局，且上述企业环境污染以有机废气为主，为避免对本项目生产造成影响，计划在本项目投产前全部撤场搬离，要求建设单位督促遗留企业尽快撤场，并要求其在搬离过程中加强环境管理，设备设施、原辅材料、产品、固体废物等全部搬离，避免遗留环境污染。</w:t>
            </w:r>
          </w:p>
          <w:p>
            <w:pPr>
              <w:spacing w:line="360" w:lineRule="auto"/>
              <w:ind w:firstLine="480" w:firstLineChars="200"/>
              <w:rPr>
                <w:color w:val="auto"/>
                <w:sz w:val="24"/>
                <w:u w:val="none"/>
              </w:rPr>
            </w:pPr>
          </w:p>
        </w:tc>
      </w:tr>
    </w:tbl>
    <w:p>
      <w:pPr>
        <w:pStyle w:val="23"/>
        <w:adjustRightInd w:val="0"/>
        <w:snapToGrid w:val="0"/>
        <w:spacing w:before="0" w:beforeAutospacing="0" w:after="0" w:afterAutospacing="0" w:line="14" w:lineRule="auto"/>
        <w:jc w:val="center"/>
        <w:rPr>
          <w:rFonts w:ascii="Times New Roman" w:hAnsi="Times New Roman"/>
          <w:snapToGrid w:val="0"/>
          <w:color w:val="auto"/>
          <w:sz w:val="30"/>
          <w:szCs w:val="30"/>
          <w:u w:val="none"/>
        </w:rPr>
      </w:pPr>
    </w:p>
    <w:p>
      <w:pPr>
        <w:pStyle w:val="23"/>
        <w:jc w:val="center"/>
        <w:outlineLvl w:val="0"/>
        <w:rPr>
          <w:rFonts w:ascii="Times New Roman" w:hAnsi="Times New Roman"/>
          <w:snapToGrid w:val="0"/>
          <w:color w:val="auto"/>
          <w:sz w:val="30"/>
          <w:szCs w:val="30"/>
          <w:u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3"/>
        <w:jc w:val="center"/>
        <w:outlineLvl w:val="0"/>
        <w:rPr>
          <w:rFonts w:ascii="Times New Roman" w:hAnsi="Times New Roman"/>
          <w:snapToGrid w:val="0"/>
          <w:color w:val="auto"/>
          <w:sz w:val="30"/>
          <w:szCs w:val="30"/>
          <w:u w:val="none"/>
        </w:rPr>
      </w:pPr>
      <w:bookmarkStart w:id="7" w:name="_Toc13853"/>
      <w:r>
        <w:rPr>
          <w:rFonts w:ascii="Times New Roman" w:hAnsi="Times New Roman"/>
          <w:snapToGrid w:val="0"/>
          <w:color w:val="auto"/>
          <w:sz w:val="30"/>
          <w:szCs w:val="30"/>
          <w:u w:val="none"/>
        </w:rPr>
        <w:t>三、区域环境质量现状、环境保护目标及评价标准</w:t>
      </w:r>
      <w:bookmarkEnd w:id="7"/>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820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620" w:type="dxa"/>
            <w:vAlign w:val="center"/>
          </w:tcPr>
          <w:p>
            <w:pPr>
              <w:adjustRightInd w:val="0"/>
              <w:snapToGrid w:val="0"/>
              <w:jc w:val="center"/>
              <w:rPr>
                <w:color w:val="auto"/>
                <w:kern w:val="0"/>
                <w:sz w:val="24"/>
                <w:u w:val="none"/>
              </w:rPr>
            </w:pPr>
            <w:r>
              <w:rPr>
                <w:color w:val="auto"/>
                <w:kern w:val="0"/>
                <w:sz w:val="24"/>
                <w:u w:val="none"/>
              </w:rPr>
              <w:t>区域</w:t>
            </w:r>
          </w:p>
          <w:p>
            <w:pPr>
              <w:adjustRightInd w:val="0"/>
              <w:snapToGrid w:val="0"/>
              <w:jc w:val="center"/>
              <w:rPr>
                <w:color w:val="auto"/>
                <w:kern w:val="0"/>
                <w:sz w:val="24"/>
                <w:u w:val="none"/>
              </w:rPr>
            </w:pPr>
            <w:r>
              <w:rPr>
                <w:color w:val="auto"/>
                <w:kern w:val="0"/>
                <w:sz w:val="24"/>
                <w:u w:val="none"/>
              </w:rPr>
              <w:t>环境</w:t>
            </w:r>
          </w:p>
          <w:p>
            <w:pPr>
              <w:adjustRightInd w:val="0"/>
              <w:snapToGrid w:val="0"/>
              <w:jc w:val="center"/>
              <w:rPr>
                <w:color w:val="auto"/>
                <w:kern w:val="0"/>
                <w:sz w:val="24"/>
                <w:u w:val="none"/>
              </w:rPr>
            </w:pPr>
            <w:r>
              <w:rPr>
                <w:color w:val="auto"/>
                <w:kern w:val="0"/>
                <w:sz w:val="24"/>
                <w:u w:val="none"/>
              </w:rPr>
              <w:t>质量</w:t>
            </w:r>
          </w:p>
          <w:p>
            <w:pPr>
              <w:adjustRightInd w:val="0"/>
              <w:snapToGrid w:val="0"/>
              <w:jc w:val="center"/>
              <w:rPr>
                <w:color w:val="auto"/>
                <w:kern w:val="0"/>
                <w:sz w:val="24"/>
                <w:u w:val="none"/>
              </w:rPr>
            </w:pPr>
            <w:r>
              <w:rPr>
                <w:color w:val="auto"/>
                <w:kern w:val="0"/>
                <w:sz w:val="24"/>
                <w:u w:val="none"/>
              </w:rPr>
              <w:t>现状</w:t>
            </w:r>
          </w:p>
        </w:tc>
        <w:tc>
          <w:tcPr>
            <w:tcW w:w="8205" w:type="dxa"/>
            <w:vAlign w:val="center"/>
          </w:tcPr>
          <w:p>
            <w:pPr>
              <w:pStyle w:val="75"/>
              <w:spacing w:line="360" w:lineRule="auto"/>
              <w:ind w:firstLine="0"/>
              <w:rPr>
                <w:b/>
                <w:color w:val="auto"/>
                <w:sz w:val="24"/>
                <w:szCs w:val="24"/>
                <w:u w:val="none"/>
              </w:rPr>
            </w:pPr>
            <w:r>
              <w:rPr>
                <w:rFonts w:hint="eastAsia"/>
                <w:b/>
                <w:color w:val="auto"/>
                <w:sz w:val="24"/>
                <w:szCs w:val="24"/>
                <w:u w:val="none"/>
              </w:rPr>
              <w:t xml:space="preserve">3.1 </w:t>
            </w:r>
            <w:r>
              <w:rPr>
                <w:b/>
                <w:color w:val="auto"/>
                <w:sz w:val="24"/>
                <w:szCs w:val="24"/>
                <w:u w:val="none"/>
              </w:rPr>
              <w:t>大气环境质量现状</w:t>
            </w:r>
          </w:p>
          <w:p>
            <w:pPr>
              <w:spacing w:line="360" w:lineRule="auto"/>
              <w:ind w:firstLine="480"/>
              <w:rPr>
                <w:b/>
                <w:bCs/>
                <w:color w:val="auto"/>
                <w:sz w:val="24"/>
                <w:u w:val="none"/>
              </w:rPr>
            </w:pPr>
            <w:r>
              <w:rPr>
                <w:rFonts w:hint="eastAsia"/>
                <w:b/>
                <w:bCs/>
                <w:color w:val="auto"/>
                <w:sz w:val="24"/>
                <w:u w:val="none"/>
              </w:rPr>
              <w:t>3.1.1 基本污染物</w:t>
            </w:r>
          </w:p>
          <w:p>
            <w:pPr>
              <w:autoSpaceDE w:val="0"/>
              <w:adjustRightInd w:val="0"/>
              <w:snapToGrid w:val="0"/>
              <w:spacing w:line="360" w:lineRule="auto"/>
              <w:ind w:firstLine="482"/>
              <w:rPr>
                <w:rFonts w:hint="default" w:ascii="Times New Roman" w:hAnsi="Times New Roman" w:cs="Times New Roman"/>
                <w:color w:val="auto"/>
                <w:sz w:val="24"/>
                <w:u w:val="none"/>
              </w:rPr>
            </w:pPr>
            <w:r>
              <w:rPr>
                <w:rFonts w:ascii="宋体" w:hAnsi="宋体"/>
                <w:color w:val="auto"/>
                <w:sz w:val="24"/>
                <w:u w:val="none"/>
              </w:rPr>
              <w:t>根据《环境影响评价技术导则</w:t>
            </w:r>
            <w:r>
              <w:rPr>
                <w:color w:val="auto"/>
                <w:sz w:val="24"/>
                <w:u w:val="none"/>
              </w:rPr>
              <w:t>—</w:t>
            </w:r>
            <w:r>
              <w:rPr>
                <w:rFonts w:ascii="宋体" w:hAnsi="宋体"/>
                <w:color w:val="auto"/>
                <w:sz w:val="24"/>
                <w:u w:val="none"/>
              </w:rPr>
              <w:t>大气环境》（</w:t>
            </w:r>
            <w:r>
              <w:rPr>
                <w:color w:val="auto"/>
                <w:sz w:val="24"/>
                <w:u w:val="none"/>
              </w:rPr>
              <w:t>HJ2.2-2018</w:t>
            </w:r>
            <w:r>
              <w:rPr>
                <w:rFonts w:ascii="宋体" w:hAnsi="宋体"/>
                <w:color w:val="auto"/>
                <w:sz w:val="24"/>
                <w:u w:val="none"/>
              </w:rPr>
              <w:t>），项目所在区域达标情况判定优先采用国家或地方生态环境主管部门公开发布的环境质量公告或环境质量报告中的数据或结论。</w:t>
            </w:r>
          </w:p>
          <w:p>
            <w:pPr>
              <w:autoSpaceDE w:val="0"/>
              <w:adjustRightInd w:val="0"/>
              <w:snapToGrid w:val="0"/>
              <w:spacing w:line="360" w:lineRule="auto"/>
              <w:ind w:firstLine="482"/>
              <w:rPr>
                <w:rFonts w:hint="default" w:ascii="Times New Roman" w:hAnsi="Times New Roman" w:eastAsia="宋体" w:cs="Times New Roman"/>
                <w:color w:val="auto"/>
                <w:sz w:val="24"/>
                <w:u w:val="none"/>
                <w:lang w:val="en-US" w:eastAsia="zh-CN"/>
              </w:rPr>
            </w:pPr>
            <w:r>
              <w:rPr>
                <w:rFonts w:hint="default" w:ascii="Times New Roman" w:hAnsi="Times New Roman" w:cs="Times New Roman"/>
                <w:color w:val="auto"/>
                <w:sz w:val="24"/>
                <w:u w:val="none"/>
              </w:rPr>
              <w:t>本项目所在区域达标判定数据来源于岳阳市生态环境局发布的《岳阳市2025年度生态环境质量公报》</w:t>
            </w:r>
            <w:r>
              <w:rPr>
                <w:rFonts w:hint="default" w:ascii="Times New Roman" w:hAnsi="Times New Roman" w:cs="Times New Roman"/>
                <w:color w:val="auto"/>
                <w:sz w:val="24"/>
                <w:u w:val="none"/>
                <w:lang w:eastAsia="zh-CN"/>
              </w:rPr>
              <w:t>（</w:t>
            </w:r>
            <w:r>
              <w:rPr>
                <w:rFonts w:hint="default" w:ascii="Times New Roman" w:hAnsi="Times New Roman" w:cs="Times New Roman"/>
                <w:color w:val="auto"/>
                <w:sz w:val="24"/>
                <w:u w:val="none"/>
                <w:lang w:val="en-US" w:eastAsia="zh-CN"/>
              </w:rPr>
              <w:t>网址：https://www.yueyang.gov.cn/ztxx/65997/65998/66006/content_2381439.html</w:t>
            </w:r>
            <w:r>
              <w:rPr>
                <w:rFonts w:hint="default" w:ascii="Times New Roman" w:hAnsi="Times New Roman" w:cs="Times New Roman"/>
                <w:color w:val="auto"/>
                <w:sz w:val="24"/>
                <w:u w:val="none"/>
                <w:lang w:eastAsia="zh-CN"/>
              </w:rPr>
              <w:t>）</w:t>
            </w:r>
            <w:r>
              <w:rPr>
                <w:rFonts w:hint="default" w:ascii="Times New Roman" w:hAnsi="Times New Roman" w:cs="Times New Roman"/>
                <w:color w:val="auto"/>
                <w:sz w:val="24"/>
                <w:u w:val="none"/>
              </w:rPr>
              <w:t>中关于湘阴县的环境空气质量现状数据，</w:t>
            </w:r>
            <w:r>
              <w:rPr>
                <w:rFonts w:hint="default" w:ascii="Times New Roman" w:hAnsi="Times New Roman" w:cs="Times New Roman"/>
                <w:color w:val="auto"/>
                <w:sz w:val="24"/>
                <w:u w:val="none"/>
                <w:lang w:val="en-US" w:eastAsia="zh-CN"/>
              </w:rPr>
              <w:t>截图如下：</w:t>
            </w:r>
          </w:p>
          <w:p>
            <w:pPr>
              <w:autoSpaceDE w:val="0"/>
              <w:adjustRightInd w:val="0"/>
              <w:snapToGrid w:val="0"/>
              <w:spacing w:line="360" w:lineRule="auto"/>
              <w:rPr>
                <w:rFonts w:ascii="宋体" w:hAnsi="宋体"/>
                <w:color w:val="auto"/>
                <w:sz w:val="24"/>
                <w:u w:val="none"/>
              </w:rPr>
            </w:pPr>
            <w:r>
              <w:rPr>
                <w:color w:val="auto"/>
                <w:u w:val="none"/>
              </w:rPr>
              <w:drawing>
                <wp:inline distT="0" distB="0" distL="114300" distR="114300">
                  <wp:extent cx="5067935" cy="3128010"/>
                  <wp:effectExtent l="0" t="0" r="635" b="635"/>
                  <wp:docPr id="7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7"/>
                          <pic:cNvPicPr>
                            <a:picLocks noChangeAspect="1"/>
                          </pic:cNvPicPr>
                        </pic:nvPicPr>
                        <pic:blipFill>
                          <a:blip r:embed="rId29"/>
                          <a:stretch>
                            <a:fillRect/>
                          </a:stretch>
                        </pic:blipFill>
                        <pic:spPr>
                          <a:xfrm>
                            <a:off x="0" y="0"/>
                            <a:ext cx="5067935" cy="3128010"/>
                          </a:xfrm>
                          <a:prstGeom prst="rect">
                            <a:avLst/>
                          </a:prstGeom>
                          <a:noFill/>
                          <a:ln>
                            <a:noFill/>
                          </a:ln>
                        </pic:spPr>
                      </pic:pic>
                    </a:graphicData>
                  </a:graphic>
                </wp:inline>
              </w:drawing>
            </w:r>
          </w:p>
          <w:p>
            <w:pPr>
              <w:autoSpaceDE w:val="0"/>
              <w:adjustRightInd w:val="0"/>
              <w:snapToGrid w:val="0"/>
              <w:spacing w:line="360" w:lineRule="auto"/>
              <w:ind w:firstLine="482"/>
              <w:rPr>
                <w:color w:val="auto"/>
                <w:sz w:val="24"/>
                <w:u w:val="none"/>
              </w:rPr>
            </w:pPr>
            <w:r>
              <w:rPr>
                <w:rFonts w:ascii="宋体" w:hAnsi="宋体"/>
                <w:color w:val="auto"/>
                <w:sz w:val="24"/>
                <w:u w:val="none"/>
              </w:rPr>
              <w:t>具体数据分析见下表：</w:t>
            </w:r>
          </w:p>
          <w:p>
            <w:pPr>
              <w:autoSpaceDE w:val="0"/>
              <w:jc w:val="center"/>
              <w:rPr>
                <w:b/>
                <w:color w:val="auto"/>
                <w:sz w:val="24"/>
                <w:u w:val="none"/>
              </w:rPr>
            </w:pPr>
            <w:r>
              <w:rPr>
                <w:rFonts w:ascii="宋体" w:hAnsi="宋体"/>
                <w:b/>
                <w:color w:val="auto"/>
                <w:sz w:val="24"/>
                <w:u w:val="none"/>
              </w:rPr>
              <w:t>表</w:t>
            </w:r>
            <w:r>
              <w:rPr>
                <w:b/>
                <w:color w:val="auto"/>
                <w:sz w:val="24"/>
                <w:u w:val="none"/>
              </w:rPr>
              <w:t>3</w:t>
            </w:r>
            <w:r>
              <w:rPr>
                <w:rFonts w:hint="eastAsia"/>
                <w:b/>
                <w:color w:val="auto"/>
                <w:sz w:val="24"/>
                <w:u w:val="none"/>
              </w:rPr>
              <w:t>.1</w:t>
            </w:r>
            <w:r>
              <w:rPr>
                <w:b/>
                <w:color w:val="auto"/>
                <w:sz w:val="24"/>
                <w:u w:val="none"/>
              </w:rPr>
              <w:t xml:space="preserve">-1    </w:t>
            </w:r>
            <w:r>
              <w:rPr>
                <w:rFonts w:ascii="宋体" w:hAnsi="宋体"/>
                <w:b/>
                <w:color w:val="auto"/>
                <w:sz w:val="24"/>
                <w:u w:val="none"/>
              </w:rPr>
              <w:t>区域空气质量现状评价表</w:t>
            </w:r>
            <w:r>
              <w:rPr>
                <w:rFonts w:hint="eastAsia" w:ascii="宋体" w:hAnsi="宋体"/>
                <w:b/>
                <w:color w:val="auto"/>
                <w:sz w:val="24"/>
                <w:u w:val="none"/>
              </w:rPr>
              <w:t xml:space="preserve">  单</w:t>
            </w:r>
            <w:r>
              <w:rPr>
                <w:b/>
                <w:color w:val="auto"/>
                <w:sz w:val="24"/>
                <w:u w:val="none"/>
              </w:rPr>
              <w:t>位：μg/m</w:t>
            </w:r>
            <w:r>
              <w:rPr>
                <w:b/>
                <w:color w:val="auto"/>
                <w:sz w:val="24"/>
                <w:u w:val="none"/>
                <w:vertAlign w:val="superscript"/>
              </w:rPr>
              <w:t>3</w:t>
            </w:r>
          </w:p>
          <w:tbl>
            <w:tblPr>
              <w:tblStyle w:val="28"/>
              <w:tblW w:w="49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2062"/>
              <w:gridCol w:w="1055"/>
              <w:gridCol w:w="905"/>
              <w:gridCol w:w="989"/>
              <w:gridCol w:w="931"/>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43" w:type="pct"/>
                  <w:vMerge w:val="restart"/>
                  <w:tcBorders>
                    <w:top w:val="single" w:color="auto" w:sz="4" w:space="0"/>
                    <w:left w:val="single" w:color="auto" w:sz="4" w:space="0"/>
                    <w:right w:val="single" w:color="auto" w:sz="4" w:space="0"/>
                  </w:tcBorders>
                  <w:vAlign w:val="center"/>
                </w:tcPr>
                <w:p>
                  <w:pPr>
                    <w:autoSpaceDE w:val="0"/>
                    <w:spacing w:before="24" w:beforeLines="10" w:after="24" w:afterLines="10"/>
                    <w:jc w:val="center"/>
                    <w:rPr>
                      <w:rFonts w:eastAsia="Times New Roman"/>
                      <w:b/>
                      <w:bCs/>
                      <w:color w:val="auto"/>
                      <w:szCs w:val="21"/>
                      <w:u w:val="none"/>
                    </w:rPr>
                  </w:pPr>
                  <w:r>
                    <w:rPr>
                      <w:rFonts w:ascii="宋体" w:hAnsi="宋体" w:eastAsia="Times New Roman"/>
                      <w:b/>
                      <w:bCs/>
                      <w:color w:val="auto"/>
                      <w:szCs w:val="21"/>
                      <w:u w:val="none"/>
                    </w:rPr>
                    <w:t>污染物</w:t>
                  </w:r>
                </w:p>
              </w:tc>
              <w:tc>
                <w:tcPr>
                  <w:tcW w:w="1313" w:type="pct"/>
                  <w:vMerge w:val="restart"/>
                  <w:tcBorders>
                    <w:top w:val="single" w:color="auto" w:sz="4" w:space="0"/>
                    <w:left w:val="single" w:color="auto" w:sz="4" w:space="0"/>
                    <w:right w:val="single" w:color="auto" w:sz="4" w:space="0"/>
                  </w:tcBorders>
                  <w:vAlign w:val="center"/>
                </w:tcPr>
                <w:p>
                  <w:pPr>
                    <w:autoSpaceDE w:val="0"/>
                    <w:spacing w:before="24" w:beforeLines="10" w:after="24" w:afterLines="10"/>
                    <w:jc w:val="center"/>
                    <w:rPr>
                      <w:rFonts w:eastAsia="Times New Roman"/>
                      <w:b/>
                      <w:bCs/>
                      <w:color w:val="auto"/>
                      <w:szCs w:val="21"/>
                      <w:u w:val="none"/>
                    </w:rPr>
                  </w:pPr>
                  <w:r>
                    <w:rPr>
                      <w:rFonts w:ascii="宋体" w:hAnsi="宋体" w:eastAsia="Times New Roman"/>
                      <w:b/>
                      <w:bCs/>
                      <w:color w:val="auto"/>
                      <w:szCs w:val="21"/>
                      <w:u w:val="none"/>
                    </w:rPr>
                    <w:t>年评价指标</w:t>
                  </w:r>
                </w:p>
              </w:tc>
              <w:tc>
                <w:tcPr>
                  <w:tcW w:w="672" w:type="pct"/>
                  <w:vMerge w:val="restart"/>
                  <w:tcBorders>
                    <w:top w:val="single" w:color="auto" w:sz="4" w:space="0"/>
                    <w:left w:val="single" w:color="auto" w:sz="4" w:space="0"/>
                    <w:right w:val="single" w:color="auto" w:sz="4" w:space="0"/>
                  </w:tcBorders>
                  <w:vAlign w:val="center"/>
                </w:tcPr>
                <w:p>
                  <w:pPr>
                    <w:autoSpaceDE w:val="0"/>
                    <w:spacing w:before="24" w:beforeLines="10" w:after="24" w:afterLines="10"/>
                    <w:jc w:val="center"/>
                    <w:rPr>
                      <w:rFonts w:eastAsia="Times New Roman"/>
                      <w:b/>
                      <w:bCs/>
                      <w:color w:val="auto"/>
                      <w:szCs w:val="21"/>
                      <w:u w:val="none"/>
                    </w:rPr>
                  </w:pPr>
                  <w:r>
                    <w:rPr>
                      <w:rFonts w:ascii="宋体" w:hAnsi="宋体" w:eastAsia="Times New Roman"/>
                      <w:b/>
                      <w:bCs/>
                      <w:color w:val="auto"/>
                      <w:szCs w:val="21"/>
                      <w:u w:val="none"/>
                    </w:rPr>
                    <w:t>现状浓度</w:t>
                  </w:r>
                </w:p>
              </w:tc>
              <w:tc>
                <w:tcPr>
                  <w:tcW w:w="1206" w:type="pct"/>
                  <w:gridSpan w:val="2"/>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heme="minorEastAsia"/>
                      <w:b/>
                      <w:bCs/>
                      <w:color w:val="auto"/>
                      <w:szCs w:val="21"/>
                      <w:u w:val="none"/>
                    </w:rPr>
                  </w:pPr>
                  <w:r>
                    <w:rPr>
                      <w:rFonts w:eastAsia="Times New Roman"/>
                      <w:b/>
                      <w:bCs/>
                      <w:color w:val="auto"/>
                      <w:szCs w:val="21"/>
                      <w:u w:val="none"/>
                    </w:rPr>
                    <w:t>GB3095-2012</w:t>
                  </w:r>
                </w:p>
                <w:p>
                  <w:pPr>
                    <w:autoSpaceDE w:val="0"/>
                    <w:spacing w:before="24" w:beforeLines="10" w:after="24" w:afterLines="10"/>
                    <w:jc w:val="center"/>
                    <w:rPr>
                      <w:rFonts w:eastAsia="Times New Roman"/>
                      <w:b/>
                      <w:bCs/>
                      <w:color w:val="auto"/>
                      <w:szCs w:val="21"/>
                      <w:u w:val="none"/>
                    </w:rPr>
                  </w:pPr>
                  <w:r>
                    <w:rPr>
                      <w:rFonts w:hint="eastAsia" w:ascii="宋体" w:hAnsi="宋体" w:cs="宋体"/>
                      <w:b/>
                      <w:bCs/>
                      <w:color w:val="auto"/>
                      <w:szCs w:val="21"/>
                      <w:u w:val="none"/>
                    </w:rPr>
                    <w:t>二级标准</w:t>
                  </w:r>
                </w:p>
              </w:tc>
              <w:tc>
                <w:tcPr>
                  <w:tcW w:w="1265" w:type="pct"/>
                  <w:gridSpan w:val="2"/>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b/>
                      <w:bCs/>
                      <w:color w:val="auto"/>
                      <w:szCs w:val="21"/>
                      <w:u w:val="none"/>
                    </w:rPr>
                  </w:pPr>
                  <w:r>
                    <w:rPr>
                      <w:rFonts w:eastAsia="Times New Roman"/>
                      <w:b/>
                      <w:bCs/>
                      <w:color w:val="auto"/>
                      <w:szCs w:val="21"/>
                      <w:u w:val="none"/>
                    </w:rPr>
                    <w:t>GB 3095-2026</w:t>
                  </w:r>
                  <w:r>
                    <w:rPr>
                      <w:rFonts w:hint="eastAsia" w:ascii="宋体" w:hAnsi="宋体" w:cs="宋体"/>
                      <w:b/>
                      <w:bCs/>
                      <w:color w:val="auto"/>
                      <w:szCs w:val="21"/>
                      <w:u w:val="none"/>
                    </w:rPr>
                    <w:t>过渡阶段二级标准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3" w:type="pct"/>
                  <w:vMerge w:val="continue"/>
                  <w:tcBorders>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b/>
                      <w:bCs/>
                      <w:color w:val="auto"/>
                      <w:szCs w:val="21"/>
                      <w:u w:val="none"/>
                    </w:rPr>
                  </w:pPr>
                </w:p>
              </w:tc>
              <w:tc>
                <w:tcPr>
                  <w:tcW w:w="1313" w:type="pct"/>
                  <w:vMerge w:val="continue"/>
                  <w:tcBorders>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b/>
                      <w:bCs/>
                      <w:color w:val="auto"/>
                      <w:szCs w:val="21"/>
                      <w:u w:val="none"/>
                    </w:rPr>
                  </w:pPr>
                </w:p>
              </w:tc>
              <w:tc>
                <w:tcPr>
                  <w:tcW w:w="672" w:type="pct"/>
                  <w:vMerge w:val="continue"/>
                  <w:tcBorders>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b/>
                      <w:bCs/>
                      <w:color w:val="auto"/>
                      <w:szCs w:val="21"/>
                      <w:u w:val="none"/>
                    </w:rPr>
                  </w:pPr>
                </w:p>
              </w:tc>
              <w:tc>
                <w:tcPr>
                  <w:tcW w:w="576"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b/>
                      <w:bCs/>
                      <w:color w:val="auto"/>
                      <w:szCs w:val="21"/>
                      <w:u w:val="none"/>
                    </w:rPr>
                  </w:pPr>
                  <w:r>
                    <w:rPr>
                      <w:rFonts w:ascii="宋体" w:hAnsi="宋体" w:eastAsia="Times New Roman"/>
                      <w:b/>
                      <w:bCs/>
                      <w:color w:val="auto"/>
                      <w:szCs w:val="21"/>
                      <w:u w:val="none"/>
                    </w:rPr>
                    <w:t>标准</w:t>
                  </w:r>
                  <w:r>
                    <w:rPr>
                      <w:rFonts w:hint="eastAsia" w:ascii="宋体" w:hAnsi="宋体" w:cs="宋体"/>
                      <w:b/>
                      <w:bCs/>
                      <w:color w:val="auto"/>
                      <w:szCs w:val="21"/>
                      <w:u w:val="none"/>
                    </w:rPr>
                    <w:t>值</w:t>
                  </w:r>
                </w:p>
              </w:tc>
              <w:tc>
                <w:tcPr>
                  <w:tcW w:w="630"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b/>
                      <w:bCs/>
                      <w:color w:val="auto"/>
                      <w:szCs w:val="21"/>
                      <w:u w:val="none"/>
                    </w:rPr>
                  </w:pPr>
                  <w:r>
                    <w:rPr>
                      <w:rFonts w:ascii="宋体" w:hAnsi="宋体" w:eastAsia="Times New Roman"/>
                      <w:b/>
                      <w:bCs/>
                      <w:color w:val="auto"/>
                      <w:szCs w:val="21"/>
                      <w:u w:val="none"/>
                    </w:rPr>
                    <w:t>达标情况</w:t>
                  </w:r>
                </w:p>
              </w:tc>
              <w:tc>
                <w:tcPr>
                  <w:tcW w:w="59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b/>
                      <w:bCs/>
                      <w:color w:val="auto"/>
                      <w:szCs w:val="21"/>
                      <w:u w:val="none"/>
                    </w:rPr>
                  </w:pPr>
                  <w:r>
                    <w:rPr>
                      <w:rFonts w:ascii="宋体" w:hAnsi="宋体" w:eastAsia="Times New Roman"/>
                      <w:b/>
                      <w:bCs/>
                      <w:color w:val="auto"/>
                      <w:szCs w:val="21"/>
                      <w:u w:val="none"/>
                    </w:rPr>
                    <w:t>标准</w:t>
                  </w:r>
                  <w:r>
                    <w:rPr>
                      <w:rFonts w:hint="eastAsia" w:ascii="宋体" w:hAnsi="宋体" w:cs="宋体"/>
                      <w:b/>
                      <w:bCs/>
                      <w:color w:val="auto"/>
                      <w:szCs w:val="21"/>
                      <w:u w:val="none"/>
                    </w:rPr>
                    <w:t>值</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b/>
                      <w:bCs/>
                      <w:color w:val="auto"/>
                      <w:szCs w:val="21"/>
                      <w:u w:val="none"/>
                    </w:rPr>
                  </w:pPr>
                  <w:r>
                    <w:rPr>
                      <w:rFonts w:ascii="宋体" w:hAnsi="宋体" w:eastAsia="Times New Roman"/>
                      <w:b/>
                      <w:bCs/>
                      <w:color w:val="auto"/>
                      <w:szCs w:val="21"/>
                      <w:u w:val="none"/>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SO</w:t>
                  </w:r>
                  <w:r>
                    <w:rPr>
                      <w:rFonts w:eastAsia="Times New Roman"/>
                      <w:color w:val="auto"/>
                      <w:szCs w:val="21"/>
                      <w:u w:val="none"/>
                      <w:vertAlign w:val="subscript"/>
                    </w:rPr>
                    <w:t>2</w:t>
                  </w:r>
                </w:p>
              </w:tc>
              <w:tc>
                <w:tcPr>
                  <w:tcW w:w="131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ascii="宋体" w:hAnsi="宋体" w:eastAsia="Times New Roman"/>
                      <w:color w:val="auto"/>
                      <w:szCs w:val="21"/>
                      <w:u w:val="none"/>
                    </w:rPr>
                    <w:t>年平均质量浓度</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6</w:t>
                  </w:r>
                </w:p>
              </w:tc>
              <w:tc>
                <w:tcPr>
                  <w:tcW w:w="576"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60</w:t>
                  </w:r>
                </w:p>
              </w:tc>
              <w:tc>
                <w:tcPr>
                  <w:tcW w:w="630"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ascii="宋体" w:hAnsi="宋体" w:eastAsia="Times New Roman"/>
                      <w:color w:val="auto"/>
                      <w:szCs w:val="21"/>
                      <w:u w:val="none"/>
                    </w:rPr>
                    <w:t>达标</w:t>
                  </w:r>
                </w:p>
              </w:tc>
              <w:tc>
                <w:tcPr>
                  <w:tcW w:w="59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heme="minorEastAsia"/>
                      <w:color w:val="auto"/>
                      <w:szCs w:val="21"/>
                      <w:u w:val="none"/>
                    </w:rPr>
                  </w:pPr>
                  <w:r>
                    <w:rPr>
                      <w:rFonts w:hint="eastAsia" w:eastAsiaTheme="minorEastAsia"/>
                      <w:color w:val="auto"/>
                      <w:szCs w:val="21"/>
                      <w:u w:val="none"/>
                    </w:rPr>
                    <w:t>60</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color w:val="auto"/>
                      <w:szCs w:val="21"/>
                      <w:u w:val="none"/>
                    </w:rPr>
                  </w:pPr>
                  <w:r>
                    <w:rPr>
                      <w:rFonts w:ascii="宋体" w:hAnsi="宋体" w:eastAsia="Times New Roman"/>
                      <w:color w:val="auto"/>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NO</w:t>
                  </w:r>
                  <w:r>
                    <w:rPr>
                      <w:rFonts w:eastAsia="Times New Roman"/>
                      <w:color w:val="auto"/>
                      <w:szCs w:val="21"/>
                      <w:u w:val="none"/>
                      <w:vertAlign w:val="subscript"/>
                    </w:rPr>
                    <w:t>2</w:t>
                  </w:r>
                </w:p>
              </w:tc>
              <w:tc>
                <w:tcPr>
                  <w:tcW w:w="131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ascii="宋体" w:hAnsi="宋体" w:eastAsia="Times New Roman"/>
                      <w:color w:val="auto"/>
                      <w:szCs w:val="21"/>
                      <w:u w:val="none"/>
                    </w:rPr>
                    <w:t>年平均质量浓度</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hint="eastAsia" w:eastAsia="宋体"/>
                      <w:color w:val="auto"/>
                      <w:szCs w:val="21"/>
                      <w:u w:val="none"/>
                      <w:lang w:eastAsia="zh-CN"/>
                    </w:rPr>
                  </w:pPr>
                  <w:r>
                    <w:rPr>
                      <w:rFonts w:eastAsia="Times New Roman"/>
                      <w:color w:val="auto"/>
                      <w:szCs w:val="21"/>
                      <w:u w:val="none"/>
                    </w:rPr>
                    <w:t>1</w:t>
                  </w:r>
                  <w:r>
                    <w:rPr>
                      <w:rFonts w:hint="eastAsia" w:eastAsia="宋体"/>
                      <w:color w:val="auto"/>
                      <w:szCs w:val="21"/>
                      <w:u w:val="none"/>
                      <w:lang w:val="en-US" w:eastAsia="zh-CN"/>
                    </w:rPr>
                    <w:t>6</w:t>
                  </w:r>
                </w:p>
              </w:tc>
              <w:tc>
                <w:tcPr>
                  <w:tcW w:w="576"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40</w:t>
                  </w:r>
                </w:p>
              </w:tc>
              <w:tc>
                <w:tcPr>
                  <w:tcW w:w="630"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ascii="宋体" w:hAnsi="宋体" w:eastAsia="Times New Roman"/>
                      <w:color w:val="auto"/>
                      <w:szCs w:val="21"/>
                      <w:u w:val="none"/>
                    </w:rPr>
                    <w:t>达标</w:t>
                  </w:r>
                </w:p>
              </w:tc>
              <w:tc>
                <w:tcPr>
                  <w:tcW w:w="59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heme="minorEastAsia"/>
                      <w:color w:val="auto"/>
                      <w:szCs w:val="21"/>
                      <w:u w:val="none"/>
                    </w:rPr>
                  </w:pPr>
                  <w:r>
                    <w:rPr>
                      <w:rFonts w:hint="eastAsia" w:eastAsiaTheme="minorEastAsia"/>
                      <w:color w:val="auto"/>
                      <w:szCs w:val="21"/>
                      <w:u w:val="none"/>
                    </w:rPr>
                    <w:t>40</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color w:val="auto"/>
                      <w:szCs w:val="21"/>
                      <w:u w:val="none"/>
                    </w:rPr>
                  </w:pPr>
                  <w:r>
                    <w:rPr>
                      <w:rFonts w:ascii="宋体" w:hAnsi="宋体" w:eastAsia="Times New Roman"/>
                      <w:color w:val="auto"/>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PM</w:t>
                  </w:r>
                  <w:r>
                    <w:rPr>
                      <w:rFonts w:eastAsia="Times New Roman"/>
                      <w:color w:val="auto"/>
                      <w:szCs w:val="21"/>
                      <w:u w:val="none"/>
                      <w:vertAlign w:val="subscript"/>
                    </w:rPr>
                    <w:t>10</w:t>
                  </w:r>
                </w:p>
              </w:tc>
              <w:tc>
                <w:tcPr>
                  <w:tcW w:w="131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ascii="宋体" w:hAnsi="宋体" w:eastAsia="Times New Roman"/>
                      <w:color w:val="auto"/>
                      <w:szCs w:val="21"/>
                      <w:u w:val="none"/>
                    </w:rPr>
                    <w:t>年平均质量浓度</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hint="default" w:eastAsia="宋体"/>
                      <w:color w:val="auto"/>
                      <w:szCs w:val="21"/>
                      <w:u w:val="none"/>
                      <w:lang w:val="en-US" w:eastAsia="zh-CN"/>
                    </w:rPr>
                  </w:pPr>
                  <w:r>
                    <w:rPr>
                      <w:rFonts w:hint="eastAsia" w:eastAsia="宋体"/>
                      <w:color w:val="auto"/>
                      <w:szCs w:val="21"/>
                      <w:u w:val="none"/>
                      <w:lang w:val="en-US" w:eastAsia="zh-CN"/>
                    </w:rPr>
                    <w:t>45</w:t>
                  </w:r>
                </w:p>
              </w:tc>
              <w:tc>
                <w:tcPr>
                  <w:tcW w:w="576"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70</w:t>
                  </w:r>
                </w:p>
              </w:tc>
              <w:tc>
                <w:tcPr>
                  <w:tcW w:w="630"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ascii="宋体" w:hAnsi="宋体" w:eastAsia="Times New Roman"/>
                      <w:color w:val="auto"/>
                      <w:szCs w:val="21"/>
                      <w:u w:val="none"/>
                    </w:rPr>
                    <w:t>达标</w:t>
                  </w:r>
                </w:p>
              </w:tc>
              <w:tc>
                <w:tcPr>
                  <w:tcW w:w="59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heme="minorEastAsia"/>
                      <w:color w:val="auto"/>
                      <w:szCs w:val="21"/>
                      <w:u w:val="none"/>
                    </w:rPr>
                  </w:pPr>
                  <w:r>
                    <w:rPr>
                      <w:rFonts w:hint="eastAsia" w:eastAsiaTheme="minorEastAsia"/>
                      <w:color w:val="auto"/>
                      <w:szCs w:val="21"/>
                      <w:u w:val="none"/>
                    </w:rPr>
                    <w:t>60</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color w:val="auto"/>
                      <w:szCs w:val="21"/>
                      <w:u w:val="none"/>
                    </w:rPr>
                  </w:pPr>
                  <w:r>
                    <w:rPr>
                      <w:rFonts w:ascii="宋体" w:hAnsi="宋体" w:eastAsia="Times New Roman"/>
                      <w:color w:val="auto"/>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PM</w:t>
                  </w:r>
                  <w:r>
                    <w:rPr>
                      <w:rFonts w:eastAsia="Times New Roman"/>
                      <w:color w:val="auto"/>
                      <w:szCs w:val="21"/>
                      <w:u w:val="none"/>
                      <w:vertAlign w:val="subscript"/>
                    </w:rPr>
                    <w:t>2.5</w:t>
                  </w:r>
                </w:p>
              </w:tc>
              <w:tc>
                <w:tcPr>
                  <w:tcW w:w="131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ascii="宋体" w:hAnsi="宋体" w:eastAsia="Times New Roman"/>
                      <w:color w:val="auto"/>
                      <w:szCs w:val="21"/>
                      <w:u w:val="none"/>
                    </w:rPr>
                    <w:t>年平均质量浓度</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hint="default" w:eastAsia="宋体"/>
                      <w:color w:val="auto"/>
                      <w:szCs w:val="21"/>
                      <w:u w:val="none"/>
                      <w:lang w:val="en-US" w:eastAsia="zh-CN"/>
                    </w:rPr>
                  </w:pPr>
                  <w:r>
                    <w:rPr>
                      <w:rFonts w:hint="eastAsia" w:eastAsia="宋体"/>
                      <w:color w:val="auto"/>
                      <w:szCs w:val="21"/>
                      <w:u w:val="none"/>
                      <w:lang w:val="en-US" w:eastAsia="zh-CN"/>
                    </w:rPr>
                    <w:t>31.6</w:t>
                  </w:r>
                </w:p>
              </w:tc>
              <w:tc>
                <w:tcPr>
                  <w:tcW w:w="576"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35</w:t>
                  </w:r>
                </w:p>
              </w:tc>
              <w:tc>
                <w:tcPr>
                  <w:tcW w:w="630"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ascii="宋体" w:hAnsi="宋体" w:eastAsia="Times New Roman"/>
                      <w:color w:val="auto"/>
                      <w:szCs w:val="21"/>
                      <w:u w:val="none"/>
                    </w:rPr>
                    <w:t>达标</w:t>
                  </w:r>
                </w:p>
              </w:tc>
              <w:tc>
                <w:tcPr>
                  <w:tcW w:w="59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heme="minorEastAsia"/>
                      <w:color w:val="auto"/>
                      <w:szCs w:val="21"/>
                      <w:u w:val="none"/>
                    </w:rPr>
                  </w:pPr>
                  <w:r>
                    <w:rPr>
                      <w:rFonts w:hint="eastAsia" w:eastAsiaTheme="minorEastAsia"/>
                      <w:color w:val="auto"/>
                      <w:szCs w:val="21"/>
                      <w:u w:val="none"/>
                    </w:rPr>
                    <w:t>30</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color w:val="auto"/>
                      <w:szCs w:val="21"/>
                      <w:u w:val="none"/>
                    </w:rPr>
                  </w:pPr>
                  <w:r>
                    <w:rPr>
                      <w:rFonts w:hint="eastAsia" w:ascii="宋体" w:hAnsi="宋体" w:cs="宋体"/>
                      <w:color w:val="auto"/>
                      <w:szCs w:val="21"/>
                      <w:u w:val="none"/>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CO</w:t>
                  </w:r>
                </w:p>
              </w:tc>
              <w:tc>
                <w:tcPr>
                  <w:tcW w:w="131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95%</w:t>
                  </w:r>
                  <w:r>
                    <w:rPr>
                      <w:rFonts w:ascii="宋体" w:hAnsi="宋体" w:eastAsia="Times New Roman"/>
                      <w:color w:val="auto"/>
                      <w:szCs w:val="21"/>
                      <w:u w:val="none"/>
                    </w:rPr>
                    <w:t>日平均质量浓度</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hint="default" w:eastAsia="宋体"/>
                      <w:color w:val="auto"/>
                      <w:szCs w:val="21"/>
                      <w:u w:val="none"/>
                      <w:lang w:val="en-US" w:eastAsia="zh-CN"/>
                    </w:rPr>
                  </w:pPr>
                  <w:r>
                    <w:rPr>
                      <w:rFonts w:hint="eastAsia" w:eastAsia="宋体"/>
                      <w:color w:val="auto"/>
                      <w:szCs w:val="21"/>
                      <w:u w:val="none"/>
                      <w:lang w:val="en-US" w:eastAsia="zh-CN"/>
                    </w:rPr>
                    <w:t>900</w:t>
                  </w:r>
                </w:p>
              </w:tc>
              <w:tc>
                <w:tcPr>
                  <w:tcW w:w="576"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4</w:t>
                  </w:r>
                  <w:r>
                    <w:rPr>
                      <w:rFonts w:hint="eastAsia" w:eastAsiaTheme="minorEastAsia"/>
                      <w:color w:val="auto"/>
                      <w:szCs w:val="21"/>
                      <w:u w:val="none"/>
                    </w:rPr>
                    <w:t>00</w:t>
                  </w:r>
                  <w:r>
                    <w:rPr>
                      <w:rFonts w:eastAsia="Times New Roman"/>
                      <w:color w:val="auto"/>
                      <w:szCs w:val="21"/>
                      <w:u w:val="none"/>
                    </w:rPr>
                    <w:t>0</w:t>
                  </w:r>
                </w:p>
              </w:tc>
              <w:tc>
                <w:tcPr>
                  <w:tcW w:w="630"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ascii="宋体" w:hAnsi="宋体" w:eastAsia="Times New Roman"/>
                      <w:color w:val="auto"/>
                      <w:szCs w:val="21"/>
                      <w:u w:val="none"/>
                    </w:rPr>
                    <w:t>达标</w:t>
                  </w:r>
                </w:p>
              </w:tc>
              <w:tc>
                <w:tcPr>
                  <w:tcW w:w="59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heme="minorEastAsia"/>
                      <w:color w:val="auto"/>
                      <w:szCs w:val="21"/>
                      <w:u w:val="none"/>
                    </w:rPr>
                  </w:pPr>
                  <w:r>
                    <w:rPr>
                      <w:rFonts w:hint="eastAsia" w:eastAsiaTheme="minorEastAsia"/>
                      <w:color w:val="auto"/>
                      <w:szCs w:val="21"/>
                      <w:u w:val="none"/>
                    </w:rPr>
                    <w:t>4000</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color w:val="auto"/>
                      <w:szCs w:val="21"/>
                      <w:u w:val="none"/>
                    </w:rPr>
                  </w:pPr>
                  <w:r>
                    <w:rPr>
                      <w:rFonts w:ascii="宋体" w:hAnsi="宋体" w:eastAsia="Times New Roman"/>
                      <w:color w:val="auto"/>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O</w:t>
                  </w:r>
                  <w:r>
                    <w:rPr>
                      <w:rFonts w:eastAsia="Times New Roman"/>
                      <w:color w:val="auto"/>
                      <w:szCs w:val="21"/>
                      <w:u w:val="none"/>
                      <w:vertAlign w:val="subscript"/>
                    </w:rPr>
                    <w:t>3</w:t>
                  </w:r>
                </w:p>
              </w:tc>
              <w:tc>
                <w:tcPr>
                  <w:tcW w:w="131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90%8h</w:t>
                  </w:r>
                  <w:r>
                    <w:rPr>
                      <w:rFonts w:ascii="宋体" w:hAnsi="宋体" w:eastAsia="Times New Roman"/>
                      <w:color w:val="auto"/>
                      <w:szCs w:val="21"/>
                      <w:u w:val="none"/>
                    </w:rPr>
                    <w:t>平均质量浓度</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hint="default" w:eastAsia="宋体"/>
                      <w:color w:val="auto"/>
                      <w:szCs w:val="21"/>
                      <w:u w:val="none"/>
                      <w:lang w:val="en-US" w:eastAsia="zh-CN"/>
                    </w:rPr>
                  </w:pPr>
                  <w:r>
                    <w:rPr>
                      <w:rFonts w:hint="eastAsia" w:eastAsia="宋体"/>
                      <w:color w:val="auto"/>
                      <w:szCs w:val="21"/>
                      <w:u w:val="none"/>
                      <w:lang w:val="en-US" w:eastAsia="zh-CN"/>
                    </w:rPr>
                    <w:t>138</w:t>
                  </w:r>
                </w:p>
              </w:tc>
              <w:tc>
                <w:tcPr>
                  <w:tcW w:w="576"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eastAsia="Times New Roman"/>
                      <w:color w:val="auto"/>
                      <w:szCs w:val="21"/>
                      <w:u w:val="none"/>
                    </w:rPr>
                    <w:t>160</w:t>
                  </w:r>
                </w:p>
              </w:tc>
              <w:tc>
                <w:tcPr>
                  <w:tcW w:w="630"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imes New Roman"/>
                      <w:color w:val="auto"/>
                      <w:szCs w:val="21"/>
                      <w:u w:val="none"/>
                    </w:rPr>
                  </w:pPr>
                  <w:r>
                    <w:rPr>
                      <w:rFonts w:ascii="宋体" w:hAnsi="宋体" w:eastAsia="Times New Roman"/>
                      <w:color w:val="auto"/>
                      <w:szCs w:val="21"/>
                      <w:u w:val="none"/>
                    </w:rPr>
                    <w:t>达标</w:t>
                  </w:r>
                </w:p>
              </w:tc>
              <w:tc>
                <w:tcPr>
                  <w:tcW w:w="593"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eastAsiaTheme="minorEastAsia"/>
                      <w:color w:val="auto"/>
                      <w:szCs w:val="21"/>
                      <w:u w:val="none"/>
                    </w:rPr>
                  </w:pPr>
                  <w:r>
                    <w:rPr>
                      <w:rFonts w:hint="eastAsia" w:eastAsiaTheme="minorEastAsia"/>
                      <w:color w:val="auto"/>
                      <w:szCs w:val="21"/>
                      <w:u w:val="none"/>
                    </w:rPr>
                    <w:t>160</w:t>
                  </w:r>
                </w:p>
              </w:tc>
              <w:tc>
                <w:tcPr>
                  <w:tcW w:w="672" w:type="pct"/>
                  <w:tcBorders>
                    <w:top w:val="single" w:color="auto" w:sz="4" w:space="0"/>
                    <w:left w:val="single" w:color="auto" w:sz="4" w:space="0"/>
                    <w:bottom w:val="single" w:color="auto" w:sz="4" w:space="0"/>
                    <w:right w:val="single" w:color="auto" w:sz="4" w:space="0"/>
                  </w:tcBorders>
                  <w:vAlign w:val="center"/>
                </w:tcPr>
                <w:p>
                  <w:pPr>
                    <w:autoSpaceDE w:val="0"/>
                    <w:spacing w:before="24" w:beforeLines="10" w:after="24" w:afterLines="10"/>
                    <w:jc w:val="center"/>
                    <w:rPr>
                      <w:rFonts w:ascii="宋体" w:hAnsi="宋体" w:eastAsia="Times New Roman"/>
                      <w:color w:val="auto"/>
                      <w:szCs w:val="21"/>
                      <w:u w:val="none"/>
                    </w:rPr>
                  </w:pPr>
                  <w:r>
                    <w:rPr>
                      <w:rFonts w:ascii="宋体" w:hAnsi="宋体" w:eastAsia="Times New Roman"/>
                      <w:color w:val="auto"/>
                      <w:szCs w:val="21"/>
                      <w:u w:val="none"/>
                    </w:rPr>
                    <w:t>达标</w:t>
                  </w:r>
                </w:p>
              </w:tc>
            </w:tr>
          </w:tbl>
          <w:p>
            <w:pPr>
              <w:spacing w:line="360" w:lineRule="auto"/>
              <w:ind w:firstLine="470" w:firstLineChars="196"/>
              <w:rPr>
                <w:rFonts w:hint="default" w:eastAsia="宋体"/>
                <w:color w:val="auto"/>
                <w:sz w:val="24"/>
                <w:u w:val="none"/>
                <w:lang w:val="en-US" w:eastAsia="zh-CN"/>
              </w:rPr>
            </w:pPr>
            <w:r>
              <w:rPr>
                <w:color w:val="auto"/>
                <w:sz w:val="24"/>
                <w:u w:val="none"/>
              </w:rPr>
              <w:t>根据《环境空气质量标准》（GB 3095-2026）二级标准限值（过渡阶段），项目所在区域内PM</w:t>
            </w:r>
            <w:r>
              <w:rPr>
                <w:color w:val="auto"/>
                <w:sz w:val="24"/>
                <w:u w:val="none"/>
                <w:vertAlign w:val="subscript"/>
              </w:rPr>
              <w:t>2.5</w:t>
            </w:r>
            <w:r>
              <w:rPr>
                <w:color w:val="auto"/>
                <w:sz w:val="24"/>
                <w:u w:val="none"/>
              </w:rPr>
              <w:t>超标，</w:t>
            </w:r>
            <w:r>
              <w:rPr>
                <w:rFonts w:hint="eastAsia"/>
                <w:color w:val="auto"/>
                <w:sz w:val="24"/>
                <w:u w:val="none"/>
                <w:lang w:val="en-US" w:eastAsia="zh-CN"/>
              </w:rPr>
              <w:t>属于不达标区。近年来城市发展较快，工程建设项目较多，产生大量运输车辆尾气、基建扬尘，同时居民机动车保有量持续增长，是导致PM</w:t>
            </w:r>
            <w:r>
              <w:rPr>
                <w:rFonts w:hint="eastAsia"/>
                <w:color w:val="auto"/>
                <w:sz w:val="24"/>
                <w:u w:val="none"/>
                <w:vertAlign w:val="subscript"/>
                <w:lang w:val="en-US" w:eastAsia="zh-CN"/>
              </w:rPr>
              <w:t>2.5</w:t>
            </w:r>
            <w:r>
              <w:rPr>
                <w:rFonts w:hint="eastAsia"/>
                <w:color w:val="auto"/>
                <w:sz w:val="24"/>
                <w:u w:val="none"/>
                <w:lang w:val="en-US" w:eastAsia="zh-CN"/>
              </w:rPr>
              <w:t>超标的主要原因之一。为强化我省大气污染防治，持续改善空气质量，全面推进美丽湖南建设，湖南省生态环境保护委员会办公室发布《湖南省大气污染防治攻坚三年行动实施方案（2026—2028年）》，采取的主要措施如下：（1）推动产业绿色低碳转型：严格项目准入，深化产业结构调整，开展产业集群升级改造；（2）加快能源清洁低碳发展：优化能源供给结构，实施燃煤锅炉关停替代，加快炉窑清洁能源替代；（3）构建绿色交通运输体系：提高清洁运输比例，提升柴油车清洁化水平，强化非道路移动源综合治理，推动内河航运绿色化转型升级；（4）强化重点行业领域深度治理：开展低效失效治理设施排查整治，深化重点行业污染治理，加强VOCs全流程治理，加强秸秆综合利用和禁限烧管控，强化烟花爆竹全链条管控，加强城市面源污染管控，加强消耗臭氧层物质管理；（5）完善区域联防联控机制：强化区域联防联控，夯实重污染应对基础，有效应对重污染天气；（6）全面提升治理能力：完善环境监测网络，提升污染源执法监管能力，增强科技支撑能力，完善地方标准体系；（7）实施保障：加强组织实施，强化政策保障，规范监督执法。通过采取以上措施项目所在区域环境空气质量状况有望持续改善。</w:t>
            </w:r>
          </w:p>
          <w:p>
            <w:pPr>
              <w:spacing w:line="360" w:lineRule="auto"/>
              <w:ind w:firstLine="472" w:firstLineChars="196"/>
              <w:rPr>
                <w:b/>
                <w:bCs/>
                <w:color w:val="auto"/>
                <w:sz w:val="24"/>
                <w:u w:val="none"/>
              </w:rPr>
            </w:pPr>
            <w:r>
              <w:rPr>
                <w:b/>
                <w:bCs/>
                <w:color w:val="auto"/>
                <w:sz w:val="24"/>
                <w:u w:val="none"/>
              </w:rPr>
              <w:t xml:space="preserve">3.1.2 </w:t>
            </w:r>
            <w:r>
              <w:rPr>
                <w:rFonts w:hint="eastAsia"/>
                <w:b/>
                <w:bCs/>
                <w:color w:val="auto"/>
                <w:sz w:val="24"/>
                <w:u w:val="none"/>
              </w:rPr>
              <w:t>特征污染物</w:t>
            </w:r>
          </w:p>
          <w:p>
            <w:pPr>
              <w:spacing w:line="360" w:lineRule="auto"/>
              <w:ind w:firstLine="470" w:firstLineChars="196"/>
              <w:rPr>
                <w:color w:val="auto"/>
                <w:sz w:val="24"/>
                <w:u w:val="none"/>
              </w:rPr>
            </w:pPr>
            <w:r>
              <w:rPr>
                <w:color w:val="auto"/>
                <w:sz w:val="24"/>
                <w:u w:val="none"/>
              </w:rPr>
              <w:t>根据《建设项目环境影响报告表编制技术指南》（污染影响类）（试行），排放国家、地方环境空气质量标准中有标准限值要求的特征污染物时，引用建设项目周边5千米范围内近三年的现有监测数据，无相关数据的选择当季主导风向下风向1个点位补充不少于3天的监测数据。</w:t>
            </w:r>
          </w:p>
          <w:p>
            <w:pPr>
              <w:spacing w:line="360" w:lineRule="auto"/>
              <w:ind w:firstLine="470" w:firstLineChars="196"/>
              <w:rPr>
                <w:color w:val="auto"/>
                <w:sz w:val="24"/>
                <w:u w:val="none"/>
              </w:rPr>
            </w:pPr>
            <w:r>
              <w:rPr>
                <w:color w:val="auto"/>
                <w:sz w:val="24"/>
                <w:u w:val="none"/>
              </w:rPr>
              <w:t>本项目排放的特征污染物</w:t>
            </w:r>
            <w:r>
              <w:rPr>
                <w:rFonts w:hint="eastAsia"/>
                <w:color w:val="auto"/>
                <w:sz w:val="24"/>
                <w:u w:val="none"/>
              </w:rPr>
              <w:t>中有环境空气质量标准限值的污染物</w:t>
            </w:r>
            <w:r>
              <w:rPr>
                <w:color w:val="auto"/>
                <w:sz w:val="24"/>
                <w:u w:val="none"/>
              </w:rPr>
              <w:t>为</w:t>
            </w:r>
            <w:r>
              <w:rPr>
                <w:rFonts w:hint="eastAsia"/>
                <w:color w:val="auto"/>
                <w:sz w:val="24"/>
                <w:u w:val="none"/>
              </w:rPr>
              <w:t>TSP、NO</w:t>
            </w:r>
            <w:r>
              <w:rPr>
                <w:rFonts w:hint="eastAsia"/>
                <w:color w:val="auto"/>
                <w:sz w:val="24"/>
                <w:u w:val="none"/>
                <w:vertAlign w:val="subscript"/>
              </w:rPr>
              <w:t>x</w:t>
            </w:r>
            <w:r>
              <w:rPr>
                <w:color w:val="auto"/>
                <w:sz w:val="24"/>
                <w:u w:val="none"/>
              </w:rPr>
              <w:t>。</w:t>
            </w:r>
            <w:r>
              <w:rPr>
                <w:rFonts w:hint="eastAsia"/>
                <w:color w:val="auto"/>
                <w:sz w:val="24"/>
                <w:u w:val="none"/>
              </w:rPr>
              <w:t>本环评引用《</w:t>
            </w:r>
            <w:r>
              <w:rPr>
                <w:color w:val="auto"/>
                <w:sz w:val="24"/>
                <w:u w:val="none"/>
              </w:rPr>
              <w:t>岳阳湘创新能源开发有限公司蒸汽供热项目</w:t>
            </w:r>
            <w:r>
              <w:rPr>
                <w:rFonts w:hint="eastAsia"/>
                <w:color w:val="auto"/>
                <w:sz w:val="24"/>
                <w:u w:val="none"/>
              </w:rPr>
              <w:t>环境影响报告表》中</w:t>
            </w:r>
            <w:r>
              <w:rPr>
                <w:rFonts w:hint="eastAsia"/>
                <w:color w:val="auto"/>
                <w:sz w:val="24"/>
                <w:u w:val="none"/>
                <w:lang w:eastAsia="zh-CN"/>
              </w:rPr>
              <w:t>（</w:t>
            </w:r>
            <w:r>
              <w:rPr>
                <w:rFonts w:hint="eastAsia"/>
                <w:color w:val="auto"/>
                <w:sz w:val="24"/>
                <w:u w:val="none"/>
                <w:lang w:val="en-US" w:eastAsia="zh-CN"/>
              </w:rPr>
              <w:t>公示网址：https://www.xiangyin.gov.cn/31951/61032/61111/content_2306501.html</w:t>
            </w:r>
            <w:r>
              <w:rPr>
                <w:rFonts w:hint="eastAsia"/>
                <w:color w:val="auto"/>
                <w:sz w:val="24"/>
                <w:u w:val="none"/>
                <w:lang w:eastAsia="zh-CN"/>
              </w:rPr>
              <w:t>）</w:t>
            </w:r>
            <w:r>
              <w:rPr>
                <w:rFonts w:hint="eastAsia"/>
                <w:color w:val="auto"/>
                <w:sz w:val="24"/>
                <w:u w:val="none"/>
              </w:rPr>
              <w:t>，</w:t>
            </w:r>
            <w:r>
              <w:rPr>
                <w:color w:val="auto"/>
                <w:sz w:val="24"/>
                <w:u w:val="none"/>
              </w:rPr>
              <w:t>湖南中额环保科技有限公司</w:t>
            </w:r>
            <w:r>
              <w:rPr>
                <w:rFonts w:hint="eastAsia"/>
                <w:color w:val="auto"/>
                <w:sz w:val="24"/>
                <w:u w:val="none"/>
              </w:rPr>
              <w:t>于</w:t>
            </w:r>
            <w:r>
              <w:rPr>
                <w:color w:val="auto"/>
                <w:sz w:val="24"/>
                <w:u w:val="none"/>
              </w:rPr>
              <w:t>2025年6月15日-17日</w:t>
            </w:r>
            <w:r>
              <w:rPr>
                <w:rFonts w:hint="eastAsia"/>
                <w:color w:val="auto"/>
                <w:sz w:val="24"/>
                <w:u w:val="none"/>
              </w:rPr>
              <w:t>对王家大屋居民点的历史监测数据，监测点位于本项目西北面1060m，符合指南要求。监测结果如下：</w:t>
            </w:r>
          </w:p>
          <w:p>
            <w:pPr>
              <w:adjustRightInd w:val="0"/>
              <w:snapToGrid w:val="0"/>
              <w:ind w:firstLine="422"/>
              <w:jc w:val="center"/>
              <w:rPr>
                <w:b/>
                <w:color w:val="auto"/>
                <w:szCs w:val="21"/>
                <w:u w:val="none"/>
              </w:rPr>
            </w:pPr>
            <w:r>
              <w:rPr>
                <w:rFonts w:ascii="宋体" w:hAnsi="宋体"/>
                <w:b/>
                <w:color w:val="auto"/>
                <w:szCs w:val="21"/>
                <w:u w:val="none"/>
              </w:rPr>
              <w:t>表</w:t>
            </w:r>
            <w:r>
              <w:rPr>
                <w:b/>
                <w:color w:val="auto"/>
                <w:szCs w:val="21"/>
                <w:u w:val="none"/>
              </w:rPr>
              <w:t>3</w:t>
            </w:r>
            <w:r>
              <w:rPr>
                <w:rFonts w:hint="eastAsia"/>
                <w:b/>
                <w:color w:val="auto"/>
                <w:szCs w:val="21"/>
                <w:u w:val="none"/>
              </w:rPr>
              <w:t>.1-2</w:t>
            </w:r>
            <w:r>
              <w:rPr>
                <w:b/>
                <w:color w:val="auto"/>
                <w:szCs w:val="21"/>
                <w:u w:val="none"/>
              </w:rPr>
              <w:t xml:space="preserve">  </w:t>
            </w:r>
            <w:r>
              <w:rPr>
                <w:rFonts w:ascii="宋体" w:hAnsi="宋体"/>
                <w:b/>
                <w:color w:val="auto"/>
                <w:szCs w:val="21"/>
                <w:u w:val="none"/>
              </w:rPr>
              <w:t>大气监测统计结果 （</w:t>
            </w:r>
            <w:r>
              <w:rPr>
                <w:b/>
                <w:color w:val="auto"/>
                <w:szCs w:val="21"/>
                <w:u w:val="none"/>
              </w:rPr>
              <w:t>mg/m</w:t>
            </w:r>
            <w:r>
              <w:rPr>
                <w:b/>
                <w:color w:val="auto"/>
                <w:szCs w:val="21"/>
                <w:u w:val="none"/>
                <w:vertAlign w:val="superscript"/>
              </w:rPr>
              <w:t>3</w:t>
            </w:r>
            <w:r>
              <w:rPr>
                <w:rFonts w:ascii="宋体" w:hAnsi="宋体"/>
                <w:b/>
                <w:color w:val="auto"/>
                <w:szCs w:val="21"/>
                <w:u w:val="none"/>
              </w:rPr>
              <w:t>）</w:t>
            </w: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874"/>
              <w:gridCol w:w="755"/>
              <w:gridCol w:w="1277"/>
              <w:gridCol w:w="1178"/>
              <w:gridCol w:w="986"/>
              <w:gridCol w:w="798"/>
              <w:gridCol w:w="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821" w:type="pct"/>
                  <w:vMerge w:val="restart"/>
                  <w:vAlign w:val="center"/>
                </w:tcPr>
                <w:p>
                  <w:pPr>
                    <w:jc w:val="center"/>
                    <w:rPr>
                      <w:bCs/>
                      <w:color w:val="auto"/>
                      <w:szCs w:val="21"/>
                      <w:u w:val="none"/>
                    </w:rPr>
                  </w:pPr>
                  <w:r>
                    <w:rPr>
                      <w:rFonts w:ascii="宋体" w:hAnsi="宋体"/>
                      <w:bCs/>
                      <w:color w:val="auto"/>
                      <w:szCs w:val="21"/>
                      <w:u w:val="none"/>
                    </w:rPr>
                    <w:t>监测点位</w:t>
                  </w:r>
                </w:p>
              </w:tc>
              <w:tc>
                <w:tcPr>
                  <w:tcW w:w="548" w:type="pct"/>
                  <w:vMerge w:val="restart"/>
                  <w:vAlign w:val="center"/>
                </w:tcPr>
                <w:p>
                  <w:pPr>
                    <w:jc w:val="center"/>
                    <w:rPr>
                      <w:bCs/>
                      <w:color w:val="auto"/>
                      <w:szCs w:val="21"/>
                      <w:u w:val="none"/>
                    </w:rPr>
                  </w:pPr>
                  <w:r>
                    <w:rPr>
                      <w:rFonts w:ascii="宋体" w:hAnsi="宋体"/>
                      <w:bCs/>
                      <w:color w:val="auto"/>
                      <w:szCs w:val="21"/>
                      <w:u w:val="none"/>
                    </w:rPr>
                    <w:t>污染物</w:t>
                  </w:r>
                </w:p>
              </w:tc>
              <w:tc>
                <w:tcPr>
                  <w:tcW w:w="473" w:type="pct"/>
                  <w:vMerge w:val="restart"/>
                  <w:vAlign w:val="center"/>
                </w:tcPr>
                <w:p>
                  <w:pPr>
                    <w:jc w:val="center"/>
                    <w:rPr>
                      <w:bCs/>
                      <w:color w:val="auto"/>
                      <w:szCs w:val="21"/>
                      <w:u w:val="none"/>
                    </w:rPr>
                  </w:pPr>
                  <w:r>
                    <w:rPr>
                      <w:rFonts w:ascii="宋体" w:hAnsi="宋体"/>
                      <w:bCs/>
                      <w:color w:val="auto"/>
                      <w:szCs w:val="21"/>
                      <w:u w:val="none"/>
                    </w:rPr>
                    <w:t>平均时间</w:t>
                  </w:r>
                </w:p>
              </w:tc>
              <w:tc>
                <w:tcPr>
                  <w:tcW w:w="800" w:type="pct"/>
                  <w:vMerge w:val="restart"/>
                  <w:vAlign w:val="center"/>
                </w:tcPr>
                <w:p>
                  <w:pPr>
                    <w:jc w:val="center"/>
                    <w:rPr>
                      <w:bCs/>
                      <w:color w:val="auto"/>
                      <w:szCs w:val="21"/>
                      <w:u w:val="none"/>
                    </w:rPr>
                  </w:pPr>
                  <w:r>
                    <w:rPr>
                      <w:rFonts w:ascii="宋体" w:hAnsi="宋体"/>
                      <w:bCs/>
                      <w:color w:val="auto"/>
                      <w:szCs w:val="21"/>
                      <w:u w:val="none"/>
                    </w:rPr>
                    <w:t>评价标准</w:t>
                  </w:r>
                  <w:r>
                    <w:rPr>
                      <w:bCs/>
                      <w:color w:val="auto"/>
                      <w:szCs w:val="21"/>
                      <w:u w:val="none"/>
                    </w:rPr>
                    <w:t>/</w:t>
                  </w:r>
                  <w:r>
                    <w:rPr>
                      <w:rFonts w:ascii="宋体" w:hAnsi="宋体"/>
                      <w:bCs/>
                      <w:color w:val="auto"/>
                      <w:szCs w:val="21"/>
                      <w:u w:val="none"/>
                    </w:rPr>
                    <w:t>（</w:t>
                  </w:r>
                  <w:r>
                    <w:rPr>
                      <w:color w:val="auto"/>
                      <w:szCs w:val="21"/>
                      <w:u w:val="none"/>
                    </w:rPr>
                    <w:t>μg/m</w:t>
                  </w:r>
                  <w:r>
                    <w:rPr>
                      <w:color w:val="auto"/>
                      <w:szCs w:val="21"/>
                      <w:u w:val="none"/>
                      <w:vertAlign w:val="superscript"/>
                    </w:rPr>
                    <w:t>3</w:t>
                  </w:r>
                  <w:r>
                    <w:rPr>
                      <w:rFonts w:ascii="宋体" w:hAnsi="宋体"/>
                      <w:bCs/>
                      <w:color w:val="auto"/>
                      <w:szCs w:val="21"/>
                      <w:u w:val="none"/>
                    </w:rPr>
                    <w:t>）</w:t>
                  </w:r>
                </w:p>
              </w:tc>
              <w:tc>
                <w:tcPr>
                  <w:tcW w:w="738" w:type="pct"/>
                  <w:vMerge w:val="restart"/>
                  <w:vAlign w:val="center"/>
                </w:tcPr>
                <w:p>
                  <w:pPr>
                    <w:jc w:val="center"/>
                    <w:rPr>
                      <w:bCs/>
                      <w:color w:val="auto"/>
                      <w:szCs w:val="21"/>
                      <w:u w:val="none"/>
                    </w:rPr>
                  </w:pPr>
                  <w:r>
                    <w:rPr>
                      <w:rFonts w:ascii="宋体" w:hAnsi="宋体"/>
                      <w:bCs/>
                      <w:color w:val="auto"/>
                      <w:szCs w:val="21"/>
                      <w:u w:val="none"/>
                    </w:rPr>
                    <w:t>监测浓度范围</w:t>
                  </w:r>
                  <w:r>
                    <w:rPr>
                      <w:bCs/>
                      <w:color w:val="auto"/>
                      <w:szCs w:val="21"/>
                      <w:u w:val="none"/>
                    </w:rPr>
                    <w:t>/</w:t>
                  </w:r>
                  <w:r>
                    <w:rPr>
                      <w:rFonts w:ascii="宋体" w:hAnsi="宋体"/>
                      <w:bCs/>
                      <w:color w:val="auto"/>
                      <w:szCs w:val="21"/>
                      <w:u w:val="none"/>
                    </w:rPr>
                    <w:t>（</w:t>
                  </w:r>
                  <w:r>
                    <w:rPr>
                      <w:color w:val="auto"/>
                      <w:szCs w:val="21"/>
                      <w:u w:val="none"/>
                    </w:rPr>
                    <w:t>μg/m</w:t>
                  </w:r>
                  <w:r>
                    <w:rPr>
                      <w:color w:val="auto"/>
                      <w:szCs w:val="21"/>
                      <w:u w:val="none"/>
                      <w:vertAlign w:val="superscript"/>
                    </w:rPr>
                    <w:t>3</w:t>
                  </w:r>
                  <w:r>
                    <w:rPr>
                      <w:rFonts w:ascii="宋体" w:hAnsi="宋体"/>
                      <w:bCs/>
                      <w:color w:val="auto"/>
                      <w:szCs w:val="21"/>
                      <w:u w:val="none"/>
                    </w:rPr>
                    <w:t>）</w:t>
                  </w:r>
                </w:p>
              </w:tc>
              <w:tc>
                <w:tcPr>
                  <w:tcW w:w="618" w:type="pct"/>
                  <w:vMerge w:val="restart"/>
                  <w:vAlign w:val="center"/>
                </w:tcPr>
                <w:p>
                  <w:pPr>
                    <w:jc w:val="center"/>
                    <w:rPr>
                      <w:bCs/>
                      <w:color w:val="auto"/>
                      <w:szCs w:val="21"/>
                      <w:u w:val="none"/>
                    </w:rPr>
                  </w:pPr>
                  <w:r>
                    <w:rPr>
                      <w:rFonts w:ascii="宋体" w:hAnsi="宋体"/>
                      <w:bCs/>
                      <w:color w:val="auto"/>
                      <w:szCs w:val="21"/>
                      <w:u w:val="none"/>
                    </w:rPr>
                    <w:t>最大浓度占标率</w:t>
                  </w:r>
                  <w:r>
                    <w:rPr>
                      <w:bCs/>
                      <w:color w:val="auto"/>
                      <w:szCs w:val="21"/>
                      <w:u w:val="none"/>
                    </w:rPr>
                    <w:t>/%</w:t>
                  </w:r>
                </w:p>
              </w:tc>
              <w:tc>
                <w:tcPr>
                  <w:tcW w:w="500" w:type="pct"/>
                  <w:vMerge w:val="restart"/>
                  <w:vAlign w:val="center"/>
                </w:tcPr>
                <w:p>
                  <w:pPr>
                    <w:jc w:val="center"/>
                    <w:rPr>
                      <w:bCs/>
                      <w:color w:val="auto"/>
                      <w:szCs w:val="21"/>
                      <w:u w:val="none"/>
                    </w:rPr>
                  </w:pPr>
                  <w:r>
                    <w:rPr>
                      <w:rFonts w:ascii="宋体" w:hAnsi="宋体"/>
                      <w:bCs/>
                      <w:color w:val="auto"/>
                      <w:szCs w:val="21"/>
                      <w:u w:val="none"/>
                    </w:rPr>
                    <w:t>超标率</w:t>
                  </w:r>
                  <w:r>
                    <w:rPr>
                      <w:bCs/>
                      <w:color w:val="auto"/>
                      <w:szCs w:val="21"/>
                      <w:u w:val="none"/>
                    </w:rPr>
                    <w:t>/%</w:t>
                  </w:r>
                </w:p>
              </w:tc>
              <w:tc>
                <w:tcPr>
                  <w:tcW w:w="499" w:type="pct"/>
                  <w:vMerge w:val="restart"/>
                  <w:vAlign w:val="center"/>
                </w:tcPr>
                <w:p>
                  <w:pPr>
                    <w:jc w:val="center"/>
                    <w:rPr>
                      <w:bCs/>
                      <w:color w:val="auto"/>
                      <w:szCs w:val="21"/>
                      <w:u w:val="none"/>
                    </w:rPr>
                  </w:pPr>
                  <w:r>
                    <w:rPr>
                      <w:rFonts w:ascii="宋体" w:hAnsi="宋体"/>
                      <w:bCs/>
                      <w:color w:val="auto"/>
                      <w:szCs w:val="21"/>
                      <w:u w:val="none"/>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21" w:type="pct"/>
                  <w:vMerge w:val="continue"/>
                  <w:vAlign w:val="center"/>
                </w:tcPr>
                <w:p>
                  <w:pPr>
                    <w:widowControl/>
                    <w:jc w:val="left"/>
                    <w:rPr>
                      <w:bCs/>
                      <w:color w:val="auto"/>
                      <w:szCs w:val="21"/>
                      <w:u w:val="none"/>
                    </w:rPr>
                  </w:pPr>
                </w:p>
              </w:tc>
              <w:tc>
                <w:tcPr>
                  <w:tcW w:w="548" w:type="pct"/>
                  <w:vMerge w:val="continue"/>
                  <w:vAlign w:val="center"/>
                </w:tcPr>
                <w:p>
                  <w:pPr>
                    <w:widowControl/>
                    <w:jc w:val="left"/>
                    <w:rPr>
                      <w:bCs/>
                      <w:color w:val="auto"/>
                      <w:szCs w:val="21"/>
                      <w:u w:val="none"/>
                    </w:rPr>
                  </w:pPr>
                </w:p>
              </w:tc>
              <w:tc>
                <w:tcPr>
                  <w:tcW w:w="473" w:type="pct"/>
                  <w:vMerge w:val="continue"/>
                  <w:vAlign w:val="center"/>
                </w:tcPr>
                <w:p>
                  <w:pPr>
                    <w:widowControl/>
                    <w:jc w:val="left"/>
                    <w:rPr>
                      <w:bCs/>
                      <w:color w:val="auto"/>
                      <w:szCs w:val="21"/>
                      <w:u w:val="none"/>
                    </w:rPr>
                  </w:pPr>
                </w:p>
              </w:tc>
              <w:tc>
                <w:tcPr>
                  <w:tcW w:w="800" w:type="pct"/>
                  <w:vMerge w:val="continue"/>
                  <w:vAlign w:val="center"/>
                </w:tcPr>
                <w:p>
                  <w:pPr>
                    <w:widowControl/>
                    <w:jc w:val="left"/>
                    <w:rPr>
                      <w:bCs/>
                      <w:color w:val="auto"/>
                      <w:szCs w:val="21"/>
                      <w:u w:val="none"/>
                    </w:rPr>
                  </w:pPr>
                </w:p>
              </w:tc>
              <w:tc>
                <w:tcPr>
                  <w:tcW w:w="738" w:type="pct"/>
                  <w:vMerge w:val="continue"/>
                  <w:vAlign w:val="center"/>
                </w:tcPr>
                <w:p>
                  <w:pPr>
                    <w:widowControl/>
                    <w:jc w:val="left"/>
                    <w:rPr>
                      <w:bCs/>
                      <w:color w:val="auto"/>
                      <w:szCs w:val="21"/>
                      <w:u w:val="none"/>
                    </w:rPr>
                  </w:pPr>
                </w:p>
              </w:tc>
              <w:tc>
                <w:tcPr>
                  <w:tcW w:w="618" w:type="pct"/>
                  <w:vMerge w:val="continue"/>
                  <w:vAlign w:val="center"/>
                </w:tcPr>
                <w:p>
                  <w:pPr>
                    <w:widowControl/>
                    <w:jc w:val="left"/>
                    <w:rPr>
                      <w:bCs/>
                      <w:color w:val="auto"/>
                      <w:szCs w:val="21"/>
                      <w:u w:val="none"/>
                    </w:rPr>
                  </w:pPr>
                </w:p>
              </w:tc>
              <w:tc>
                <w:tcPr>
                  <w:tcW w:w="500" w:type="pct"/>
                  <w:vMerge w:val="continue"/>
                  <w:vAlign w:val="center"/>
                </w:tcPr>
                <w:p>
                  <w:pPr>
                    <w:widowControl/>
                    <w:jc w:val="left"/>
                    <w:rPr>
                      <w:bCs/>
                      <w:color w:val="auto"/>
                      <w:szCs w:val="21"/>
                      <w:u w:val="none"/>
                    </w:rPr>
                  </w:pPr>
                </w:p>
              </w:tc>
              <w:tc>
                <w:tcPr>
                  <w:tcW w:w="499" w:type="pct"/>
                  <w:vMerge w:val="continue"/>
                  <w:vAlign w:val="center"/>
                </w:tcPr>
                <w:p>
                  <w:pPr>
                    <w:widowControl/>
                    <w:jc w:val="left"/>
                    <w:rPr>
                      <w:bCs/>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pct"/>
                  <w:vMerge w:val="restart"/>
                  <w:vAlign w:val="center"/>
                </w:tcPr>
                <w:p>
                  <w:pPr>
                    <w:jc w:val="center"/>
                    <w:rPr>
                      <w:bCs/>
                      <w:color w:val="auto"/>
                      <w:szCs w:val="21"/>
                      <w:u w:val="none"/>
                    </w:rPr>
                  </w:pPr>
                  <w:r>
                    <w:rPr>
                      <w:bCs/>
                      <w:color w:val="auto"/>
                      <w:szCs w:val="21"/>
                      <w:u w:val="none"/>
                    </w:rPr>
                    <w:t>王家大屋居民点</w:t>
                  </w:r>
                  <w:r>
                    <w:rPr>
                      <w:rFonts w:hint="eastAsia"/>
                      <w:bCs/>
                      <w:color w:val="auto"/>
                      <w:szCs w:val="21"/>
                      <w:u w:val="none"/>
                    </w:rPr>
                    <w:t>（</w:t>
                  </w:r>
                  <w:r>
                    <w:rPr>
                      <w:bCs/>
                      <w:color w:val="auto"/>
                      <w:szCs w:val="21"/>
                      <w:u w:val="none"/>
                    </w:rPr>
                    <w:t>本项目西北面1060m</w:t>
                  </w:r>
                  <w:r>
                    <w:rPr>
                      <w:rFonts w:hint="eastAsia"/>
                      <w:bCs/>
                      <w:color w:val="auto"/>
                      <w:szCs w:val="21"/>
                      <w:u w:val="none"/>
                    </w:rPr>
                    <w:t>）</w:t>
                  </w:r>
                </w:p>
              </w:tc>
              <w:tc>
                <w:tcPr>
                  <w:tcW w:w="548" w:type="pct"/>
                  <w:vAlign w:val="center"/>
                </w:tcPr>
                <w:p>
                  <w:pPr>
                    <w:jc w:val="center"/>
                    <w:rPr>
                      <w:bCs/>
                      <w:color w:val="auto"/>
                      <w:szCs w:val="21"/>
                      <w:u w:val="none"/>
                    </w:rPr>
                  </w:pPr>
                  <w:r>
                    <w:rPr>
                      <w:bCs/>
                      <w:color w:val="auto"/>
                      <w:szCs w:val="21"/>
                      <w:u w:val="none"/>
                    </w:rPr>
                    <w:t>TSP</w:t>
                  </w:r>
                </w:p>
              </w:tc>
              <w:tc>
                <w:tcPr>
                  <w:tcW w:w="473" w:type="pct"/>
                  <w:vAlign w:val="center"/>
                </w:tcPr>
                <w:p>
                  <w:pPr>
                    <w:jc w:val="center"/>
                    <w:rPr>
                      <w:bCs/>
                      <w:color w:val="auto"/>
                      <w:szCs w:val="21"/>
                      <w:u w:val="none"/>
                    </w:rPr>
                  </w:pPr>
                  <w:r>
                    <w:rPr>
                      <w:bCs/>
                      <w:color w:val="auto"/>
                      <w:szCs w:val="21"/>
                      <w:u w:val="none"/>
                    </w:rPr>
                    <w:t>24h</w:t>
                  </w:r>
                </w:p>
              </w:tc>
              <w:tc>
                <w:tcPr>
                  <w:tcW w:w="800" w:type="pct"/>
                  <w:vAlign w:val="center"/>
                </w:tcPr>
                <w:p>
                  <w:pPr>
                    <w:jc w:val="center"/>
                    <w:rPr>
                      <w:bCs/>
                      <w:color w:val="auto"/>
                      <w:szCs w:val="21"/>
                      <w:u w:val="none"/>
                    </w:rPr>
                  </w:pPr>
                  <w:r>
                    <w:rPr>
                      <w:bCs/>
                      <w:color w:val="auto"/>
                      <w:szCs w:val="21"/>
                      <w:u w:val="none"/>
                    </w:rPr>
                    <w:t>300</w:t>
                  </w:r>
                </w:p>
              </w:tc>
              <w:tc>
                <w:tcPr>
                  <w:tcW w:w="738" w:type="pct"/>
                  <w:vAlign w:val="center"/>
                </w:tcPr>
                <w:p>
                  <w:pPr>
                    <w:jc w:val="center"/>
                    <w:rPr>
                      <w:bCs/>
                      <w:color w:val="auto"/>
                      <w:szCs w:val="21"/>
                      <w:u w:val="none"/>
                    </w:rPr>
                  </w:pPr>
                  <w:r>
                    <w:rPr>
                      <w:bCs/>
                      <w:color w:val="auto"/>
                      <w:szCs w:val="21"/>
                      <w:u w:val="none"/>
                    </w:rPr>
                    <w:t>103-114</w:t>
                  </w:r>
                </w:p>
              </w:tc>
              <w:tc>
                <w:tcPr>
                  <w:tcW w:w="618" w:type="pct"/>
                  <w:vAlign w:val="center"/>
                </w:tcPr>
                <w:p>
                  <w:pPr>
                    <w:jc w:val="center"/>
                    <w:rPr>
                      <w:bCs/>
                      <w:color w:val="auto"/>
                      <w:szCs w:val="21"/>
                      <w:u w:val="none"/>
                    </w:rPr>
                  </w:pPr>
                  <w:r>
                    <w:rPr>
                      <w:bCs/>
                      <w:color w:val="auto"/>
                      <w:szCs w:val="21"/>
                      <w:u w:val="none"/>
                    </w:rPr>
                    <w:t>38</w:t>
                  </w:r>
                </w:p>
              </w:tc>
              <w:tc>
                <w:tcPr>
                  <w:tcW w:w="500" w:type="pct"/>
                  <w:vAlign w:val="center"/>
                </w:tcPr>
                <w:p>
                  <w:pPr>
                    <w:jc w:val="center"/>
                    <w:rPr>
                      <w:bCs/>
                      <w:color w:val="auto"/>
                      <w:szCs w:val="21"/>
                      <w:u w:val="none"/>
                    </w:rPr>
                  </w:pPr>
                  <w:r>
                    <w:rPr>
                      <w:bCs/>
                      <w:color w:val="auto"/>
                      <w:szCs w:val="21"/>
                      <w:u w:val="none"/>
                    </w:rPr>
                    <w:t>0</w:t>
                  </w:r>
                </w:p>
              </w:tc>
              <w:tc>
                <w:tcPr>
                  <w:tcW w:w="499" w:type="pct"/>
                  <w:vAlign w:val="center"/>
                </w:tcPr>
                <w:p>
                  <w:pPr>
                    <w:jc w:val="center"/>
                    <w:rPr>
                      <w:bCs/>
                      <w:color w:val="auto"/>
                      <w:szCs w:val="21"/>
                      <w:u w:val="none"/>
                    </w:rPr>
                  </w:pPr>
                  <w:r>
                    <w:rPr>
                      <w:rFonts w:ascii="宋体" w:hAnsi="宋体"/>
                      <w:bCs/>
                      <w:color w:val="auto"/>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pct"/>
                  <w:vMerge w:val="continue"/>
                  <w:vAlign w:val="center"/>
                </w:tcPr>
                <w:p>
                  <w:pPr>
                    <w:widowControl/>
                    <w:jc w:val="left"/>
                    <w:rPr>
                      <w:bCs/>
                      <w:color w:val="auto"/>
                      <w:szCs w:val="21"/>
                      <w:u w:val="none"/>
                    </w:rPr>
                  </w:pPr>
                </w:p>
              </w:tc>
              <w:tc>
                <w:tcPr>
                  <w:tcW w:w="548" w:type="pct"/>
                  <w:vAlign w:val="center"/>
                </w:tcPr>
                <w:p>
                  <w:pPr>
                    <w:jc w:val="center"/>
                    <w:rPr>
                      <w:bCs/>
                      <w:color w:val="auto"/>
                      <w:szCs w:val="21"/>
                      <w:u w:val="none"/>
                    </w:rPr>
                  </w:pPr>
                  <w:r>
                    <w:rPr>
                      <w:color w:val="auto"/>
                      <w:szCs w:val="21"/>
                      <w:u w:val="none"/>
                    </w:rPr>
                    <w:t>NO</w:t>
                  </w:r>
                  <w:r>
                    <w:rPr>
                      <w:color w:val="auto"/>
                      <w:szCs w:val="21"/>
                      <w:u w:val="none"/>
                      <w:vertAlign w:val="subscript"/>
                    </w:rPr>
                    <w:t>x</w:t>
                  </w:r>
                </w:p>
              </w:tc>
              <w:tc>
                <w:tcPr>
                  <w:tcW w:w="473" w:type="pct"/>
                  <w:vAlign w:val="center"/>
                </w:tcPr>
                <w:p>
                  <w:pPr>
                    <w:jc w:val="center"/>
                    <w:rPr>
                      <w:bCs/>
                      <w:color w:val="auto"/>
                      <w:szCs w:val="21"/>
                      <w:u w:val="none"/>
                    </w:rPr>
                  </w:pPr>
                  <w:r>
                    <w:rPr>
                      <w:bCs/>
                      <w:color w:val="auto"/>
                      <w:szCs w:val="21"/>
                      <w:u w:val="none"/>
                    </w:rPr>
                    <w:t>24h</w:t>
                  </w:r>
                </w:p>
              </w:tc>
              <w:tc>
                <w:tcPr>
                  <w:tcW w:w="800" w:type="pct"/>
                  <w:vAlign w:val="center"/>
                </w:tcPr>
                <w:p>
                  <w:pPr>
                    <w:jc w:val="center"/>
                    <w:rPr>
                      <w:bCs/>
                      <w:color w:val="auto"/>
                      <w:szCs w:val="21"/>
                      <w:u w:val="none"/>
                    </w:rPr>
                  </w:pPr>
                  <w:r>
                    <w:rPr>
                      <w:bCs/>
                      <w:color w:val="auto"/>
                      <w:szCs w:val="21"/>
                      <w:u w:val="none"/>
                    </w:rPr>
                    <w:t>100</w:t>
                  </w:r>
                </w:p>
              </w:tc>
              <w:tc>
                <w:tcPr>
                  <w:tcW w:w="738" w:type="pct"/>
                  <w:vAlign w:val="center"/>
                </w:tcPr>
                <w:p>
                  <w:pPr>
                    <w:jc w:val="center"/>
                    <w:rPr>
                      <w:bCs/>
                      <w:color w:val="auto"/>
                      <w:szCs w:val="21"/>
                      <w:u w:val="none"/>
                    </w:rPr>
                  </w:pPr>
                  <w:r>
                    <w:rPr>
                      <w:bCs/>
                      <w:color w:val="auto"/>
                      <w:szCs w:val="21"/>
                      <w:u w:val="none"/>
                    </w:rPr>
                    <w:t>13-17</w:t>
                  </w:r>
                </w:p>
              </w:tc>
              <w:tc>
                <w:tcPr>
                  <w:tcW w:w="618" w:type="pct"/>
                  <w:vAlign w:val="center"/>
                </w:tcPr>
                <w:p>
                  <w:pPr>
                    <w:jc w:val="center"/>
                    <w:rPr>
                      <w:bCs/>
                      <w:color w:val="auto"/>
                      <w:szCs w:val="21"/>
                      <w:u w:val="none"/>
                    </w:rPr>
                  </w:pPr>
                  <w:r>
                    <w:rPr>
                      <w:bCs/>
                      <w:color w:val="auto"/>
                      <w:szCs w:val="21"/>
                      <w:u w:val="none"/>
                    </w:rPr>
                    <w:t>17</w:t>
                  </w:r>
                </w:p>
              </w:tc>
              <w:tc>
                <w:tcPr>
                  <w:tcW w:w="500" w:type="pct"/>
                  <w:vAlign w:val="center"/>
                </w:tcPr>
                <w:p>
                  <w:pPr>
                    <w:jc w:val="center"/>
                    <w:rPr>
                      <w:bCs/>
                      <w:color w:val="auto"/>
                      <w:szCs w:val="21"/>
                      <w:u w:val="none"/>
                    </w:rPr>
                  </w:pPr>
                  <w:r>
                    <w:rPr>
                      <w:bCs/>
                      <w:color w:val="auto"/>
                      <w:szCs w:val="21"/>
                      <w:u w:val="none"/>
                    </w:rPr>
                    <w:t>0</w:t>
                  </w:r>
                </w:p>
              </w:tc>
              <w:tc>
                <w:tcPr>
                  <w:tcW w:w="499" w:type="pct"/>
                  <w:vAlign w:val="center"/>
                </w:tcPr>
                <w:p>
                  <w:pPr>
                    <w:jc w:val="center"/>
                    <w:rPr>
                      <w:bCs/>
                      <w:color w:val="auto"/>
                      <w:szCs w:val="21"/>
                      <w:u w:val="none"/>
                    </w:rPr>
                  </w:pPr>
                  <w:r>
                    <w:rPr>
                      <w:rFonts w:ascii="宋体" w:hAnsi="宋体"/>
                      <w:bCs/>
                      <w:color w:val="auto"/>
                      <w:szCs w:val="21"/>
                      <w:u w:val="none"/>
                    </w:rPr>
                    <w:t>达标</w:t>
                  </w:r>
                </w:p>
              </w:tc>
            </w:tr>
          </w:tbl>
          <w:p>
            <w:pPr>
              <w:spacing w:line="360" w:lineRule="auto"/>
              <w:ind w:firstLine="470" w:firstLineChars="196"/>
              <w:rPr>
                <w:color w:val="auto"/>
                <w:sz w:val="24"/>
                <w:u w:val="none"/>
              </w:rPr>
            </w:pPr>
            <w:r>
              <w:rPr>
                <w:color w:val="auto"/>
                <w:sz w:val="24"/>
                <w:u w:val="none"/>
              </w:rPr>
              <w:t>由上表可知，监测点NO</w:t>
            </w:r>
            <w:r>
              <w:rPr>
                <w:color w:val="auto"/>
                <w:sz w:val="24"/>
                <w:u w:val="none"/>
                <w:vertAlign w:val="subscript"/>
              </w:rPr>
              <w:t>x</w:t>
            </w:r>
            <w:r>
              <w:rPr>
                <w:color w:val="auto"/>
                <w:sz w:val="24"/>
                <w:u w:val="none"/>
              </w:rPr>
              <w:t>、TSP满足《环境空气质量标准》（GB3095-20</w:t>
            </w:r>
            <w:r>
              <w:rPr>
                <w:rFonts w:hint="eastAsia"/>
                <w:color w:val="auto"/>
                <w:sz w:val="24"/>
                <w:u w:val="none"/>
              </w:rPr>
              <w:t>26</w:t>
            </w:r>
            <w:r>
              <w:rPr>
                <w:color w:val="auto"/>
                <w:sz w:val="24"/>
                <w:u w:val="none"/>
              </w:rPr>
              <w:t>）</w:t>
            </w:r>
            <w:r>
              <w:rPr>
                <w:rFonts w:hint="eastAsia"/>
                <w:color w:val="auto"/>
                <w:sz w:val="24"/>
                <w:u w:val="none"/>
              </w:rPr>
              <w:t>过渡阶段</w:t>
            </w:r>
            <w:r>
              <w:rPr>
                <w:color w:val="auto"/>
                <w:sz w:val="24"/>
                <w:u w:val="none"/>
              </w:rPr>
              <w:t>中的二级标准，表明区域环境空气质量现状较好。</w:t>
            </w:r>
          </w:p>
          <w:p>
            <w:pPr>
              <w:spacing w:line="360" w:lineRule="auto"/>
              <w:rPr>
                <w:b/>
                <w:color w:val="auto"/>
                <w:sz w:val="24"/>
                <w:u w:val="none"/>
              </w:rPr>
            </w:pPr>
            <w:r>
              <w:rPr>
                <w:rFonts w:hint="eastAsia"/>
                <w:b/>
                <w:color w:val="auto"/>
                <w:sz w:val="24"/>
                <w:u w:val="none"/>
              </w:rPr>
              <w:t xml:space="preserve">3.2 </w:t>
            </w:r>
            <w:r>
              <w:rPr>
                <w:b/>
                <w:color w:val="auto"/>
                <w:sz w:val="24"/>
                <w:u w:val="none"/>
              </w:rPr>
              <w:t>地表水环境质量现状</w:t>
            </w:r>
          </w:p>
          <w:p>
            <w:pPr>
              <w:autoSpaceDE w:val="0"/>
              <w:autoSpaceDN w:val="0"/>
              <w:adjustRightInd w:val="0"/>
              <w:spacing w:line="360" w:lineRule="auto"/>
              <w:ind w:firstLine="480" w:firstLineChars="200"/>
              <w:rPr>
                <w:rFonts w:hint="default" w:eastAsia="宋体"/>
                <w:color w:val="auto"/>
                <w:sz w:val="24"/>
                <w:u w:val="none"/>
                <w:lang w:val="en-US" w:eastAsia="zh-CN"/>
              </w:rPr>
            </w:pPr>
            <w:r>
              <w:rPr>
                <w:color w:val="auto"/>
                <w:sz w:val="24"/>
                <w:u w:val="none"/>
              </w:rPr>
              <w:t>本项目废水</w:t>
            </w:r>
            <w:r>
              <w:rPr>
                <w:rFonts w:hint="eastAsia"/>
                <w:color w:val="auto"/>
                <w:sz w:val="24"/>
                <w:u w:val="none"/>
              </w:rPr>
              <w:t>预处理后</w:t>
            </w:r>
            <w:r>
              <w:rPr>
                <w:color w:val="auto"/>
                <w:sz w:val="24"/>
                <w:u w:val="none"/>
              </w:rPr>
              <w:t>进入湘阴县第二污水处理厂处理后排入洋沙湖闸外流入湘江，项目所在区域地表水控制断面为湘江乌龙嘴断面及屈原湘江取水口断面。</w:t>
            </w:r>
            <w:r>
              <w:rPr>
                <w:rFonts w:hint="eastAsia"/>
                <w:color w:val="auto"/>
                <w:sz w:val="24"/>
                <w:u w:val="none"/>
                <w:lang w:val="en-US" w:eastAsia="zh-CN"/>
              </w:rPr>
              <w:t>本环评引用湖南省生态环境厅</w:t>
            </w:r>
            <w:r>
              <w:rPr>
                <w:color w:val="auto"/>
                <w:sz w:val="24"/>
                <w:u w:val="none"/>
              </w:rPr>
              <w:t>发布的202</w:t>
            </w:r>
            <w:r>
              <w:rPr>
                <w:rFonts w:hint="eastAsia"/>
                <w:color w:val="auto"/>
                <w:sz w:val="24"/>
                <w:u w:val="none"/>
                <w:lang w:val="en-US" w:eastAsia="zh-CN"/>
              </w:rPr>
              <w:t>5</w:t>
            </w:r>
            <w:r>
              <w:rPr>
                <w:color w:val="auto"/>
                <w:sz w:val="24"/>
                <w:u w:val="none"/>
              </w:rPr>
              <w:t>年1月~12月</w:t>
            </w:r>
            <w:r>
              <w:rPr>
                <w:rFonts w:hint="eastAsia"/>
                <w:color w:val="auto"/>
                <w:sz w:val="24"/>
                <w:u w:val="none"/>
                <w:lang w:val="en-US" w:eastAsia="zh-CN"/>
              </w:rPr>
              <w:t>逐月全省环境质量状况中的</w:t>
            </w:r>
            <w:r>
              <w:rPr>
                <w:color w:val="auto"/>
                <w:sz w:val="24"/>
                <w:u w:val="none"/>
              </w:rPr>
              <w:t>地表水水质状况</w:t>
            </w:r>
            <w:r>
              <w:rPr>
                <w:rFonts w:hint="eastAsia"/>
                <w:color w:val="auto"/>
                <w:sz w:val="24"/>
                <w:u w:val="none"/>
                <w:lang w:eastAsia="zh-CN"/>
              </w:rPr>
              <w:t>（</w:t>
            </w:r>
            <w:r>
              <w:rPr>
                <w:rFonts w:hint="eastAsia"/>
                <w:color w:val="auto"/>
                <w:sz w:val="24"/>
                <w:u w:val="none"/>
                <w:lang w:val="en-US" w:eastAsia="zh-CN"/>
              </w:rPr>
              <w:t>网址：http://sthjt.hunan.gov.cn/sthjt/xxgk/zdly/hjjc/hjzl/index.html</w:t>
            </w:r>
            <w:r>
              <w:rPr>
                <w:rFonts w:hint="eastAsia"/>
                <w:color w:val="auto"/>
                <w:sz w:val="24"/>
                <w:u w:val="none"/>
                <w:lang w:eastAsia="zh-CN"/>
              </w:rPr>
              <w:t>）</w:t>
            </w:r>
            <w:r>
              <w:rPr>
                <w:color w:val="auto"/>
                <w:sz w:val="24"/>
                <w:u w:val="none"/>
              </w:rPr>
              <w:t>，</w:t>
            </w:r>
            <w:r>
              <w:rPr>
                <w:rFonts w:hint="eastAsia"/>
                <w:color w:val="auto"/>
                <w:sz w:val="24"/>
                <w:u w:val="none"/>
                <w:lang w:val="en-US" w:eastAsia="zh-CN"/>
              </w:rPr>
              <w:t>统计结果如下：</w:t>
            </w:r>
          </w:p>
          <w:p>
            <w:pPr>
              <w:autoSpaceDE w:val="0"/>
              <w:autoSpaceDN w:val="0"/>
              <w:adjustRightInd w:val="0"/>
              <w:spacing w:line="360" w:lineRule="auto"/>
              <w:jc w:val="center"/>
              <w:rPr>
                <w:b/>
                <w:color w:val="auto"/>
                <w:sz w:val="24"/>
                <w:u w:val="none"/>
              </w:rPr>
            </w:pPr>
            <w:r>
              <w:rPr>
                <w:b/>
                <w:color w:val="auto"/>
                <w:sz w:val="24"/>
                <w:u w:val="none"/>
              </w:rPr>
              <w:t>表</w:t>
            </w:r>
            <w:r>
              <w:rPr>
                <w:rFonts w:hint="eastAsia"/>
                <w:b/>
                <w:color w:val="auto"/>
                <w:sz w:val="24"/>
                <w:u w:val="none"/>
              </w:rPr>
              <w:t xml:space="preserve">3.2-1 </w:t>
            </w:r>
            <w:r>
              <w:rPr>
                <w:b/>
                <w:color w:val="auto"/>
                <w:sz w:val="24"/>
                <w:u w:val="none"/>
              </w:rPr>
              <w:t xml:space="preserve"> 202</w:t>
            </w:r>
            <w:r>
              <w:rPr>
                <w:rFonts w:hint="eastAsia"/>
                <w:b/>
                <w:color w:val="auto"/>
                <w:sz w:val="24"/>
                <w:u w:val="none"/>
                <w:lang w:val="en-US" w:eastAsia="zh-CN"/>
              </w:rPr>
              <w:t>5</w:t>
            </w:r>
            <w:r>
              <w:rPr>
                <w:b/>
                <w:color w:val="auto"/>
                <w:sz w:val="24"/>
                <w:u w:val="none"/>
              </w:rPr>
              <w:t>年1月-12月湘阴县内二个断面水质状况统计</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2"/>
              <w:gridCol w:w="1453"/>
              <w:gridCol w:w="1287"/>
              <w:gridCol w:w="1255"/>
              <w:gridCol w:w="1472"/>
              <w:gridCol w:w="1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Align w:val="center"/>
                </w:tcPr>
                <w:p>
                  <w:pPr>
                    <w:autoSpaceDE w:val="0"/>
                    <w:autoSpaceDN w:val="0"/>
                    <w:adjustRightInd w:val="0"/>
                    <w:jc w:val="center"/>
                    <w:rPr>
                      <w:bCs/>
                      <w:color w:val="auto"/>
                      <w:szCs w:val="21"/>
                      <w:u w:val="none"/>
                    </w:rPr>
                  </w:pPr>
                  <w:r>
                    <w:rPr>
                      <w:bCs/>
                      <w:color w:val="auto"/>
                      <w:szCs w:val="21"/>
                      <w:u w:val="none"/>
                    </w:rPr>
                    <w:t>断面名称</w:t>
                  </w:r>
                </w:p>
              </w:tc>
              <w:tc>
                <w:tcPr>
                  <w:tcW w:w="910" w:type="pct"/>
                  <w:vAlign w:val="center"/>
                </w:tcPr>
                <w:p>
                  <w:pPr>
                    <w:autoSpaceDE w:val="0"/>
                    <w:autoSpaceDN w:val="0"/>
                    <w:adjustRightInd w:val="0"/>
                    <w:jc w:val="center"/>
                    <w:rPr>
                      <w:bCs/>
                      <w:color w:val="auto"/>
                      <w:szCs w:val="21"/>
                      <w:u w:val="none"/>
                    </w:rPr>
                  </w:pPr>
                  <w:r>
                    <w:rPr>
                      <w:bCs/>
                      <w:color w:val="auto"/>
                      <w:szCs w:val="21"/>
                      <w:u w:val="none"/>
                    </w:rPr>
                    <w:t>监测时间</w:t>
                  </w:r>
                </w:p>
              </w:tc>
              <w:tc>
                <w:tcPr>
                  <w:tcW w:w="806" w:type="pct"/>
                  <w:vAlign w:val="center"/>
                </w:tcPr>
                <w:p>
                  <w:pPr>
                    <w:autoSpaceDE w:val="0"/>
                    <w:autoSpaceDN w:val="0"/>
                    <w:adjustRightInd w:val="0"/>
                    <w:jc w:val="center"/>
                    <w:rPr>
                      <w:bCs/>
                      <w:color w:val="auto"/>
                      <w:szCs w:val="21"/>
                      <w:u w:val="none"/>
                    </w:rPr>
                  </w:pPr>
                  <w:r>
                    <w:rPr>
                      <w:bCs/>
                      <w:color w:val="auto"/>
                      <w:szCs w:val="21"/>
                      <w:u w:val="none"/>
                    </w:rPr>
                    <w:t>水质类别</w:t>
                  </w:r>
                </w:p>
              </w:tc>
              <w:tc>
                <w:tcPr>
                  <w:tcW w:w="786" w:type="pct"/>
                  <w:vAlign w:val="center"/>
                </w:tcPr>
                <w:p>
                  <w:pPr>
                    <w:autoSpaceDE w:val="0"/>
                    <w:autoSpaceDN w:val="0"/>
                    <w:adjustRightInd w:val="0"/>
                    <w:jc w:val="center"/>
                    <w:rPr>
                      <w:bCs/>
                      <w:color w:val="auto"/>
                      <w:szCs w:val="21"/>
                      <w:u w:val="none"/>
                    </w:rPr>
                  </w:pPr>
                  <w:r>
                    <w:rPr>
                      <w:bCs/>
                      <w:color w:val="auto"/>
                      <w:szCs w:val="21"/>
                      <w:u w:val="none"/>
                    </w:rPr>
                    <w:t>断面名称</w:t>
                  </w:r>
                </w:p>
              </w:tc>
              <w:tc>
                <w:tcPr>
                  <w:tcW w:w="922" w:type="pct"/>
                  <w:vAlign w:val="center"/>
                </w:tcPr>
                <w:p>
                  <w:pPr>
                    <w:autoSpaceDE w:val="0"/>
                    <w:autoSpaceDN w:val="0"/>
                    <w:adjustRightInd w:val="0"/>
                    <w:jc w:val="center"/>
                    <w:rPr>
                      <w:bCs/>
                      <w:color w:val="auto"/>
                      <w:szCs w:val="21"/>
                      <w:u w:val="none"/>
                    </w:rPr>
                  </w:pPr>
                  <w:r>
                    <w:rPr>
                      <w:bCs/>
                      <w:color w:val="auto"/>
                      <w:szCs w:val="21"/>
                      <w:u w:val="none"/>
                    </w:rPr>
                    <w:t>监测时间</w:t>
                  </w:r>
                </w:p>
              </w:tc>
              <w:tc>
                <w:tcPr>
                  <w:tcW w:w="726" w:type="pct"/>
                  <w:vAlign w:val="center"/>
                </w:tcPr>
                <w:p>
                  <w:pPr>
                    <w:autoSpaceDE w:val="0"/>
                    <w:autoSpaceDN w:val="0"/>
                    <w:adjustRightInd w:val="0"/>
                    <w:jc w:val="center"/>
                    <w:rPr>
                      <w:bCs/>
                      <w:color w:val="auto"/>
                      <w:szCs w:val="21"/>
                      <w:u w:val="none"/>
                    </w:rPr>
                  </w:pPr>
                  <w:r>
                    <w:rPr>
                      <w:bCs/>
                      <w:color w:val="auto"/>
                      <w:szCs w:val="21"/>
                      <w:u w:val="none"/>
                    </w:rPr>
                    <w:t>水质类别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restart"/>
                  <w:vAlign w:val="center"/>
                </w:tcPr>
                <w:p>
                  <w:pPr>
                    <w:autoSpaceDE w:val="0"/>
                    <w:autoSpaceDN w:val="0"/>
                    <w:adjustRightInd w:val="0"/>
                    <w:jc w:val="center"/>
                    <w:rPr>
                      <w:bCs/>
                      <w:color w:val="auto"/>
                      <w:szCs w:val="21"/>
                      <w:u w:val="none"/>
                    </w:rPr>
                  </w:pPr>
                  <w:r>
                    <w:rPr>
                      <w:bCs/>
                      <w:color w:val="auto"/>
                      <w:szCs w:val="21"/>
                      <w:u w:val="none"/>
                    </w:rPr>
                    <w:t>乌龙嘴断面</w:t>
                  </w: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年1月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restart"/>
                  <w:vAlign w:val="center"/>
                </w:tcPr>
                <w:p>
                  <w:pPr>
                    <w:autoSpaceDE w:val="0"/>
                    <w:autoSpaceDN w:val="0"/>
                    <w:adjustRightInd w:val="0"/>
                    <w:jc w:val="center"/>
                    <w:rPr>
                      <w:bCs/>
                      <w:color w:val="auto"/>
                      <w:szCs w:val="21"/>
                      <w:u w:val="none"/>
                    </w:rPr>
                  </w:pPr>
                  <w:r>
                    <w:rPr>
                      <w:bCs/>
                      <w:color w:val="auto"/>
                      <w:szCs w:val="21"/>
                      <w:u w:val="none"/>
                    </w:rPr>
                    <w:t>屈原湘江取水口断面</w:t>
                  </w: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年1月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continue"/>
                  <w:vAlign w:val="center"/>
                </w:tcPr>
                <w:p>
                  <w:pPr>
                    <w:autoSpaceDE w:val="0"/>
                    <w:autoSpaceDN w:val="0"/>
                    <w:adjustRightInd w:val="0"/>
                    <w:jc w:val="center"/>
                    <w:rPr>
                      <w:bCs/>
                      <w:color w:val="auto"/>
                      <w:szCs w:val="21"/>
                      <w:u w:val="none"/>
                    </w:rPr>
                  </w:pP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年2月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continue"/>
                  <w:vAlign w:val="center"/>
                </w:tcPr>
                <w:p>
                  <w:pPr>
                    <w:autoSpaceDE w:val="0"/>
                    <w:autoSpaceDN w:val="0"/>
                    <w:adjustRightInd w:val="0"/>
                    <w:jc w:val="center"/>
                    <w:rPr>
                      <w:bCs/>
                      <w:color w:val="auto"/>
                      <w:szCs w:val="21"/>
                      <w:u w:val="none"/>
                    </w:rPr>
                  </w:pP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年2月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continue"/>
                  <w:vAlign w:val="center"/>
                </w:tcPr>
                <w:p>
                  <w:pPr>
                    <w:autoSpaceDE w:val="0"/>
                    <w:autoSpaceDN w:val="0"/>
                    <w:adjustRightInd w:val="0"/>
                    <w:jc w:val="center"/>
                    <w:rPr>
                      <w:bCs/>
                      <w:color w:val="auto"/>
                      <w:szCs w:val="21"/>
                      <w:u w:val="none"/>
                    </w:rPr>
                  </w:pP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年3月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continue"/>
                  <w:vAlign w:val="center"/>
                </w:tcPr>
                <w:p>
                  <w:pPr>
                    <w:autoSpaceDE w:val="0"/>
                    <w:autoSpaceDN w:val="0"/>
                    <w:adjustRightInd w:val="0"/>
                    <w:jc w:val="center"/>
                    <w:rPr>
                      <w:bCs/>
                      <w:color w:val="auto"/>
                      <w:szCs w:val="21"/>
                      <w:u w:val="none"/>
                    </w:rPr>
                  </w:pP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年3月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continue"/>
                  <w:vAlign w:val="center"/>
                </w:tcPr>
                <w:p>
                  <w:pPr>
                    <w:autoSpaceDE w:val="0"/>
                    <w:autoSpaceDN w:val="0"/>
                    <w:adjustRightInd w:val="0"/>
                    <w:jc w:val="center"/>
                    <w:rPr>
                      <w:bCs/>
                      <w:color w:val="auto"/>
                      <w:szCs w:val="21"/>
                      <w:u w:val="none"/>
                    </w:rPr>
                  </w:pP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年4月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continue"/>
                  <w:vAlign w:val="center"/>
                </w:tcPr>
                <w:p>
                  <w:pPr>
                    <w:autoSpaceDE w:val="0"/>
                    <w:autoSpaceDN w:val="0"/>
                    <w:adjustRightInd w:val="0"/>
                    <w:jc w:val="center"/>
                    <w:rPr>
                      <w:bCs/>
                      <w:color w:val="auto"/>
                      <w:szCs w:val="21"/>
                      <w:u w:val="none"/>
                    </w:rPr>
                  </w:pP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年4月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continue"/>
                  <w:vAlign w:val="center"/>
                </w:tcPr>
                <w:p>
                  <w:pPr>
                    <w:autoSpaceDE w:val="0"/>
                    <w:autoSpaceDN w:val="0"/>
                    <w:adjustRightInd w:val="0"/>
                    <w:jc w:val="center"/>
                    <w:rPr>
                      <w:bCs/>
                      <w:color w:val="auto"/>
                      <w:szCs w:val="21"/>
                      <w:u w:val="none"/>
                    </w:rPr>
                  </w:pP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年5月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continue"/>
                  <w:vAlign w:val="center"/>
                </w:tcPr>
                <w:p>
                  <w:pPr>
                    <w:autoSpaceDE w:val="0"/>
                    <w:autoSpaceDN w:val="0"/>
                    <w:adjustRightInd w:val="0"/>
                    <w:jc w:val="center"/>
                    <w:rPr>
                      <w:bCs/>
                      <w:color w:val="auto"/>
                      <w:szCs w:val="21"/>
                      <w:u w:val="none"/>
                    </w:rPr>
                  </w:pP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年5月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continue"/>
                  <w:vAlign w:val="center"/>
                </w:tcPr>
                <w:p>
                  <w:pPr>
                    <w:autoSpaceDE w:val="0"/>
                    <w:autoSpaceDN w:val="0"/>
                    <w:adjustRightInd w:val="0"/>
                    <w:jc w:val="center"/>
                    <w:rPr>
                      <w:bCs/>
                      <w:color w:val="auto"/>
                      <w:szCs w:val="21"/>
                      <w:u w:val="none"/>
                    </w:rPr>
                  </w:pP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年6月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continue"/>
                  <w:vAlign w:val="center"/>
                </w:tcPr>
                <w:p>
                  <w:pPr>
                    <w:autoSpaceDE w:val="0"/>
                    <w:autoSpaceDN w:val="0"/>
                    <w:adjustRightInd w:val="0"/>
                    <w:jc w:val="center"/>
                    <w:rPr>
                      <w:bCs/>
                      <w:color w:val="auto"/>
                      <w:szCs w:val="21"/>
                      <w:u w:val="none"/>
                    </w:rPr>
                  </w:pP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年6月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continue"/>
                  <w:vAlign w:val="center"/>
                </w:tcPr>
                <w:p>
                  <w:pPr>
                    <w:autoSpaceDE w:val="0"/>
                    <w:autoSpaceDN w:val="0"/>
                    <w:adjustRightInd w:val="0"/>
                    <w:jc w:val="center"/>
                    <w:rPr>
                      <w:bCs/>
                      <w:color w:val="auto"/>
                      <w:szCs w:val="21"/>
                      <w:u w:val="none"/>
                    </w:rPr>
                  </w:pP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年7月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continue"/>
                  <w:vAlign w:val="center"/>
                </w:tcPr>
                <w:p>
                  <w:pPr>
                    <w:autoSpaceDE w:val="0"/>
                    <w:autoSpaceDN w:val="0"/>
                    <w:adjustRightInd w:val="0"/>
                    <w:jc w:val="center"/>
                    <w:rPr>
                      <w:bCs/>
                      <w:color w:val="auto"/>
                      <w:szCs w:val="21"/>
                      <w:u w:val="none"/>
                    </w:rPr>
                  </w:pP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年7月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continue"/>
                  <w:vAlign w:val="center"/>
                </w:tcPr>
                <w:p>
                  <w:pPr>
                    <w:autoSpaceDE w:val="0"/>
                    <w:autoSpaceDN w:val="0"/>
                    <w:adjustRightInd w:val="0"/>
                    <w:jc w:val="center"/>
                    <w:rPr>
                      <w:bCs/>
                      <w:color w:val="auto"/>
                      <w:szCs w:val="21"/>
                      <w:u w:val="none"/>
                    </w:rPr>
                  </w:pP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年8月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continue"/>
                  <w:vAlign w:val="center"/>
                </w:tcPr>
                <w:p>
                  <w:pPr>
                    <w:autoSpaceDE w:val="0"/>
                    <w:autoSpaceDN w:val="0"/>
                    <w:adjustRightInd w:val="0"/>
                    <w:jc w:val="center"/>
                    <w:rPr>
                      <w:bCs/>
                      <w:color w:val="auto"/>
                      <w:szCs w:val="21"/>
                      <w:u w:val="none"/>
                    </w:rPr>
                  </w:pP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年8月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continue"/>
                  <w:vAlign w:val="center"/>
                </w:tcPr>
                <w:p>
                  <w:pPr>
                    <w:autoSpaceDE w:val="0"/>
                    <w:autoSpaceDN w:val="0"/>
                    <w:adjustRightInd w:val="0"/>
                    <w:jc w:val="center"/>
                    <w:rPr>
                      <w:bCs/>
                      <w:color w:val="auto"/>
                      <w:szCs w:val="21"/>
                      <w:u w:val="none"/>
                    </w:rPr>
                  </w:pP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年9月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continue"/>
                  <w:vAlign w:val="center"/>
                </w:tcPr>
                <w:p>
                  <w:pPr>
                    <w:autoSpaceDE w:val="0"/>
                    <w:autoSpaceDN w:val="0"/>
                    <w:adjustRightInd w:val="0"/>
                    <w:jc w:val="center"/>
                    <w:rPr>
                      <w:bCs/>
                      <w:color w:val="auto"/>
                      <w:szCs w:val="21"/>
                      <w:u w:val="none"/>
                    </w:rPr>
                  </w:pP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年9月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continue"/>
                  <w:vAlign w:val="center"/>
                </w:tcPr>
                <w:p>
                  <w:pPr>
                    <w:autoSpaceDE w:val="0"/>
                    <w:autoSpaceDN w:val="0"/>
                    <w:adjustRightInd w:val="0"/>
                    <w:jc w:val="center"/>
                    <w:rPr>
                      <w:bCs/>
                      <w:color w:val="auto"/>
                      <w:szCs w:val="21"/>
                      <w:u w:val="none"/>
                    </w:rPr>
                  </w:pP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年10月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continue"/>
                  <w:vAlign w:val="center"/>
                </w:tcPr>
                <w:p>
                  <w:pPr>
                    <w:autoSpaceDE w:val="0"/>
                    <w:autoSpaceDN w:val="0"/>
                    <w:adjustRightInd w:val="0"/>
                    <w:jc w:val="center"/>
                    <w:rPr>
                      <w:bCs/>
                      <w:color w:val="auto"/>
                      <w:szCs w:val="21"/>
                      <w:u w:val="none"/>
                    </w:rPr>
                  </w:pP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年10月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continue"/>
                  <w:vAlign w:val="center"/>
                </w:tcPr>
                <w:p>
                  <w:pPr>
                    <w:autoSpaceDE w:val="0"/>
                    <w:autoSpaceDN w:val="0"/>
                    <w:adjustRightInd w:val="0"/>
                    <w:jc w:val="center"/>
                    <w:rPr>
                      <w:bCs/>
                      <w:color w:val="auto"/>
                      <w:szCs w:val="21"/>
                      <w:u w:val="none"/>
                    </w:rPr>
                  </w:pP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年11月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continue"/>
                  <w:vAlign w:val="center"/>
                </w:tcPr>
                <w:p>
                  <w:pPr>
                    <w:autoSpaceDE w:val="0"/>
                    <w:autoSpaceDN w:val="0"/>
                    <w:adjustRightInd w:val="0"/>
                    <w:jc w:val="center"/>
                    <w:rPr>
                      <w:bCs/>
                      <w:color w:val="auto"/>
                      <w:szCs w:val="21"/>
                      <w:u w:val="none"/>
                    </w:rPr>
                  </w:pP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年11月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7" w:type="pct"/>
                  <w:vMerge w:val="continue"/>
                  <w:vAlign w:val="center"/>
                </w:tcPr>
                <w:p>
                  <w:pPr>
                    <w:autoSpaceDE w:val="0"/>
                    <w:autoSpaceDN w:val="0"/>
                    <w:adjustRightInd w:val="0"/>
                    <w:jc w:val="center"/>
                    <w:rPr>
                      <w:bCs/>
                      <w:color w:val="auto"/>
                      <w:szCs w:val="21"/>
                      <w:u w:val="none"/>
                    </w:rPr>
                  </w:pPr>
                </w:p>
              </w:tc>
              <w:tc>
                <w:tcPr>
                  <w:tcW w:w="910"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年12月</w:t>
                  </w:r>
                </w:p>
              </w:tc>
              <w:tc>
                <w:tcPr>
                  <w:tcW w:w="806" w:type="pct"/>
                  <w:vAlign w:val="center"/>
                </w:tcPr>
                <w:p>
                  <w:pPr>
                    <w:autoSpaceDE w:val="0"/>
                    <w:autoSpaceDN w:val="0"/>
                    <w:adjustRightInd w:val="0"/>
                    <w:jc w:val="center"/>
                    <w:rPr>
                      <w:bCs/>
                      <w:color w:val="auto"/>
                      <w:szCs w:val="21"/>
                      <w:u w:val="none"/>
                    </w:rPr>
                  </w:pPr>
                  <w:r>
                    <w:rPr>
                      <w:bCs/>
                      <w:color w:val="auto"/>
                      <w:szCs w:val="21"/>
                      <w:u w:val="none"/>
                    </w:rPr>
                    <w:t>Ⅱ类</w:t>
                  </w:r>
                </w:p>
              </w:tc>
              <w:tc>
                <w:tcPr>
                  <w:tcW w:w="786" w:type="pct"/>
                  <w:vMerge w:val="continue"/>
                  <w:vAlign w:val="center"/>
                </w:tcPr>
                <w:p>
                  <w:pPr>
                    <w:autoSpaceDE w:val="0"/>
                    <w:autoSpaceDN w:val="0"/>
                    <w:adjustRightInd w:val="0"/>
                    <w:jc w:val="center"/>
                    <w:rPr>
                      <w:bCs/>
                      <w:color w:val="auto"/>
                      <w:szCs w:val="21"/>
                      <w:u w:val="none"/>
                    </w:rPr>
                  </w:pPr>
                </w:p>
              </w:tc>
              <w:tc>
                <w:tcPr>
                  <w:tcW w:w="922" w:type="pct"/>
                  <w:vAlign w:val="center"/>
                </w:tcPr>
                <w:p>
                  <w:pPr>
                    <w:autoSpaceDE w:val="0"/>
                    <w:autoSpaceDN w:val="0"/>
                    <w:adjustRightInd w:val="0"/>
                    <w:jc w:val="center"/>
                    <w:rPr>
                      <w:bCs/>
                      <w:color w:val="auto"/>
                      <w:szCs w:val="21"/>
                      <w:u w:val="none"/>
                    </w:rPr>
                  </w:pPr>
                  <w:r>
                    <w:rPr>
                      <w:rFonts w:hint="eastAsia"/>
                      <w:bCs/>
                      <w:color w:val="auto"/>
                      <w:szCs w:val="21"/>
                      <w:u w:val="none"/>
                      <w:lang w:eastAsia="zh-CN"/>
                    </w:rPr>
                    <w:t>2025</w:t>
                  </w:r>
                  <w:r>
                    <w:rPr>
                      <w:bCs/>
                      <w:color w:val="auto"/>
                      <w:szCs w:val="21"/>
                      <w:u w:val="none"/>
                    </w:rPr>
                    <w:t>年12月</w:t>
                  </w:r>
                </w:p>
              </w:tc>
              <w:tc>
                <w:tcPr>
                  <w:tcW w:w="726" w:type="pct"/>
                  <w:vAlign w:val="center"/>
                </w:tcPr>
                <w:p>
                  <w:pPr>
                    <w:autoSpaceDE w:val="0"/>
                    <w:autoSpaceDN w:val="0"/>
                    <w:adjustRightInd w:val="0"/>
                    <w:jc w:val="center"/>
                    <w:rPr>
                      <w:bCs/>
                      <w:color w:val="auto"/>
                      <w:szCs w:val="21"/>
                      <w:u w:val="none"/>
                    </w:rPr>
                  </w:pPr>
                  <w:r>
                    <w:rPr>
                      <w:bCs/>
                      <w:color w:val="auto"/>
                      <w:szCs w:val="21"/>
                      <w:u w:val="none"/>
                    </w:rPr>
                    <w:t>Ⅱ类</w:t>
                  </w:r>
                </w:p>
              </w:tc>
            </w:tr>
          </w:tbl>
          <w:p>
            <w:pPr>
              <w:autoSpaceDE w:val="0"/>
              <w:autoSpaceDN w:val="0"/>
              <w:adjustRightInd w:val="0"/>
              <w:spacing w:line="360" w:lineRule="auto"/>
              <w:ind w:firstLine="480" w:firstLineChars="200"/>
              <w:rPr>
                <w:color w:val="auto"/>
                <w:sz w:val="24"/>
                <w:u w:val="none"/>
              </w:rPr>
            </w:pPr>
            <w:r>
              <w:rPr>
                <w:color w:val="auto"/>
                <w:sz w:val="24"/>
                <w:u w:val="none"/>
              </w:rPr>
              <w:t>根据水功能区划湘江乌龙嘴断面属于Ⅲ类水体，屈原湘江取水口断面属于Ⅱ类水体，湘江乌龙嘴断面、屈原湘江取水口断面202</w:t>
            </w:r>
            <w:r>
              <w:rPr>
                <w:rFonts w:hint="eastAsia"/>
                <w:color w:val="auto"/>
                <w:sz w:val="24"/>
                <w:u w:val="none"/>
                <w:lang w:val="en-US" w:eastAsia="zh-CN"/>
              </w:rPr>
              <w:t>5</w:t>
            </w:r>
            <w:r>
              <w:rPr>
                <w:color w:val="auto"/>
                <w:sz w:val="24"/>
                <w:u w:val="none"/>
              </w:rPr>
              <w:t>年1月~12月水质均能达到《地表水环境质量标准》（GB3838-2002）II类标准，项目所在区域地表水控制断面为达标区。</w:t>
            </w:r>
          </w:p>
          <w:p>
            <w:pPr>
              <w:spacing w:line="360" w:lineRule="auto"/>
              <w:rPr>
                <w:b/>
                <w:color w:val="auto"/>
                <w:sz w:val="24"/>
                <w:u w:val="none"/>
              </w:rPr>
            </w:pPr>
            <w:r>
              <w:rPr>
                <w:b/>
                <w:color w:val="auto"/>
                <w:sz w:val="24"/>
                <w:u w:val="none"/>
              </w:rPr>
              <w:t>3</w:t>
            </w:r>
            <w:r>
              <w:rPr>
                <w:rFonts w:hint="eastAsia"/>
                <w:b/>
                <w:color w:val="auto"/>
                <w:sz w:val="24"/>
                <w:u w:val="none"/>
              </w:rPr>
              <w:t xml:space="preserve">.3 </w:t>
            </w:r>
            <w:r>
              <w:rPr>
                <w:b/>
                <w:color w:val="auto"/>
                <w:sz w:val="24"/>
                <w:u w:val="none"/>
              </w:rPr>
              <w:t>声环境质量现状</w:t>
            </w:r>
          </w:p>
          <w:p>
            <w:pPr>
              <w:autoSpaceDE w:val="0"/>
              <w:autoSpaceDN w:val="0"/>
              <w:adjustRightInd w:val="0"/>
              <w:spacing w:line="360" w:lineRule="auto"/>
              <w:ind w:firstLine="480" w:firstLineChars="200"/>
              <w:rPr>
                <w:color w:val="auto"/>
                <w:sz w:val="24"/>
                <w:u w:val="none"/>
              </w:rPr>
            </w:pPr>
            <w:bookmarkStart w:id="8" w:name="_Toc490209422"/>
            <w:bookmarkStart w:id="9" w:name="_Toc490209421"/>
            <w:r>
              <w:rPr>
                <w:rFonts w:hint="eastAsia"/>
                <w:color w:val="auto"/>
                <w:sz w:val="24"/>
                <w:u w:val="none"/>
              </w:rPr>
              <w:t>为了解评价区域内声环境质量现状，本次评价委托湖南恩尼检测有限公司对项目厂界5</w:t>
            </w:r>
            <w:r>
              <w:rPr>
                <w:color w:val="auto"/>
                <w:sz w:val="24"/>
                <w:u w:val="none"/>
              </w:rPr>
              <w:t>0m</w:t>
            </w:r>
            <w:r>
              <w:rPr>
                <w:rFonts w:hint="eastAsia"/>
                <w:color w:val="auto"/>
                <w:sz w:val="24"/>
                <w:u w:val="none"/>
              </w:rPr>
              <w:t>范围内3个敏感点进行噪声现状监测，监测时间为2026年4月1日，监测报告详见附件</w:t>
            </w:r>
            <w:r>
              <w:rPr>
                <w:rFonts w:hint="eastAsia"/>
                <w:color w:val="auto"/>
                <w:sz w:val="24"/>
                <w:u w:val="none"/>
                <w:lang w:val="en-US" w:eastAsia="zh-CN"/>
              </w:rPr>
              <w:t>5</w:t>
            </w:r>
            <w:r>
              <w:rPr>
                <w:rFonts w:hint="eastAsia"/>
                <w:color w:val="auto"/>
                <w:sz w:val="24"/>
                <w:u w:val="none"/>
              </w:rPr>
              <w:t>。</w:t>
            </w:r>
            <w:bookmarkEnd w:id="8"/>
            <w:bookmarkEnd w:id="9"/>
          </w:p>
          <w:p>
            <w:pPr>
              <w:adjustRightInd w:val="0"/>
              <w:snapToGrid w:val="0"/>
              <w:spacing w:before="48" w:beforeLines="20" w:after="48" w:afterLines="20"/>
              <w:jc w:val="center"/>
              <w:rPr>
                <w:b/>
                <w:bCs/>
                <w:color w:val="auto"/>
                <w:sz w:val="24"/>
                <w:u w:val="none"/>
              </w:rPr>
            </w:pPr>
            <w:r>
              <w:rPr>
                <w:rFonts w:ascii="宋体" w:hAnsi="宋体"/>
                <w:b/>
                <w:color w:val="auto"/>
                <w:sz w:val="24"/>
                <w:u w:val="none"/>
              </w:rPr>
              <w:t>表</w:t>
            </w:r>
            <w:r>
              <w:rPr>
                <w:rFonts w:hint="eastAsia"/>
                <w:b/>
                <w:color w:val="auto"/>
                <w:sz w:val="24"/>
                <w:u w:val="none"/>
              </w:rPr>
              <w:t>3.3-1</w:t>
            </w:r>
            <w:r>
              <w:rPr>
                <w:b/>
                <w:color w:val="auto"/>
                <w:sz w:val="24"/>
                <w:u w:val="none"/>
              </w:rPr>
              <w:t xml:space="preserve">  </w:t>
            </w:r>
            <w:r>
              <w:rPr>
                <w:rFonts w:ascii="宋体" w:hAnsi="宋体"/>
                <w:b/>
                <w:color w:val="auto"/>
                <w:sz w:val="24"/>
                <w:u w:val="none"/>
              </w:rPr>
              <w:t>声环境质量现状监测结果单位：</w:t>
            </w:r>
            <w:r>
              <w:rPr>
                <w:b/>
                <w:bCs/>
                <w:color w:val="auto"/>
                <w:sz w:val="24"/>
                <w:u w:val="none"/>
              </w:rPr>
              <w:t>dB(A)</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64" w:type="dxa"/>
                <w:bottom w:w="0" w:type="dxa"/>
                <w:right w:w="51" w:type="dxa"/>
              </w:tblCellMar>
            </w:tblPr>
            <w:tblGrid>
              <w:gridCol w:w="2978"/>
              <w:gridCol w:w="2965"/>
              <w:gridCol w:w="2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64" w:type="dxa"/>
                  <w:bottom w:w="0" w:type="dxa"/>
                  <w:right w:w="51" w:type="dxa"/>
                </w:tblCellMar>
              </w:tblPrEx>
              <w:trPr>
                <w:cantSplit/>
                <w:trHeight w:val="340" w:hRule="atLeast"/>
              </w:trPr>
              <w:tc>
                <w:tcPr>
                  <w:tcW w:w="1866" w:type="pct"/>
                  <w:vMerge w:val="restart"/>
                  <w:tcBorders>
                    <w:top w:val="single" w:color="auto" w:sz="4" w:space="0"/>
                    <w:left w:val="single" w:color="auto" w:sz="4" w:space="0"/>
                    <w:bottom w:val="single" w:color="auto" w:sz="4" w:space="0"/>
                    <w:right w:val="single" w:color="auto" w:sz="4" w:space="0"/>
                  </w:tcBorders>
                  <w:vAlign w:val="center"/>
                </w:tcPr>
                <w:p>
                  <w:pPr>
                    <w:jc w:val="center"/>
                    <w:rPr>
                      <w:b/>
                      <w:bCs/>
                      <w:color w:val="auto"/>
                      <w:szCs w:val="21"/>
                      <w:u w:val="none"/>
                    </w:rPr>
                  </w:pPr>
                  <w:r>
                    <w:rPr>
                      <w:rFonts w:ascii="宋体" w:hAnsi="宋体"/>
                      <w:b/>
                      <w:bCs/>
                      <w:color w:val="auto"/>
                      <w:szCs w:val="21"/>
                      <w:u w:val="none"/>
                    </w:rPr>
                    <w:t>点位名称</w:t>
                  </w:r>
                </w:p>
              </w:tc>
              <w:tc>
                <w:tcPr>
                  <w:tcW w:w="3134" w:type="pct"/>
                  <w:gridSpan w:val="2"/>
                  <w:tcBorders>
                    <w:top w:val="single" w:color="auto" w:sz="4" w:space="0"/>
                    <w:left w:val="single" w:color="auto" w:sz="4" w:space="0"/>
                    <w:bottom w:val="single" w:color="auto" w:sz="4" w:space="0"/>
                    <w:right w:val="single" w:color="auto" w:sz="4" w:space="0"/>
                  </w:tcBorders>
                  <w:vAlign w:val="center"/>
                </w:tcPr>
                <w:p>
                  <w:pPr>
                    <w:jc w:val="center"/>
                    <w:rPr>
                      <w:b/>
                      <w:bCs/>
                      <w:color w:val="auto"/>
                      <w:szCs w:val="21"/>
                      <w:u w:val="none"/>
                    </w:rPr>
                  </w:pPr>
                  <w:r>
                    <w:rPr>
                      <w:rFonts w:ascii="宋体" w:hAnsi="宋体"/>
                      <w:b/>
                      <w:bCs/>
                      <w:color w:val="auto"/>
                      <w:szCs w:val="21"/>
                      <w:u w:val="none"/>
                    </w:rPr>
                    <w:t>检测结果</w:t>
                  </w:r>
                  <w:r>
                    <w:rPr>
                      <w:b/>
                      <w:bCs/>
                      <w:color w:val="auto"/>
                      <w:szCs w:val="21"/>
                      <w:u w:val="none"/>
                    </w:rPr>
                    <w:t>dB</w:t>
                  </w:r>
                  <w:r>
                    <w:rPr>
                      <w:rFonts w:ascii="宋体" w:hAnsi="宋体"/>
                      <w:b/>
                      <w:bCs/>
                      <w:color w:val="auto"/>
                      <w:szCs w:val="21"/>
                      <w:u w:val="none"/>
                    </w:rPr>
                    <w:t>（</w:t>
                  </w:r>
                  <w:r>
                    <w:rPr>
                      <w:b/>
                      <w:bCs/>
                      <w:color w:val="auto"/>
                      <w:szCs w:val="21"/>
                      <w:u w:val="none"/>
                    </w:rPr>
                    <w:t>A</w:t>
                  </w:r>
                  <w:r>
                    <w:rPr>
                      <w:rFonts w:ascii="宋体" w:hAnsi="宋体"/>
                      <w:b/>
                      <w:bCs/>
                      <w:color w:val="auto"/>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64" w:type="dxa"/>
                  <w:bottom w:w="0" w:type="dxa"/>
                  <w:right w:w="51" w:type="dxa"/>
                </w:tblCellMar>
              </w:tblPrEx>
              <w:trPr>
                <w:cantSplit/>
                <w:trHeight w:val="340" w:hRule="atLeast"/>
              </w:trPr>
              <w:tc>
                <w:tcPr>
                  <w:tcW w:w="186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color w:val="auto"/>
                      <w:szCs w:val="21"/>
                      <w:u w:val="none"/>
                    </w:rPr>
                  </w:pPr>
                </w:p>
              </w:tc>
              <w:tc>
                <w:tcPr>
                  <w:tcW w:w="1858" w:type="pct"/>
                  <w:tcBorders>
                    <w:top w:val="single" w:color="auto" w:sz="4" w:space="0"/>
                    <w:left w:val="single" w:color="auto" w:sz="4" w:space="0"/>
                    <w:bottom w:val="single" w:color="auto" w:sz="4" w:space="0"/>
                    <w:right w:val="single" w:color="auto" w:sz="4" w:space="0"/>
                  </w:tcBorders>
                  <w:vAlign w:val="center"/>
                </w:tcPr>
                <w:p>
                  <w:pPr>
                    <w:jc w:val="center"/>
                    <w:rPr>
                      <w:b/>
                      <w:bCs/>
                      <w:color w:val="auto"/>
                      <w:szCs w:val="21"/>
                      <w:u w:val="none"/>
                    </w:rPr>
                  </w:pPr>
                  <w:r>
                    <w:rPr>
                      <w:rFonts w:ascii="宋体" w:hAnsi="宋体"/>
                      <w:b/>
                      <w:bCs/>
                      <w:color w:val="auto"/>
                      <w:szCs w:val="21"/>
                      <w:u w:val="none"/>
                    </w:rPr>
                    <w:t>昼间</w:t>
                  </w:r>
                </w:p>
              </w:tc>
              <w:tc>
                <w:tcPr>
                  <w:tcW w:w="1276" w:type="pct"/>
                  <w:tcBorders>
                    <w:top w:val="single" w:color="auto" w:sz="4" w:space="0"/>
                    <w:left w:val="single" w:color="auto" w:sz="4" w:space="0"/>
                    <w:bottom w:val="single" w:color="auto" w:sz="4" w:space="0"/>
                    <w:right w:val="single" w:color="auto" w:sz="4" w:space="0"/>
                  </w:tcBorders>
                  <w:vAlign w:val="center"/>
                </w:tcPr>
                <w:p>
                  <w:pPr>
                    <w:jc w:val="center"/>
                    <w:rPr>
                      <w:b/>
                      <w:bCs/>
                      <w:color w:val="auto"/>
                      <w:szCs w:val="21"/>
                      <w:u w:val="none"/>
                    </w:rPr>
                  </w:pPr>
                  <w:r>
                    <w:rPr>
                      <w:rFonts w:ascii="宋体" w:hAnsi="宋体"/>
                      <w:b/>
                      <w:bCs/>
                      <w:color w:val="auto"/>
                      <w:szCs w:val="21"/>
                      <w:u w:val="none"/>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64" w:type="dxa"/>
                  <w:bottom w:w="0" w:type="dxa"/>
                  <w:right w:w="51" w:type="dxa"/>
                </w:tblCellMar>
              </w:tblPrEx>
              <w:trPr>
                <w:cantSplit/>
                <w:trHeight w:val="340" w:hRule="atLeast"/>
              </w:trPr>
              <w:tc>
                <w:tcPr>
                  <w:tcW w:w="1866"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color w:val="auto"/>
                      <w:szCs w:val="21"/>
                      <w:u w:val="none"/>
                    </w:rPr>
                    <w:t>N1</w:t>
                  </w:r>
                  <w:r>
                    <w:rPr>
                      <w:rFonts w:hint="eastAsia" w:ascii="宋体" w:hAnsi="宋体"/>
                      <w:color w:val="auto"/>
                      <w:szCs w:val="21"/>
                      <w:u w:val="none"/>
                    </w:rPr>
                    <w:t>西北面</w:t>
                  </w:r>
                  <w:r>
                    <w:rPr>
                      <w:rFonts w:ascii="宋体" w:hAnsi="宋体"/>
                      <w:color w:val="auto"/>
                      <w:szCs w:val="21"/>
                      <w:u w:val="none"/>
                    </w:rPr>
                    <w:t>居民点</w:t>
                  </w:r>
                </w:p>
              </w:tc>
              <w:tc>
                <w:tcPr>
                  <w:tcW w:w="1858"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Cs w:val="21"/>
                      <w:u w:val="none"/>
                    </w:rPr>
                    <w:t>55.1</w:t>
                  </w:r>
                </w:p>
              </w:tc>
              <w:tc>
                <w:tcPr>
                  <w:tcW w:w="1276"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Cs w:val="21"/>
                      <w:u w:val="none"/>
                    </w:rPr>
                    <w:t>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64" w:type="dxa"/>
                  <w:bottom w:w="0" w:type="dxa"/>
                  <w:right w:w="51" w:type="dxa"/>
                </w:tblCellMar>
              </w:tblPrEx>
              <w:trPr>
                <w:cantSplit/>
                <w:trHeight w:val="340" w:hRule="atLeast"/>
              </w:trPr>
              <w:tc>
                <w:tcPr>
                  <w:tcW w:w="1866"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color w:val="auto"/>
                      <w:szCs w:val="21"/>
                      <w:u w:val="none"/>
                    </w:rPr>
                    <w:t>N2</w:t>
                  </w:r>
                  <w:r>
                    <w:rPr>
                      <w:rFonts w:hint="eastAsia" w:ascii="宋体" w:hAnsi="宋体"/>
                      <w:color w:val="auto"/>
                      <w:szCs w:val="21"/>
                      <w:u w:val="none"/>
                    </w:rPr>
                    <w:t>西面</w:t>
                  </w:r>
                  <w:r>
                    <w:rPr>
                      <w:rFonts w:ascii="宋体" w:hAnsi="宋体"/>
                      <w:color w:val="auto"/>
                      <w:szCs w:val="21"/>
                      <w:u w:val="none"/>
                    </w:rPr>
                    <w:t>居民点</w:t>
                  </w:r>
                </w:p>
              </w:tc>
              <w:tc>
                <w:tcPr>
                  <w:tcW w:w="1858"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Cs w:val="21"/>
                      <w:u w:val="none"/>
                    </w:rPr>
                    <w:t>54.0</w:t>
                  </w:r>
                </w:p>
              </w:tc>
              <w:tc>
                <w:tcPr>
                  <w:tcW w:w="1276"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Cs w:val="21"/>
                      <w:u w:val="none"/>
                    </w:rPr>
                    <w:t>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64" w:type="dxa"/>
                  <w:bottom w:w="0" w:type="dxa"/>
                  <w:right w:w="51" w:type="dxa"/>
                </w:tblCellMar>
              </w:tblPrEx>
              <w:trPr>
                <w:cantSplit/>
                <w:trHeight w:val="340" w:hRule="atLeast"/>
              </w:trPr>
              <w:tc>
                <w:tcPr>
                  <w:tcW w:w="1866"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Cs w:val="21"/>
                      <w:u w:val="none"/>
                    </w:rPr>
                    <w:t>N3西南面居民点</w:t>
                  </w:r>
                </w:p>
              </w:tc>
              <w:tc>
                <w:tcPr>
                  <w:tcW w:w="1858"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Cs w:val="21"/>
                      <w:u w:val="none"/>
                    </w:rPr>
                    <w:t>57.1</w:t>
                  </w:r>
                </w:p>
              </w:tc>
              <w:tc>
                <w:tcPr>
                  <w:tcW w:w="1276"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hint="eastAsia"/>
                      <w:color w:val="auto"/>
                      <w:szCs w:val="21"/>
                      <w:u w:val="none"/>
                    </w:rPr>
                    <w:t>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64" w:type="dxa"/>
                  <w:bottom w:w="0" w:type="dxa"/>
                  <w:right w:w="51" w:type="dxa"/>
                </w:tblCellMar>
              </w:tblPrEx>
              <w:trPr>
                <w:cantSplit/>
                <w:trHeight w:val="340" w:hRule="atLeast"/>
              </w:trPr>
              <w:tc>
                <w:tcPr>
                  <w:tcW w:w="1866"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rFonts w:ascii="宋体" w:hAnsi="宋体"/>
                      <w:color w:val="auto"/>
                      <w:szCs w:val="21"/>
                      <w:u w:val="none"/>
                    </w:rPr>
                    <w:t>标准限值</w:t>
                  </w:r>
                </w:p>
              </w:tc>
              <w:tc>
                <w:tcPr>
                  <w:tcW w:w="1858"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color w:val="auto"/>
                      <w:szCs w:val="21"/>
                      <w:u w:val="none"/>
                    </w:rPr>
                    <w:t>60</w:t>
                  </w:r>
                </w:p>
              </w:tc>
              <w:tc>
                <w:tcPr>
                  <w:tcW w:w="1276" w:type="pct"/>
                  <w:tcBorders>
                    <w:top w:val="single" w:color="auto" w:sz="4" w:space="0"/>
                    <w:left w:val="single" w:color="auto" w:sz="4" w:space="0"/>
                    <w:bottom w:val="single" w:color="auto" w:sz="4" w:space="0"/>
                    <w:right w:val="single" w:color="auto" w:sz="4" w:space="0"/>
                  </w:tcBorders>
                  <w:vAlign w:val="center"/>
                </w:tcPr>
                <w:p>
                  <w:pPr>
                    <w:jc w:val="center"/>
                    <w:rPr>
                      <w:color w:val="auto"/>
                      <w:szCs w:val="21"/>
                      <w:u w:val="none"/>
                    </w:rPr>
                  </w:pPr>
                  <w:r>
                    <w:rPr>
                      <w:color w:val="auto"/>
                      <w:szCs w:val="21"/>
                      <w:u w:val="none"/>
                    </w:rPr>
                    <w:t>50</w:t>
                  </w:r>
                </w:p>
              </w:tc>
            </w:tr>
          </w:tbl>
          <w:p>
            <w:pPr>
              <w:autoSpaceDE w:val="0"/>
              <w:autoSpaceDN w:val="0"/>
              <w:adjustRightInd w:val="0"/>
              <w:spacing w:line="360" w:lineRule="auto"/>
              <w:ind w:firstLine="480" w:firstLineChars="200"/>
              <w:rPr>
                <w:color w:val="auto"/>
                <w:sz w:val="24"/>
                <w:u w:val="none"/>
              </w:rPr>
            </w:pPr>
            <w:r>
              <w:rPr>
                <w:rFonts w:ascii="宋体" w:hAnsi="宋体"/>
                <w:color w:val="auto"/>
                <w:sz w:val="24"/>
                <w:u w:val="none"/>
              </w:rPr>
              <w:t>由上表可知，评价区域内敏感点</w:t>
            </w:r>
            <w:r>
              <w:rPr>
                <w:rFonts w:hint="eastAsia" w:ascii="宋体" w:hAnsi="宋体"/>
                <w:color w:val="auto"/>
                <w:sz w:val="24"/>
                <w:u w:val="none"/>
              </w:rPr>
              <w:t>声环境质量</w:t>
            </w:r>
            <w:r>
              <w:rPr>
                <w:rFonts w:ascii="宋体" w:hAnsi="宋体"/>
                <w:color w:val="auto"/>
                <w:sz w:val="24"/>
                <w:u w:val="none"/>
              </w:rPr>
              <w:t>符合《声环境质量标准》（</w:t>
            </w:r>
            <w:r>
              <w:rPr>
                <w:color w:val="auto"/>
                <w:sz w:val="24"/>
                <w:u w:val="none"/>
              </w:rPr>
              <w:t>GB3096-2008</w:t>
            </w:r>
            <w:r>
              <w:rPr>
                <w:rFonts w:ascii="宋体" w:hAnsi="宋体"/>
                <w:color w:val="auto"/>
                <w:sz w:val="24"/>
                <w:u w:val="none"/>
              </w:rPr>
              <w:t>）中</w:t>
            </w:r>
            <w:r>
              <w:rPr>
                <w:color w:val="auto"/>
                <w:sz w:val="24"/>
                <w:u w:val="none"/>
              </w:rPr>
              <w:t>2</w:t>
            </w:r>
            <w:r>
              <w:rPr>
                <w:rFonts w:ascii="宋体" w:hAnsi="宋体"/>
                <w:color w:val="auto"/>
                <w:sz w:val="24"/>
                <w:u w:val="none"/>
              </w:rPr>
              <w:t>类标准，区域声环境质量现状良好。</w:t>
            </w:r>
          </w:p>
          <w:p>
            <w:pPr>
              <w:autoSpaceDE w:val="0"/>
              <w:autoSpaceDN w:val="0"/>
              <w:adjustRightInd w:val="0"/>
              <w:spacing w:line="360" w:lineRule="auto"/>
              <w:rPr>
                <w:b/>
                <w:bCs/>
                <w:color w:val="auto"/>
                <w:sz w:val="24"/>
                <w:u w:val="none"/>
              </w:rPr>
            </w:pPr>
            <w:r>
              <w:rPr>
                <w:rFonts w:hint="eastAsia"/>
                <w:b/>
                <w:bCs/>
                <w:color w:val="auto"/>
                <w:sz w:val="24"/>
                <w:u w:val="none"/>
              </w:rPr>
              <w:t>3.4 地下水、土壤环境质量现状</w:t>
            </w:r>
          </w:p>
          <w:p>
            <w:pPr>
              <w:autoSpaceDE w:val="0"/>
              <w:autoSpaceDN w:val="0"/>
              <w:adjustRightInd w:val="0"/>
              <w:spacing w:line="360" w:lineRule="auto"/>
              <w:ind w:firstLine="480" w:firstLineChars="200"/>
              <w:rPr>
                <w:color w:val="auto"/>
                <w:sz w:val="24"/>
                <w:u w:val="none"/>
              </w:rPr>
            </w:pPr>
            <w:r>
              <w:rPr>
                <w:rFonts w:hint="eastAsia"/>
                <w:color w:val="auto"/>
                <w:sz w:val="24"/>
                <w:u w:val="none"/>
              </w:rPr>
              <w:t>根据《建设项目环境影响报告表编制技术指南（污染影响类）（试行）》中地下水、土壤环境现状调查要求：“原则上不开展环境质量现状调查。建设项目存在地下水、土壤环境污染途径的，应结合污染源、保护目标分布情况开展现状调查以留作背景值。”本项目生产线位于4#车间2楼，车间地面做好硬化防渗及“三防”措施（防扬散、防流失、防渗漏），食用油罐设置围堰，根据本项目的建设类型判断，不存在地下水和土壤环境污染途径，可不开展地下水、土壤环境现状调查。</w:t>
            </w:r>
          </w:p>
          <w:p>
            <w:pPr>
              <w:autoSpaceDE w:val="0"/>
              <w:autoSpaceDN w:val="0"/>
              <w:adjustRightInd w:val="0"/>
              <w:spacing w:line="360" w:lineRule="auto"/>
              <w:rPr>
                <w:b/>
                <w:bCs/>
                <w:color w:val="auto"/>
                <w:sz w:val="24"/>
                <w:u w:val="none"/>
              </w:rPr>
            </w:pPr>
            <w:r>
              <w:rPr>
                <w:rFonts w:hint="eastAsia"/>
                <w:b/>
                <w:bCs/>
                <w:color w:val="auto"/>
                <w:sz w:val="24"/>
                <w:u w:val="none"/>
              </w:rPr>
              <w:t>3.5 生态环境现状调查与评价</w:t>
            </w:r>
          </w:p>
          <w:p>
            <w:pPr>
              <w:autoSpaceDE w:val="0"/>
              <w:autoSpaceDN w:val="0"/>
              <w:adjustRightInd w:val="0"/>
              <w:spacing w:line="360" w:lineRule="auto"/>
              <w:ind w:firstLine="480" w:firstLineChars="200"/>
              <w:rPr>
                <w:color w:val="auto"/>
                <w:sz w:val="24"/>
                <w:u w:val="none"/>
              </w:rPr>
            </w:pPr>
            <w:r>
              <w:rPr>
                <w:rFonts w:hint="eastAsia"/>
                <w:color w:val="auto"/>
                <w:sz w:val="24"/>
                <w:u w:val="none"/>
              </w:rPr>
              <w:t>根据《建设项目环境影响报告表编制技术指南（污染影响类）（试行）》中生态环境现状调查要求“产业园区外建设项目新增用地且用地范围内含有生态环境敏感目标时，应进行生态调查。”本项目位于</w:t>
            </w:r>
            <w:r>
              <w:rPr>
                <w:rFonts w:hint="eastAsia"/>
                <w:bCs/>
                <w:color w:val="auto"/>
                <w:sz w:val="24"/>
                <w:u w:val="none"/>
              </w:rPr>
              <w:t>湘阴高新技术产业开发区范围内</w:t>
            </w:r>
            <w:r>
              <w:rPr>
                <w:rFonts w:hint="eastAsia"/>
                <w:color w:val="auto"/>
                <w:sz w:val="24"/>
                <w:u w:val="none"/>
              </w:rPr>
              <w:t>，可不开展生态现状调查。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620" w:type="dxa"/>
            <w:vAlign w:val="center"/>
          </w:tcPr>
          <w:p>
            <w:pPr>
              <w:adjustRightInd w:val="0"/>
              <w:snapToGrid w:val="0"/>
              <w:jc w:val="center"/>
              <w:rPr>
                <w:color w:val="auto"/>
                <w:kern w:val="0"/>
                <w:sz w:val="24"/>
                <w:u w:val="none"/>
              </w:rPr>
            </w:pPr>
            <w:r>
              <w:rPr>
                <w:color w:val="auto"/>
                <w:kern w:val="0"/>
                <w:sz w:val="24"/>
                <w:u w:val="none"/>
              </w:rPr>
              <w:t>环境</w:t>
            </w:r>
          </w:p>
          <w:p>
            <w:pPr>
              <w:adjustRightInd w:val="0"/>
              <w:snapToGrid w:val="0"/>
              <w:jc w:val="center"/>
              <w:rPr>
                <w:color w:val="auto"/>
                <w:kern w:val="0"/>
                <w:sz w:val="24"/>
                <w:u w:val="none"/>
              </w:rPr>
            </w:pPr>
            <w:r>
              <w:rPr>
                <w:color w:val="auto"/>
                <w:kern w:val="0"/>
                <w:sz w:val="24"/>
                <w:u w:val="none"/>
              </w:rPr>
              <w:t>保护</w:t>
            </w:r>
          </w:p>
          <w:p>
            <w:pPr>
              <w:adjustRightInd w:val="0"/>
              <w:snapToGrid w:val="0"/>
              <w:jc w:val="center"/>
              <w:rPr>
                <w:color w:val="auto"/>
                <w:kern w:val="0"/>
                <w:sz w:val="24"/>
                <w:u w:val="none"/>
              </w:rPr>
            </w:pPr>
            <w:r>
              <w:rPr>
                <w:color w:val="auto"/>
                <w:kern w:val="0"/>
                <w:sz w:val="24"/>
                <w:u w:val="none"/>
              </w:rPr>
              <w:t>目标</w:t>
            </w:r>
          </w:p>
        </w:tc>
        <w:tc>
          <w:tcPr>
            <w:tcW w:w="8205" w:type="dxa"/>
            <w:vAlign w:val="center"/>
          </w:tcPr>
          <w:p>
            <w:pPr>
              <w:pStyle w:val="58"/>
              <w:spacing w:line="360" w:lineRule="auto"/>
              <w:ind w:firstLine="480" w:firstLineChars="200"/>
              <w:rPr>
                <w:rFonts w:ascii="Times New Roman" w:hAnsi="Times New Roman" w:eastAsia="宋体" w:cs="Times New Roman"/>
                <w:color w:val="auto"/>
                <w:u w:val="none"/>
              </w:rPr>
            </w:pPr>
            <w:r>
              <w:rPr>
                <w:rFonts w:hint="eastAsia" w:ascii="Times New Roman" w:hAnsi="Times New Roman" w:eastAsia="宋体" w:cs="Times New Roman"/>
                <w:color w:val="auto"/>
                <w:u w:val="none"/>
              </w:rPr>
              <w:t>本项目位于湖南省湘阴高新技术产业开发区洋沙湖片区芙蓉北路西侧。根据对建设项目周边环境的调查，厂界外500m范围内无自然保护区、风景名胜区；</w:t>
            </w:r>
            <w:r>
              <w:rPr>
                <w:rFonts w:ascii="Times New Roman" w:hAnsi="Times New Roman" w:eastAsia="宋体" w:cs="Times New Roman"/>
                <w:color w:val="auto"/>
                <w:u w:val="none"/>
              </w:rPr>
              <w:t>无地下水集中式饮用水水源和热水、矿泉水、温泉等特殊地下水资源。</w:t>
            </w:r>
            <w:r>
              <w:rPr>
                <w:rFonts w:hint="eastAsia" w:ascii="Times New Roman" w:hAnsi="Times New Roman" w:eastAsia="宋体" w:cs="Times New Roman"/>
                <w:color w:val="auto"/>
                <w:u w:val="none"/>
              </w:rPr>
              <w:t>项目评价范围主要环境保护目标详见下表及附图4。</w:t>
            </w:r>
          </w:p>
          <w:p>
            <w:pPr>
              <w:spacing w:line="360" w:lineRule="auto"/>
              <w:ind w:right="55" w:rightChars="26"/>
              <w:jc w:val="center"/>
              <w:rPr>
                <w:b/>
                <w:color w:val="auto"/>
                <w:sz w:val="24"/>
                <w:u w:val="none"/>
              </w:rPr>
            </w:pPr>
            <w:r>
              <w:rPr>
                <w:b/>
                <w:color w:val="auto"/>
                <w:sz w:val="24"/>
                <w:u w:val="none"/>
              </w:rPr>
              <w:t>表</w:t>
            </w:r>
            <w:r>
              <w:rPr>
                <w:rFonts w:hint="eastAsia"/>
                <w:b/>
                <w:color w:val="auto"/>
                <w:sz w:val="24"/>
                <w:u w:val="none"/>
              </w:rPr>
              <w:t>3.6-1</w:t>
            </w:r>
            <w:r>
              <w:rPr>
                <w:b/>
                <w:color w:val="auto"/>
                <w:sz w:val="24"/>
                <w:u w:val="none"/>
              </w:rPr>
              <w:t xml:space="preserve">  本项目环境保护目标一览表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79"/>
              <w:gridCol w:w="808"/>
              <w:gridCol w:w="989"/>
              <w:gridCol w:w="989"/>
              <w:gridCol w:w="543"/>
              <w:gridCol w:w="814"/>
              <w:gridCol w:w="513"/>
              <w:gridCol w:w="1108"/>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restart"/>
                  <w:tcBorders>
                    <w:top w:val="single" w:color="auto" w:sz="4" w:space="0"/>
                    <w:left w:val="single" w:color="auto" w:sz="4" w:space="0"/>
                    <w:right w:val="single" w:color="auto" w:sz="4" w:space="0"/>
                  </w:tcBorders>
                  <w:vAlign w:val="center"/>
                </w:tcPr>
                <w:p>
                  <w:pPr>
                    <w:jc w:val="center"/>
                    <w:rPr>
                      <w:rFonts w:hint="eastAsia" w:ascii="宋体" w:hAnsi="宋体"/>
                      <w:b/>
                      <w:bCs/>
                      <w:color w:val="auto"/>
                      <w:sz w:val="21"/>
                      <w:szCs w:val="21"/>
                      <w:u w:val="none"/>
                    </w:rPr>
                  </w:pPr>
                  <w:r>
                    <w:rPr>
                      <w:rFonts w:hint="eastAsia" w:ascii="宋体" w:hAnsi="宋体"/>
                      <w:b/>
                      <w:bCs/>
                      <w:color w:val="auto"/>
                      <w:sz w:val="21"/>
                      <w:szCs w:val="21"/>
                      <w:u w:val="none"/>
                    </w:rPr>
                    <w:t>类别</w:t>
                  </w:r>
                </w:p>
              </w:tc>
              <w:tc>
                <w:tcPr>
                  <w:tcW w:w="546" w:type="pct"/>
                  <w:vMerge w:val="restart"/>
                  <w:tcBorders>
                    <w:top w:val="single" w:color="auto" w:sz="4" w:space="0"/>
                    <w:left w:val="single" w:color="auto" w:sz="4" w:space="0"/>
                    <w:bottom w:val="single" w:color="auto" w:sz="4" w:space="0"/>
                    <w:right w:val="single" w:color="auto" w:sz="4" w:space="0"/>
                  </w:tcBorders>
                  <w:vAlign w:val="center"/>
                </w:tcPr>
                <w:p>
                  <w:pPr>
                    <w:jc w:val="center"/>
                    <w:rPr>
                      <w:b/>
                      <w:bCs/>
                      <w:color w:val="auto"/>
                      <w:sz w:val="21"/>
                      <w:szCs w:val="21"/>
                      <w:u w:val="none"/>
                    </w:rPr>
                  </w:pPr>
                  <w:r>
                    <w:rPr>
                      <w:rFonts w:ascii="宋体" w:hAnsi="宋体"/>
                      <w:b/>
                      <w:bCs/>
                      <w:color w:val="auto"/>
                      <w:sz w:val="21"/>
                      <w:szCs w:val="21"/>
                      <w:u w:val="none"/>
                    </w:rPr>
                    <w:t>名称</w:t>
                  </w:r>
                </w:p>
              </w:tc>
              <w:tc>
                <w:tcPr>
                  <w:tcW w:w="1292" w:type="pct"/>
                  <w:gridSpan w:val="2"/>
                  <w:tcBorders>
                    <w:top w:val="single" w:color="auto" w:sz="4" w:space="0"/>
                    <w:left w:val="single" w:color="auto" w:sz="4" w:space="0"/>
                    <w:bottom w:val="single" w:color="auto" w:sz="4" w:space="0"/>
                    <w:right w:val="single" w:color="auto" w:sz="4" w:space="0"/>
                  </w:tcBorders>
                  <w:vAlign w:val="center"/>
                </w:tcPr>
                <w:p>
                  <w:pPr>
                    <w:jc w:val="center"/>
                    <w:rPr>
                      <w:b/>
                      <w:bCs/>
                      <w:color w:val="auto"/>
                      <w:sz w:val="21"/>
                      <w:szCs w:val="21"/>
                      <w:u w:val="none"/>
                    </w:rPr>
                  </w:pPr>
                  <w:r>
                    <w:rPr>
                      <w:rFonts w:ascii="宋体" w:hAnsi="宋体"/>
                      <w:b/>
                      <w:bCs/>
                      <w:color w:val="auto"/>
                      <w:sz w:val="21"/>
                      <w:szCs w:val="21"/>
                      <w:u w:val="none"/>
                    </w:rPr>
                    <w:t>坐标</w:t>
                  </w:r>
                </w:p>
              </w:tc>
              <w:tc>
                <w:tcPr>
                  <w:tcW w:w="405" w:type="pct"/>
                  <w:vMerge w:val="restart"/>
                  <w:tcBorders>
                    <w:top w:val="single" w:color="auto" w:sz="4" w:space="0"/>
                    <w:left w:val="single" w:color="auto" w:sz="4" w:space="0"/>
                    <w:bottom w:val="single" w:color="auto" w:sz="4" w:space="0"/>
                    <w:right w:val="single" w:color="auto" w:sz="4" w:space="0"/>
                  </w:tcBorders>
                  <w:vAlign w:val="center"/>
                </w:tcPr>
                <w:p>
                  <w:pPr>
                    <w:jc w:val="center"/>
                    <w:rPr>
                      <w:b/>
                      <w:bCs/>
                      <w:color w:val="auto"/>
                      <w:sz w:val="21"/>
                      <w:szCs w:val="21"/>
                      <w:u w:val="none"/>
                    </w:rPr>
                  </w:pPr>
                  <w:r>
                    <w:rPr>
                      <w:rFonts w:ascii="宋体" w:hAnsi="宋体"/>
                      <w:b/>
                      <w:bCs/>
                      <w:color w:val="auto"/>
                      <w:sz w:val="21"/>
                      <w:szCs w:val="21"/>
                      <w:u w:val="none"/>
                    </w:rPr>
                    <w:t>相对厂址方位</w:t>
                  </w:r>
                </w:p>
              </w:tc>
              <w:tc>
                <w:tcPr>
                  <w:tcW w:w="510" w:type="pct"/>
                  <w:vMerge w:val="restart"/>
                  <w:tcBorders>
                    <w:top w:val="single" w:color="auto" w:sz="4" w:space="0"/>
                    <w:left w:val="single" w:color="auto" w:sz="4" w:space="0"/>
                    <w:bottom w:val="single" w:color="auto" w:sz="4" w:space="0"/>
                    <w:right w:val="single" w:color="auto" w:sz="4" w:space="0"/>
                  </w:tcBorders>
                  <w:vAlign w:val="center"/>
                </w:tcPr>
                <w:p>
                  <w:pPr>
                    <w:jc w:val="center"/>
                    <w:rPr>
                      <w:b/>
                      <w:bCs/>
                      <w:color w:val="auto"/>
                      <w:sz w:val="21"/>
                      <w:szCs w:val="21"/>
                      <w:u w:val="none"/>
                    </w:rPr>
                  </w:pPr>
                  <w:r>
                    <w:rPr>
                      <w:rFonts w:ascii="宋体" w:hAnsi="宋体"/>
                      <w:b/>
                      <w:bCs/>
                      <w:color w:val="auto"/>
                      <w:sz w:val="21"/>
                      <w:szCs w:val="21"/>
                      <w:u w:val="none"/>
                    </w:rPr>
                    <w:t>距离范围</w:t>
                  </w:r>
                  <w:r>
                    <w:rPr>
                      <w:rFonts w:hint="eastAsia" w:ascii="宋体" w:hAnsi="宋体"/>
                      <w:b/>
                      <w:bCs/>
                      <w:color w:val="auto"/>
                      <w:sz w:val="21"/>
                      <w:szCs w:val="21"/>
                      <w:u w:val="none"/>
                    </w:rPr>
                    <w:t>(m</w:t>
                  </w:r>
                  <w:r>
                    <w:rPr>
                      <w:rFonts w:ascii="宋体" w:hAnsi="宋体"/>
                      <w:b/>
                      <w:bCs/>
                      <w:color w:val="auto"/>
                      <w:sz w:val="21"/>
                      <w:szCs w:val="21"/>
                      <w:u w:val="none"/>
                    </w:rPr>
                    <w:t>）</w:t>
                  </w:r>
                </w:p>
              </w:tc>
              <w:tc>
                <w:tcPr>
                  <w:tcW w:w="361" w:type="pct"/>
                  <w:vMerge w:val="restart"/>
                  <w:tcBorders>
                    <w:top w:val="single" w:color="auto" w:sz="4" w:space="0"/>
                    <w:left w:val="single" w:color="auto" w:sz="4" w:space="0"/>
                    <w:bottom w:val="single" w:color="auto" w:sz="4" w:space="0"/>
                    <w:right w:val="single" w:color="auto" w:sz="4" w:space="0"/>
                  </w:tcBorders>
                  <w:vAlign w:val="center"/>
                </w:tcPr>
                <w:p>
                  <w:pPr>
                    <w:jc w:val="center"/>
                    <w:rPr>
                      <w:b/>
                      <w:bCs/>
                      <w:color w:val="auto"/>
                      <w:sz w:val="21"/>
                      <w:szCs w:val="21"/>
                      <w:u w:val="none"/>
                    </w:rPr>
                  </w:pPr>
                  <w:r>
                    <w:rPr>
                      <w:rFonts w:ascii="宋体" w:hAnsi="宋体"/>
                      <w:b/>
                      <w:bCs/>
                      <w:color w:val="auto"/>
                      <w:sz w:val="21"/>
                      <w:szCs w:val="21"/>
                      <w:u w:val="none"/>
                    </w:rPr>
                    <w:t>保护对象</w:t>
                  </w:r>
                </w:p>
              </w:tc>
              <w:tc>
                <w:tcPr>
                  <w:tcW w:w="733" w:type="pct"/>
                  <w:vMerge w:val="restart"/>
                  <w:tcBorders>
                    <w:top w:val="single" w:color="auto" w:sz="4" w:space="0"/>
                    <w:left w:val="single" w:color="auto" w:sz="4" w:space="0"/>
                    <w:bottom w:val="single" w:color="auto" w:sz="4" w:space="0"/>
                    <w:right w:val="single" w:color="auto" w:sz="4" w:space="0"/>
                  </w:tcBorders>
                  <w:vAlign w:val="center"/>
                </w:tcPr>
                <w:p>
                  <w:pPr>
                    <w:jc w:val="center"/>
                    <w:rPr>
                      <w:b/>
                      <w:bCs/>
                      <w:color w:val="auto"/>
                      <w:sz w:val="21"/>
                      <w:szCs w:val="21"/>
                      <w:u w:val="none"/>
                    </w:rPr>
                  </w:pPr>
                  <w:r>
                    <w:rPr>
                      <w:rFonts w:hint="eastAsia"/>
                      <w:b/>
                      <w:bCs/>
                      <w:color w:val="auto"/>
                      <w:sz w:val="21"/>
                      <w:szCs w:val="21"/>
                      <w:u w:val="none"/>
                    </w:rPr>
                    <w:t>规模</w:t>
                  </w:r>
                </w:p>
              </w:tc>
              <w:tc>
                <w:tcPr>
                  <w:tcW w:w="809" w:type="pct"/>
                  <w:vMerge w:val="restart"/>
                  <w:tcBorders>
                    <w:top w:val="single" w:color="auto" w:sz="4" w:space="0"/>
                    <w:left w:val="single" w:color="auto" w:sz="4" w:space="0"/>
                    <w:bottom w:val="single" w:color="auto" w:sz="4" w:space="0"/>
                    <w:right w:val="single" w:color="auto" w:sz="4" w:space="0"/>
                  </w:tcBorders>
                  <w:vAlign w:val="center"/>
                </w:tcPr>
                <w:p>
                  <w:pPr>
                    <w:jc w:val="center"/>
                    <w:rPr>
                      <w:b/>
                      <w:bCs/>
                      <w:color w:val="auto"/>
                      <w:sz w:val="21"/>
                      <w:szCs w:val="21"/>
                      <w:u w:val="none"/>
                    </w:rPr>
                  </w:pPr>
                  <w:r>
                    <w:rPr>
                      <w:rFonts w:ascii="宋体" w:hAnsi="宋体"/>
                      <w:b/>
                      <w:bCs/>
                      <w:color w:val="auto"/>
                      <w:sz w:val="21"/>
                      <w:szCs w:val="21"/>
                      <w:u w:val="none"/>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2" w:hRule="atLeast"/>
              </w:trPr>
              <w:tc>
                <w:tcPr>
                  <w:tcW w:w="340" w:type="pct"/>
                  <w:vMerge w:val="continue"/>
                  <w:tcBorders>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c>
                <w:tcPr>
                  <w:tcW w:w="546"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c>
                <w:tcPr>
                  <w:tcW w:w="646" w:type="pct"/>
                  <w:tcBorders>
                    <w:top w:val="single" w:color="auto" w:sz="4" w:space="0"/>
                    <w:left w:val="single" w:color="auto" w:sz="4" w:space="0"/>
                    <w:bottom w:val="single" w:color="auto" w:sz="4" w:space="0"/>
                    <w:right w:val="single" w:color="auto" w:sz="4" w:space="0"/>
                  </w:tcBorders>
                  <w:vAlign w:val="center"/>
                </w:tcPr>
                <w:p>
                  <w:pPr>
                    <w:jc w:val="center"/>
                    <w:rPr>
                      <w:b/>
                      <w:bCs/>
                      <w:color w:val="auto"/>
                      <w:sz w:val="21"/>
                      <w:szCs w:val="21"/>
                      <w:u w:val="none"/>
                    </w:rPr>
                  </w:pPr>
                  <w:r>
                    <w:rPr>
                      <w:rFonts w:hint="eastAsia"/>
                      <w:b/>
                      <w:bCs/>
                      <w:color w:val="auto"/>
                      <w:sz w:val="21"/>
                      <w:szCs w:val="21"/>
                      <w:u w:val="none"/>
                    </w:rPr>
                    <w:t>经度</w:t>
                  </w:r>
                </w:p>
              </w:tc>
              <w:tc>
                <w:tcPr>
                  <w:tcW w:w="646" w:type="pct"/>
                  <w:tcBorders>
                    <w:top w:val="single" w:color="auto" w:sz="4" w:space="0"/>
                    <w:left w:val="single" w:color="auto" w:sz="4" w:space="0"/>
                    <w:bottom w:val="single" w:color="auto" w:sz="4" w:space="0"/>
                    <w:right w:val="single" w:color="auto" w:sz="4" w:space="0"/>
                  </w:tcBorders>
                  <w:vAlign w:val="center"/>
                </w:tcPr>
                <w:p>
                  <w:pPr>
                    <w:jc w:val="center"/>
                    <w:rPr>
                      <w:b/>
                      <w:bCs/>
                      <w:color w:val="auto"/>
                      <w:sz w:val="21"/>
                      <w:szCs w:val="21"/>
                      <w:u w:val="none"/>
                    </w:rPr>
                  </w:pPr>
                  <w:r>
                    <w:rPr>
                      <w:rFonts w:hint="eastAsia"/>
                      <w:b/>
                      <w:bCs/>
                      <w:color w:val="auto"/>
                      <w:sz w:val="21"/>
                      <w:szCs w:val="21"/>
                      <w:u w:val="none"/>
                    </w:rPr>
                    <w:t>纬度</w:t>
                  </w:r>
                </w:p>
              </w:tc>
              <w:tc>
                <w:tcPr>
                  <w:tcW w:w="40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c>
                <w:tcPr>
                  <w:tcW w:w="510"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c>
                <w:tcPr>
                  <w:tcW w:w="361"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c>
                <w:tcPr>
                  <w:tcW w:w="733"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c>
                <w:tcPr>
                  <w:tcW w:w="809"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restart"/>
                  <w:tcBorders>
                    <w:top w:val="single" w:color="auto" w:sz="4" w:space="0"/>
                    <w:left w:val="single" w:color="auto" w:sz="4" w:space="0"/>
                    <w:right w:val="single" w:color="auto" w:sz="4" w:space="0"/>
                  </w:tcBorders>
                  <w:vAlign w:val="center"/>
                </w:tcPr>
                <w:p>
                  <w:pPr>
                    <w:jc w:val="center"/>
                    <w:rPr>
                      <w:color w:val="auto"/>
                      <w:sz w:val="21"/>
                      <w:szCs w:val="21"/>
                      <w:u w:val="none"/>
                    </w:rPr>
                  </w:pPr>
                  <w:r>
                    <w:rPr>
                      <w:rFonts w:hint="eastAsia"/>
                      <w:color w:val="auto"/>
                      <w:sz w:val="21"/>
                      <w:szCs w:val="21"/>
                      <w:u w:val="none"/>
                    </w:rPr>
                    <w:t>大气环境</w:t>
                  </w: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东北面散户</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112°54′5</w:t>
                  </w:r>
                </w:p>
                <w:p>
                  <w:pPr>
                    <w:autoSpaceDE w:val="0"/>
                    <w:autoSpaceDN w:val="0"/>
                    <w:jc w:val="center"/>
                    <w:rPr>
                      <w:color w:val="auto"/>
                      <w:sz w:val="21"/>
                      <w:szCs w:val="21"/>
                      <w:u w:val="none"/>
                    </w:rPr>
                  </w:pPr>
                  <w:r>
                    <w:rPr>
                      <w:color w:val="auto"/>
                      <w:sz w:val="21"/>
                      <w:szCs w:val="21"/>
                      <w:u w:val="none"/>
                    </w:rPr>
                    <w:t>8.147″</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23.340″</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东北面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80-210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居民</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5户约20人</w:t>
                  </w:r>
                </w:p>
              </w:tc>
              <w:tc>
                <w:tcPr>
                  <w:tcW w:w="809" w:type="pct"/>
                  <w:vMerge w:val="restart"/>
                  <w:tcBorders>
                    <w:top w:val="nil"/>
                    <w:left w:val="single" w:color="auto" w:sz="4" w:space="0"/>
                    <w:bottom w:val="single" w:color="auto" w:sz="4" w:space="0"/>
                    <w:right w:val="single" w:color="auto" w:sz="4" w:space="0"/>
                  </w:tcBorders>
                  <w:vAlign w:val="center"/>
                </w:tcPr>
                <w:p>
                  <w:pPr>
                    <w:jc w:val="center"/>
                    <w:rPr>
                      <w:color w:val="auto"/>
                      <w:sz w:val="21"/>
                      <w:szCs w:val="21"/>
                      <w:u w:val="none"/>
                    </w:rPr>
                  </w:pPr>
                  <w:r>
                    <w:rPr>
                      <w:rFonts w:ascii="宋体" w:hAnsi="宋体"/>
                      <w:color w:val="auto"/>
                      <w:sz w:val="21"/>
                      <w:szCs w:val="21"/>
                      <w:u w:val="none"/>
                    </w:rPr>
                    <w:t>《环境空气质量标准》</w:t>
                  </w:r>
                  <w:r>
                    <w:rPr>
                      <w:rFonts w:hint="eastAsia" w:ascii="宋体" w:hAnsi="宋体"/>
                      <w:color w:val="auto"/>
                      <w:sz w:val="21"/>
                      <w:szCs w:val="21"/>
                      <w:u w:val="none"/>
                    </w:rPr>
                    <w:t>（</w:t>
                  </w:r>
                  <w:r>
                    <w:rPr>
                      <w:color w:val="auto"/>
                      <w:sz w:val="21"/>
                      <w:szCs w:val="21"/>
                      <w:u w:val="none"/>
                    </w:rPr>
                    <w:t>GB3095-20</w:t>
                  </w:r>
                  <w:r>
                    <w:rPr>
                      <w:rFonts w:hint="eastAsia"/>
                      <w:color w:val="auto"/>
                      <w:sz w:val="21"/>
                      <w:szCs w:val="21"/>
                      <w:u w:val="none"/>
                    </w:rPr>
                    <w:t>26</w:t>
                  </w:r>
                  <w:r>
                    <w:rPr>
                      <w:rFonts w:hint="eastAsia" w:ascii="宋体" w:hAnsi="宋体"/>
                      <w:color w:val="auto"/>
                      <w:sz w:val="21"/>
                      <w:szCs w:val="21"/>
                      <w:u w:val="none"/>
                    </w:rPr>
                    <w:t>）</w:t>
                  </w:r>
                </w:p>
                <w:p>
                  <w:pPr>
                    <w:jc w:val="center"/>
                    <w:rPr>
                      <w:color w:val="auto"/>
                      <w:sz w:val="21"/>
                      <w:szCs w:val="21"/>
                      <w:u w:val="none"/>
                    </w:rPr>
                  </w:pPr>
                  <w:r>
                    <w:rPr>
                      <w:rFonts w:hint="eastAsia" w:ascii="宋体" w:hAnsi="宋体"/>
                      <w:color w:val="auto"/>
                      <w:sz w:val="21"/>
                      <w:szCs w:val="21"/>
                      <w:u w:val="none"/>
                    </w:rPr>
                    <w:t>过渡阶段</w:t>
                  </w:r>
                  <w:r>
                    <w:rPr>
                      <w:rFonts w:ascii="宋体" w:hAnsi="宋体"/>
                      <w:color w:val="auto"/>
                      <w:sz w:val="21"/>
                      <w:szCs w:val="21"/>
                      <w:u w:val="none"/>
                    </w:rPr>
                    <w:t>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知源学校高中部</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112°55′</w:t>
                  </w:r>
                </w:p>
                <w:p>
                  <w:pPr>
                    <w:autoSpaceDE w:val="0"/>
                    <w:autoSpaceDN w:val="0"/>
                    <w:jc w:val="center"/>
                    <w:rPr>
                      <w:color w:val="auto"/>
                      <w:sz w:val="21"/>
                      <w:szCs w:val="21"/>
                      <w:u w:val="none"/>
                    </w:rPr>
                  </w:pPr>
                  <w:r>
                    <w:rPr>
                      <w:color w:val="auto"/>
                      <w:sz w:val="21"/>
                      <w:szCs w:val="21"/>
                      <w:u w:val="none"/>
                    </w:rPr>
                    <w:t>6.895″</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22.220″</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东面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125-400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学校</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约3000人</w:t>
                  </w:r>
                </w:p>
              </w:tc>
              <w:tc>
                <w:tcPr>
                  <w:tcW w:w="809" w:type="pct"/>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凤家山</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112°55′</w:t>
                  </w:r>
                </w:p>
                <w:p>
                  <w:pPr>
                    <w:autoSpaceDE w:val="0"/>
                    <w:autoSpaceDN w:val="0"/>
                    <w:jc w:val="center"/>
                    <w:rPr>
                      <w:color w:val="auto"/>
                      <w:sz w:val="21"/>
                      <w:szCs w:val="21"/>
                      <w:u w:val="none"/>
                    </w:rPr>
                  </w:pPr>
                  <w:r>
                    <w:rPr>
                      <w:color w:val="auto"/>
                      <w:sz w:val="21"/>
                      <w:szCs w:val="21"/>
                      <w:u w:val="none"/>
                    </w:rPr>
                    <w:t>9.676″</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15.152″</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东南面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100-500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居民</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约42户150人</w:t>
                  </w:r>
                </w:p>
              </w:tc>
              <w:tc>
                <w:tcPr>
                  <w:tcW w:w="809" w:type="pct"/>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杨家上屋</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112°55′</w:t>
                  </w:r>
                </w:p>
                <w:p>
                  <w:pPr>
                    <w:autoSpaceDE w:val="0"/>
                    <w:autoSpaceDN w:val="0"/>
                    <w:jc w:val="center"/>
                    <w:rPr>
                      <w:color w:val="auto"/>
                      <w:sz w:val="21"/>
                      <w:szCs w:val="21"/>
                      <w:u w:val="none"/>
                    </w:rPr>
                  </w:pPr>
                  <w:r>
                    <w:rPr>
                      <w:color w:val="auto"/>
                      <w:sz w:val="21"/>
                      <w:szCs w:val="21"/>
                      <w:u w:val="none"/>
                    </w:rPr>
                    <w:t>10.680″</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6.655″</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东南面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325-500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居民</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约17户60人</w:t>
                  </w:r>
                </w:p>
              </w:tc>
              <w:tc>
                <w:tcPr>
                  <w:tcW w:w="809" w:type="pct"/>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涝溪桥村</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112°54′</w:t>
                  </w:r>
                </w:p>
                <w:p>
                  <w:pPr>
                    <w:autoSpaceDE w:val="0"/>
                    <w:autoSpaceDN w:val="0"/>
                    <w:jc w:val="center"/>
                    <w:rPr>
                      <w:color w:val="auto"/>
                      <w:sz w:val="21"/>
                      <w:szCs w:val="21"/>
                      <w:u w:val="none"/>
                    </w:rPr>
                  </w:pPr>
                  <w:r>
                    <w:rPr>
                      <w:color w:val="auto"/>
                      <w:sz w:val="21"/>
                      <w:szCs w:val="21"/>
                      <w:u w:val="none"/>
                    </w:rPr>
                    <w:t>49.360″</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4.183″</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西南面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15-310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居民</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约45户160人</w:t>
                  </w:r>
                </w:p>
              </w:tc>
              <w:tc>
                <w:tcPr>
                  <w:tcW w:w="809" w:type="pct"/>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新华二组</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112°54′</w:t>
                  </w:r>
                </w:p>
                <w:p>
                  <w:pPr>
                    <w:autoSpaceDE w:val="0"/>
                    <w:autoSpaceDN w:val="0"/>
                    <w:jc w:val="center"/>
                    <w:rPr>
                      <w:color w:val="auto"/>
                      <w:sz w:val="21"/>
                      <w:szCs w:val="21"/>
                      <w:u w:val="none"/>
                    </w:rPr>
                  </w:pPr>
                  <w:r>
                    <w:rPr>
                      <w:color w:val="auto"/>
                      <w:sz w:val="21"/>
                      <w:szCs w:val="21"/>
                      <w:u w:val="none"/>
                    </w:rPr>
                    <w:t>44.339″</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15.924″</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西面、西北面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5-200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居民</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约57户200人</w:t>
                  </w:r>
                </w:p>
              </w:tc>
              <w:tc>
                <w:tcPr>
                  <w:tcW w:w="809" w:type="pct"/>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丰家屋场</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112°54′</w:t>
                  </w:r>
                </w:p>
                <w:p>
                  <w:pPr>
                    <w:autoSpaceDE w:val="0"/>
                    <w:autoSpaceDN w:val="0"/>
                    <w:jc w:val="center"/>
                    <w:rPr>
                      <w:color w:val="auto"/>
                      <w:sz w:val="21"/>
                      <w:szCs w:val="21"/>
                      <w:u w:val="none"/>
                    </w:rPr>
                  </w:pPr>
                  <w:r>
                    <w:rPr>
                      <w:color w:val="auto"/>
                      <w:sz w:val="21"/>
                      <w:szCs w:val="21"/>
                      <w:u w:val="none"/>
                    </w:rPr>
                    <w:t>34.065″</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21.409″</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西北面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330-500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居民</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约10户40人</w:t>
                  </w:r>
                </w:p>
              </w:tc>
              <w:tc>
                <w:tcPr>
                  <w:tcW w:w="809" w:type="pct"/>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洋沙湖镇政府/工业园管委会</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112°54′</w:t>
                  </w:r>
                </w:p>
                <w:p>
                  <w:pPr>
                    <w:autoSpaceDE w:val="0"/>
                    <w:autoSpaceDN w:val="0"/>
                    <w:jc w:val="center"/>
                    <w:rPr>
                      <w:color w:val="auto"/>
                      <w:sz w:val="21"/>
                      <w:szCs w:val="21"/>
                      <w:u w:val="none"/>
                    </w:rPr>
                  </w:pPr>
                  <w:r>
                    <w:rPr>
                      <w:color w:val="auto"/>
                      <w:sz w:val="21"/>
                      <w:szCs w:val="21"/>
                      <w:u w:val="none"/>
                    </w:rPr>
                    <w:t>46.38658″</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24.11306″</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275-330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机关</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约100人</w:t>
                  </w:r>
                </w:p>
              </w:tc>
              <w:tc>
                <w:tcPr>
                  <w:tcW w:w="809" w:type="pct"/>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顺恒佳苑</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112°54′</w:t>
                  </w:r>
                </w:p>
                <w:p>
                  <w:pPr>
                    <w:autoSpaceDE w:val="0"/>
                    <w:autoSpaceDN w:val="0"/>
                    <w:jc w:val="center"/>
                    <w:rPr>
                      <w:color w:val="auto"/>
                      <w:sz w:val="21"/>
                      <w:szCs w:val="21"/>
                      <w:u w:val="none"/>
                    </w:rPr>
                  </w:pPr>
                  <w:r>
                    <w:rPr>
                      <w:color w:val="auto"/>
                      <w:sz w:val="21"/>
                      <w:szCs w:val="21"/>
                      <w:u w:val="none"/>
                    </w:rPr>
                    <w:t>40.86338″</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25.00140″</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西北面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260-380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居民</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规划284户约1136人</w:t>
                  </w:r>
                </w:p>
              </w:tc>
              <w:tc>
                <w:tcPr>
                  <w:tcW w:w="809" w:type="pct"/>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8"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尚锦学府</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112°54′</w:t>
                  </w:r>
                </w:p>
                <w:p>
                  <w:pPr>
                    <w:autoSpaceDE w:val="0"/>
                    <w:autoSpaceDN w:val="0"/>
                    <w:jc w:val="center"/>
                    <w:rPr>
                      <w:color w:val="auto"/>
                      <w:sz w:val="21"/>
                      <w:szCs w:val="21"/>
                      <w:u w:val="none"/>
                    </w:rPr>
                  </w:pPr>
                  <w:r>
                    <w:rPr>
                      <w:color w:val="auto"/>
                      <w:sz w:val="21"/>
                      <w:szCs w:val="21"/>
                      <w:u w:val="none"/>
                    </w:rPr>
                    <w:t>47.85429″</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28.32305″</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345-440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居民</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485户约</w:t>
                  </w:r>
                </w:p>
                <w:p>
                  <w:pPr>
                    <w:autoSpaceDE w:val="0"/>
                    <w:autoSpaceDN w:val="0"/>
                    <w:jc w:val="center"/>
                    <w:rPr>
                      <w:color w:val="auto"/>
                      <w:sz w:val="21"/>
                      <w:szCs w:val="21"/>
                      <w:u w:val="none"/>
                    </w:rPr>
                  </w:pPr>
                  <w:r>
                    <w:rPr>
                      <w:rFonts w:hint="eastAsia"/>
                      <w:color w:val="auto"/>
                      <w:sz w:val="21"/>
                      <w:szCs w:val="21"/>
                      <w:u w:val="none"/>
                    </w:rPr>
                    <w:t>1940人</w:t>
                  </w:r>
                </w:p>
              </w:tc>
              <w:tc>
                <w:tcPr>
                  <w:tcW w:w="809" w:type="pct"/>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color w:val="auto"/>
                      <w:sz w:val="21"/>
                      <w:szCs w:val="21"/>
                      <w:u w:val="none"/>
                      <w:lang w:val="en-US" w:eastAsia="zh-CN"/>
                    </w:rPr>
                  </w:pPr>
                  <w:r>
                    <w:rPr>
                      <w:color w:val="auto"/>
                      <w:sz w:val="21"/>
                      <w:szCs w:val="21"/>
                      <w:u w:val="none"/>
                    </w:rPr>
                    <w:t>知源学校</w:t>
                  </w:r>
                  <w:r>
                    <w:rPr>
                      <w:rFonts w:hint="eastAsia"/>
                      <w:color w:val="auto"/>
                      <w:sz w:val="21"/>
                      <w:szCs w:val="21"/>
                      <w:u w:val="none"/>
                      <w:lang w:val="en-US" w:eastAsia="zh-CN"/>
                    </w:rPr>
                    <w:t>小学</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112°54′</w:t>
                  </w:r>
                </w:p>
                <w:p>
                  <w:pPr>
                    <w:autoSpaceDE w:val="0"/>
                    <w:autoSpaceDN w:val="0"/>
                    <w:jc w:val="center"/>
                    <w:rPr>
                      <w:color w:val="auto"/>
                      <w:sz w:val="21"/>
                      <w:szCs w:val="21"/>
                      <w:u w:val="none"/>
                    </w:rPr>
                  </w:pPr>
                  <w:r>
                    <w:rPr>
                      <w:color w:val="auto"/>
                      <w:sz w:val="21"/>
                      <w:szCs w:val="21"/>
                      <w:u w:val="none"/>
                    </w:rPr>
                    <w:t>58.97794″</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29.13415″</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东北面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260-500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学校</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约3000人</w:t>
                  </w:r>
                </w:p>
              </w:tc>
              <w:tc>
                <w:tcPr>
                  <w:tcW w:w="809" w:type="pct"/>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友爱村</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112°55′</w:t>
                  </w:r>
                </w:p>
                <w:p>
                  <w:pPr>
                    <w:autoSpaceDE w:val="0"/>
                    <w:autoSpaceDN w:val="0"/>
                    <w:jc w:val="center"/>
                    <w:rPr>
                      <w:color w:val="auto"/>
                      <w:sz w:val="21"/>
                      <w:szCs w:val="21"/>
                      <w:u w:val="none"/>
                    </w:rPr>
                  </w:pPr>
                  <w:r>
                    <w:rPr>
                      <w:color w:val="auto"/>
                      <w:sz w:val="21"/>
                      <w:szCs w:val="21"/>
                      <w:u w:val="none"/>
                    </w:rPr>
                    <w:t>8.82701″</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30.02250″</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东北面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400-500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居民</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约85户300</w:t>
                  </w:r>
                </w:p>
                <w:p>
                  <w:pPr>
                    <w:autoSpaceDE w:val="0"/>
                    <w:autoSpaceDN w:val="0"/>
                    <w:jc w:val="center"/>
                    <w:rPr>
                      <w:color w:val="auto"/>
                      <w:sz w:val="21"/>
                      <w:szCs w:val="21"/>
                      <w:u w:val="none"/>
                    </w:rPr>
                  </w:pPr>
                  <w:r>
                    <w:rPr>
                      <w:rFonts w:hint="eastAsia"/>
                      <w:color w:val="auto"/>
                      <w:sz w:val="21"/>
                      <w:szCs w:val="21"/>
                      <w:u w:val="none"/>
                    </w:rPr>
                    <w:t>人</w:t>
                  </w:r>
                </w:p>
              </w:tc>
              <w:tc>
                <w:tcPr>
                  <w:tcW w:w="809" w:type="pct"/>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restart"/>
                  <w:tcBorders>
                    <w:left w:val="single" w:color="auto" w:sz="4" w:space="0"/>
                    <w:right w:val="single" w:color="auto" w:sz="4" w:space="0"/>
                  </w:tcBorders>
                  <w:vAlign w:val="center"/>
                </w:tcPr>
                <w:p>
                  <w:pPr>
                    <w:jc w:val="center"/>
                    <w:rPr>
                      <w:color w:val="auto"/>
                      <w:sz w:val="21"/>
                      <w:szCs w:val="21"/>
                      <w:u w:val="none"/>
                    </w:rPr>
                  </w:pPr>
                  <w:r>
                    <w:rPr>
                      <w:rFonts w:hint="eastAsia"/>
                      <w:color w:val="auto"/>
                      <w:sz w:val="21"/>
                      <w:szCs w:val="21"/>
                      <w:u w:val="none"/>
                    </w:rPr>
                    <w:t>声环境</w:t>
                  </w: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涝溪桥村</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112°54′</w:t>
                  </w:r>
                </w:p>
                <w:p>
                  <w:pPr>
                    <w:autoSpaceDE w:val="0"/>
                    <w:autoSpaceDN w:val="0"/>
                    <w:jc w:val="center"/>
                    <w:rPr>
                      <w:color w:val="auto"/>
                      <w:sz w:val="21"/>
                      <w:szCs w:val="21"/>
                      <w:u w:val="none"/>
                    </w:rPr>
                  </w:pPr>
                  <w:r>
                    <w:rPr>
                      <w:color w:val="auto"/>
                      <w:sz w:val="21"/>
                      <w:szCs w:val="21"/>
                      <w:u w:val="none"/>
                    </w:rPr>
                    <w:t>49.360″</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4.183″</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西南面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15-50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居民</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3户12人</w:t>
                  </w:r>
                </w:p>
              </w:tc>
              <w:tc>
                <w:tcPr>
                  <w:tcW w:w="809" w:type="pct"/>
                  <w:vMerge w:val="restart"/>
                  <w:tcBorders>
                    <w:top w:val="nil"/>
                    <w:left w:val="single" w:color="auto" w:sz="4" w:space="0"/>
                    <w:right w:val="single" w:color="auto" w:sz="4" w:space="0"/>
                  </w:tcBorders>
                  <w:vAlign w:val="center"/>
                </w:tcPr>
                <w:p>
                  <w:pPr>
                    <w:widowControl/>
                    <w:jc w:val="center"/>
                    <w:rPr>
                      <w:color w:val="auto"/>
                      <w:sz w:val="21"/>
                      <w:szCs w:val="21"/>
                      <w:u w:val="none"/>
                    </w:rPr>
                  </w:pPr>
                  <w:r>
                    <w:rPr>
                      <w:color w:val="auto"/>
                      <w:sz w:val="21"/>
                      <w:szCs w:val="21"/>
                      <w:u w:val="none"/>
                    </w:rPr>
                    <w:t>《声环境质量标准》（GB3096-2008）2类标准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40" w:type="pct"/>
                  <w:vMerge w:val="continue"/>
                  <w:tcBorders>
                    <w:left w:val="single" w:color="auto" w:sz="4" w:space="0"/>
                    <w:right w:val="single" w:color="auto" w:sz="4" w:space="0"/>
                  </w:tcBorders>
                  <w:vAlign w:val="center"/>
                </w:tcPr>
                <w:p>
                  <w:pPr>
                    <w:jc w:val="center"/>
                    <w:rPr>
                      <w:color w:val="auto"/>
                      <w:sz w:val="21"/>
                      <w:szCs w:val="21"/>
                      <w:u w:val="none"/>
                    </w:rPr>
                  </w:pPr>
                </w:p>
              </w:tc>
              <w:tc>
                <w:tcPr>
                  <w:tcW w:w="546" w:type="pct"/>
                  <w:tcBorders>
                    <w:top w:val="single" w:color="auto" w:sz="4" w:space="0"/>
                    <w:left w:val="single" w:color="auto" w:sz="4" w:space="0"/>
                    <w:bottom w:val="single" w:color="auto" w:sz="4" w:space="0"/>
                    <w:right w:val="single" w:color="auto" w:sz="4" w:space="0"/>
                  </w:tcBorders>
                  <w:vAlign w:val="center"/>
                </w:tcPr>
                <w:p>
                  <w:pPr>
                    <w:jc w:val="center"/>
                    <w:rPr>
                      <w:color w:val="auto"/>
                      <w:sz w:val="21"/>
                      <w:szCs w:val="21"/>
                      <w:u w:val="none"/>
                    </w:rPr>
                  </w:pPr>
                  <w:r>
                    <w:rPr>
                      <w:color w:val="auto"/>
                      <w:sz w:val="21"/>
                      <w:szCs w:val="21"/>
                      <w:u w:val="none"/>
                    </w:rPr>
                    <w:t>新华二组</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112°54′</w:t>
                  </w:r>
                </w:p>
                <w:p>
                  <w:pPr>
                    <w:autoSpaceDE w:val="0"/>
                    <w:autoSpaceDN w:val="0"/>
                    <w:jc w:val="center"/>
                    <w:rPr>
                      <w:color w:val="auto"/>
                      <w:sz w:val="21"/>
                      <w:szCs w:val="21"/>
                      <w:u w:val="none"/>
                    </w:rPr>
                  </w:pPr>
                  <w:r>
                    <w:rPr>
                      <w:color w:val="auto"/>
                      <w:sz w:val="21"/>
                      <w:szCs w:val="21"/>
                      <w:u w:val="none"/>
                    </w:rPr>
                    <w:t>44.339″</w:t>
                  </w:r>
                </w:p>
              </w:tc>
              <w:tc>
                <w:tcPr>
                  <w:tcW w:w="646"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color w:val="auto"/>
                      <w:sz w:val="21"/>
                      <w:szCs w:val="21"/>
                      <w:u w:val="none"/>
                    </w:rPr>
                    <w:t>28°39′</w:t>
                  </w:r>
                </w:p>
                <w:p>
                  <w:pPr>
                    <w:autoSpaceDE w:val="0"/>
                    <w:autoSpaceDN w:val="0"/>
                    <w:jc w:val="center"/>
                    <w:rPr>
                      <w:color w:val="auto"/>
                      <w:sz w:val="21"/>
                      <w:szCs w:val="21"/>
                      <w:u w:val="none"/>
                    </w:rPr>
                  </w:pPr>
                  <w:r>
                    <w:rPr>
                      <w:color w:val="auto"/>
                      <w:sz w:val="21"/>
                      <w:szCs w:val="21"/>
                      <w:u w:val="none"/>
                    </w:rPr>
                    <w:t>15.924″</w:t>
                  </w:r>
                </w:p>
              </w:tc>
              <w:tc>
                <w:tcPr>
                  <w:tcW w:w="405"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西面、西北面</w:t>
                  </w:r>
                </w:p>
              </w:tc>
              <w:tc>
                <w:tcPr>
                  <w:tcW w:w="510"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5-50</w:t>
                  </w:r>
                </w:p>
              </w:tc>
              <w:tc>
                <w:tcPr>
                  <w:tcW w:w="361"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居民</w:t>
                  </w:r>
                </w:p>
              </w:tc>
              <w:tc>
                <w:tcPr>
                  <w:tcW w:w="733"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sz w:val="21"/>
                      <w:szCs w:val="21"/>
                      <w:u w:val="none"/>
                    </w:rPr>
                  </w:pPr>
                  <w:r>
                    <w:rPr>
                      <w:rFonts w:hint="eastAsia"/>
                      <w:color w:val="auto"/>
                      <w:sz w:val="21"/>
                      <w:szCs w:val="21"/>
                      <w:u w:val="none"/>
                    </w:rPr>
                    <w:t>约20户80人</w:t>
                  </w:r>
                </w:p>
              </w:tc>
              <w:tc>
                <w:tcPr>
                  <w:tcW w:w="809" w:type="pct"/>
                  <w:vMerge w:val="continue"/>
                  <w:tcBorders>
                    <w:left w:val="single" w:color="auto" w:sz="4" w:space="0"/>
                    <w:right w:val="single" w:color="auto" w:sz="4" w:space="0"/>
                  </w:tcBorders>
                  <w:vAlign w:val="center"/>
                </w:tcPr>
                <w:p>
                  <w:pPr>
                    <w:widowControl/>
                    <w:jc w:val="center"/>
                    <w:rPr>
                      <w:color w:val="auto"/>
                      <w:sz w:val="21"/>
                      <w:szCs w:val="21"/>
                      <w:u w:val="none"/>
                    </w:rPr>
                  </w:pPr>
                </w:p>
              </w:tc>
            </w:tr>
          </w:tbl>
          <w:p>
            <w:pPr>
              <w:pStyle w:val="85"/>
              <w:ind w:firstLine="480"/>
              <w:rPr>
                <w:color w:val="auto"/>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20" w:type="dxa"/>
            <w:tcMar>
              <w:left w:w="28" w:type="dxa"/>
              <w:right w:w="28" w:type="dxa"/>
            </w:tcMar>
            <w:vAlign w:val="center"/>
          </w:tcPr>
          <w:p>
            <w:pPr>
              <w:adjustRightInd w:val="0"/>
              <w:snapToGrid w:val="0"/>
              <w:jc w:val="center"/>
              <w:rPr>
                <w:color w:val="auto"/>
                <w:kern w:val="0"/>
                <w:sz w:val="24"/>
                <w:u w:val="none"/>
              </w:rPr>
            </w:pPr>
            <w:r>
              <w:rPr>
                <w:color w:val="auto"/>
                <w:kern w:val="0"/>
                <w:sz w:val="24"/>
                <w:u w:val="none"/>
              </w:rPr>
              <w:t>污染</w:t>
            </w:r>
          </w:p>
          <w:p>
            <w:pPr>
              <w:adjustRightInd w:val="0"/>
              <w:snapToGrid w:val="0"/>
              <w:jc w:val="center"/>
              <w:rPr>
                <w:color w:val="auto"/>
                <w:kern w:val="0"/>
                <w:sz w:val="24"/>
                <w:u w:val="none"/>
              </w:rPr>
            </w:pPr>
            <w:r>
              <w:rPr>
                <w:color w:val="auto"/>
                <w:kern w:val="0"/>
                <w:sz w:val="24"/>
                <w:u w:val="none"/>
              </w:rPr>
              <w:t>物排</w:t>
            </w:r>
          </w:p>
          <w:p>
            <w:pPr>
              <w:adjustRightInd w:val="0"/>
              <w:snapToGrid w:val="0"/>
              <w:jc w:val="center"/>
              <w:rPr>
                <w:color w:val="auto"/>
                <w:kern w:val="0"/>
                <w:sz w:val="24"/>
                <w:u w:val="none"/>
              </w:rPr>
            </w:pPr>
            <w:r>
              <w:rPr>
                <w:color w:val="auto"/>
                <w:kern w:val="0"/>
                <w:sz w:val="24"/>
                <w:u w:val="none"/>
              </w:rPr>
              <w:t>放控</w:t>
            </w:r>
          </w:p>
          <w:p>
            <w:pPr>
              <w:adjustRightInd w:val="0"/>
              <w:snapToGrid w:val="0"/>
              <w:jc w:val="center"/>
              <w:rPr>
                <w:color w:val="auto"/>
                <w:kern w:val="0"/>
                <w:sz w:val="24"/>
                <w:u w:val="none"/>
              </w:rPr>
            </w:pPr>
            <w:r>
              <w:rPr>
                <w:color w:val="auto"/>
                <w:kern w:val="0"/>
                <w:sz w:val="24"/>
                <w:u w:val="none"/>
              </w:rPr>
              <w:t>制标</w:t>
            </w:r>
          </w:p>
          <w:p>
            <w:pPr>
              <w:adjustRightInd w:val="0"/>
              <w:snapToGrid w:val="0"/>
              <w:jc w:val="center"/>
              <w:rPr>
                <w:color w:val="auto"/>
                <w:kern w:val="0"/>
                <w:sz w:val="24"/>
                <w:u w:val="none"/>
              </w:rPr>
            </w:pPr>
            <w:r>
              <w:rPr>
                <w:color w:val="auto"/>
                <w:kern w:val="0"/>
                <w:sz w:val="24"/>
                <w:u w:val="none"/>
              </w:rPr>
              <w:t>准</w:t>
            </w:r>
          </w:p>
        </w:tc>
        <w:tc>
          <w:tcPr>
            <w:tcW w:w="8205" w:type="dxa"/>
            <w:vAlign w:val="center"/>
          </w:tcPr>
          <w:p>
            <w:pPr>
              <w:autoSpaceDE w:val="0"/>
              <w:snapToGrid w:val="0"/>
              <w:spacing w:line="360" w:lineRule="auto"/>
              <w:ind w:firstLine="472" w:firstLineChars="196"/>
              <w:rPr>
                <w:b/>
                <w:color w:val="auto"/>
                <w:sz w:val="24"/>
                <w:u w:val="none"/>
              </w:rPr>
            </w:pPr>
            <w:r>
              <w:rPr>
                <w:rFonts w:hint="eastAsia"/>
                <w:b/>
                <w:color w:val="auto"/>
                <w:sz w:val="24"/>
                <w:u w:val="none"/>
              </w:rPr>
              <w:t>3.7.1 废水排放标准</w:t>
            </w:r>
          </w:p>
          <w:p>
            <w:pPr>
              <w:autoSpaceDE w:val="0"/>
              <w:snapToGrid w:val="0"/>
              <w:spacing w:line="360" w:lineRule="auto"/>
              <w:ind w:firstLine="480"/>
              <w:rPr>
                <w:color w:val="auto"/>
                <w:sz w:val="24"/>
                <w:u w:val="none"/>
              </w:rPr>
            </w:pPr>
            <w:r>
              <w:rPr>
                <w:rFonts w:hint="eastAsia"/>
                <w:color w:val="auto"/>
                <w:sz w:val="24"/>
                <w:u w:val="none"/>
              </w:rPr>
              <w:t>本项目食堂废水经隔油池处理后与其他生活污水</w:t>
            </w:r>
            <w:r>
              <w:rPr>
                <w:rFonts w:hint="eastAsia"/>
                <w:color w:val="auto"/>
                <w:sz w:val="24"/>
                <w:u w:val="none"/>
                <w:lang w:eastAsia="zh-CN"/>
              </w:rPr>
              <w:t>、</w:t>
            </w:r>
            <w:r>
              <w:rPr>
                <w:rFonts w:hint="eastAsia"/>
                <w:color w:val="auto"/>
                <w:sz w:val="24"/>
                <w:u w:val="none"/>
                <w:lang w:val="en-US" w:eastAsia="zh-CN"/>
              </w:rPr>
              <w:t>质检室废水</w:t>
            </w:r>
            <w:r>
              <w:rPr>
                <w:rFonts w:hint="eastAsia"/>
                <w:color w:val="auto"/>
                <w:sz w:val="24"/>
                <w:u w:val="none"/>
              </w:rPr>
              <w:t>经化粪池处理，生产废水经污水处理站处理后，厂区废水经总排口排入园区管网，进入</w:t>
            </w:r>
            <w:r>
              <w:rPr>
                <w:color w:val="auto"/>
                <w:sz w:val="24"/>
                <w:u w:val="none"/>
              </w:rPr>
              <w:t>湘阴县第二污水处理厂处理</w:t>
            </w:r>
            <w:r>
              <w:rPr>
                <w:rFonts w:hint="eastAsia"/>
                <w:color w:val="auto"/>
                <w:sz w:val="24"/>
                <w:u w:val="none"/>
              </w:rPr>
              <w:t>。本项目废水排放执行《食品加工制造业水污染物排放标准》（GB46817-2025）表1间接排放限值及表2</w:t>
            </w:r>
            <w:r>
              <w:rPr>
                <w:color w:val="auto"/>
                <w:sz w:val="24"/>
                <w:u w:val="none"/>
              </w:rPr>
              <w:t>单位产品基准排水量</w:t>
            </w:r>
            <w:r>
              <w:rPr>
                <w:rFonts w:hint="eastAsia"/>
                <w:color w:val="auto"/>
                <w:sz w:val="24"/>
                <w:u w:val="none"/>
                <w:lang w:eastAsia="zh-CN"/>
              </w:rPr>
              <w:t>，</w:t>
            </w:r>
            <w:r>
              <w:rPr>
                <w:rFonts w:hint="eastAsia"/>
                <w:color w:val="auto"/>
                <w:sz w:val="24"/>
                <w:u w:val="none"/>
                <w:lang w:val="en-US" w:eastAsia="zh-CN"/>
              </w:rPr>
              <w:t>并满足</w:t>
            </w:r>
            <w:r>
              <w:rPr>
                <w:color w:val="auto"/>
                <w:sz w:val="24"/>
                <w:u w:val="none"/>
              </w:rPr>
              <w:t>湘阴县第二污水处理厂</w:t>
            </w:r>
            <w:r>
              <w:rPr>
                <w:rFonts w:hint="eastAsia"/>
                <w:color w:val="auto"/>
                <w:sz w:val="24"/>
                <w:u w:val="none"/>
                <w:lang w:val="en-US" w:eastAsia="zh-CN"/>
              </w:rPr>
              <w:t>进水水质要求（二者取较严值）</w:t>
            </w:r>
            <w:r>
              <w:rPr>
                <w:rFonts w:hint="eastAsia"/>
                <w:color w:val="auto"/>
                <w:sz w:val="24"/>
                <w:u w:val="none"/>
              </w:rPr>
              <w:t>。</w:t>
            </w:r>
          </w:p>
          <w:p>
            <w:pPr>
              <w:jc w:val="center"/>
              <w:rPr>
                <w:b/>
                <w:snapToGrid w:val="0"/>
                <w:color w:val="auto"/>
                <w:sz w:val="24"/>
                <w:u w:val="none"/>
              </w:rPr>
            </w:pPr>
            <w:r>
              <w:rPr>
                <w:b/>
                <w:snapToGrid w:val="0"/>
                <w:color w:val="auto"/>
                <w:sz w:val="24"/>
                <w:u w:val="none"/>
              </w:rPr>
              <w:t>表3</w:t>
            </w:r>
            <w:r>
              <w:rPr>
                <w:rFonts w:hint="eastAsia"/>
                <w:b/>
                <w:snapToGrid w:val="0"/>
                <w:color w:val="auto"/>
                <w:sz w:val="24"/>
                <w:u w:val="none"/>
              </w:rPr>
              <w:t>.7-1</w:t>
            </w:r>
            <w:r>
              <w:rPr>
                <w:b/>
                <w:snapToGrid w:val="0"/>
                <w:color w:val="auto"/>
                <w:sz w:val="24"/>
                <w:u w:val="none"/>
              </w:rPr>
              <w:t xml:space="preserve"> 《食品加工制造业水污染物排放标准》（GB46817-2025）</w:t>
            </w:r>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97"/>
              <w:gridCol w:w="1479"/>
              <w:gridCol w:w="1130"/>
              <w:gridCol w:w="1993"/>
              <w:gridCol w:w="1554"/>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364" w:type="pct"/>
                  <w:gridSpan w:val="2"/>
                  <w:tcBorders>
                    <w:top w:val="single" w:color="auto" w:sz="4" w:space="0"/>
                    <w:left w:val="single" w:color="auto" w:sz="4" w:space="0"/>
                    <w:bottom w:val="single" w:color="auto" w:sz="4" w:space="0"/>
                    <w:right w:val="single" w:color="auto" w:sz="4" w:space="0"/>
                  </w:tcBorders>
                  <w:vAlign w:val="center"/>
                </w:tcPr>
                <w:p>
                  <w:pPr>
                    <w:jc w:val="center"/>
                    <w:rPr>
                      <w:color w:val="auto"/>
                      <w:u w:val="none"/>
                    </w:rPr>
                  </w:pPr>
                  <w:r>
                    <w:rPr>
                      <w:rFonts w:hint="eastAsia"/>
                      <w:color w:val="auto"/>
                      <w:u w:val="none"/>
                    </w:rPr>
                    <w:t>项目</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单位</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《食品加工制造业水污染物排放标准》（GB46817-2025）</w:t>
                  </w:r>
                  <w:r>
                    <w:rPr>
                      <w:rFonts w:hint="eastAsia"/>
                      <w:color w:val="auto"/>
                      <w:u w:val="none"/>
                      <w:lang w:val="en-US" w:eastAsia="zh-CN"/>
                    </w:rPr>
                    <w:t>间接</w:t>
                  </w:r>
                  <w:r>
                    <w:rPr>
                      <w:rFonts w:hint="eastAsia"/>
                      <w:color w:val="auto"/>
                      <w:u w:val="none"/>
                    </w:rPr>
                    <w:t>排放限值</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eastAsia"/>
                      <w:color w:val="auto"/>
                      <w:u w:val="none"/>
                    </w:rPr>
                  </w:pPr>
                  <w:r>
                    <w:rPr>
                      <w:rFonts w:hint="eastAsia"/>
                      <w:color w:val="auto"/>
                      <w:u w:val="none"/>
                    </w:rPr>
                    <w:t>湘阴县第二污水处理厂进水水质要求</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二者取严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364" w:type="pct"/>
                  <w:gridSpan w:val="2"/>
                  <w:tcBorders>
                    <w:top w:val="single" w:color="auto" w:sz="4" w:space="0"/>
                    <w:left w:val="single" w:color="auto" w:sz="4" w:space="0"/>
                    <w:bottom w:val="single" w:color="auto" w:sz="4" w:space="0"/>
                    <w:right w:val="single" w:color="auto" w:sz="4" w:space="0"/>
                  </w:tcBorders>
                  <w:vAlign w:val="center"/>
                </w:tcPr>
                <w:p>
                  <w:pPr>
                    <w:jc w:val="center"/>
                    <w:rPr>
                      <w:color w:val="auto"/>
                      <w:u w:val="none"/>
                    </w:rPr>
                  </w:pPr>
                  <w:r>
                    <w:rPr>
                      <w:rFonts w:hint="eastAsia"/>
                      <w:color w:val="auto"/>
                      <w:u w:val="none"/>
                    </w:rPr>
                    <w:t>pH</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无量纲</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6~9</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6~9</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364" w:type="pct"/>
                  <w:gridSpan w:val="2"/>
                  <w:tcBorders>
                    <w:top w:val="single" w:color="auto" w:sz="4" w:space="0"/>
                    <w:left w:val="single" w:color="auto" w:sz="4" w:space="0"/>
                    <w:bottom w:val="single" w:color="auto" w:sz="4" w:space="0"/>
                    <w:right w:val="single" w:color="auto" w:sz="4" w:space="0"/>
                  </w:tcBorders>
                  <w:vAlign w:val="center"/>
                </w:tcPr>
                <w:p>
                  <w:pPr>
                    <w:jc w:val="center"/>
                    <w:rPr>
                      <w:color w:val="auto"/>
                      <w:u w:val="none"/>
                    </w:rPr>
                  </w:pPr>
                  <w:r>
                    <w:rPr>
                      <w:rFonts w:hint="eastAsia"/>
                      <w:color w:val="auto"/>
                      <w:u w:val="none"/>
                    </w:rPr>
                    <w:t>色度</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稀释倍数</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100</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eastAsia" w:eastAsia="宋体"/>
                      <w:color w:val="auto"/>
                      <w:u w:val="none"/>
                      <w:lang w:val="en-US" w:eastAsia="zh-CN"/>
                    </w:rPr>
                  </w:pPr>
                  <w:r>
                    <w:rPr>
                      <w:rFonts w:hint="eastAsia"/>
                      <w:color w:val="auto"/>
                      <w:u w:val="none"/>
                      <w:lang w:val="en-US" w:eastAsia="zh-CN"/>
                    </w:rPr>
                    <w:t>/</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364" w:type="pct"/>
                  <w:gridSpan w:val="2"/>
                  <w:tcBorders>
                    <w:top w:val="single" w:color="auto" w:sz="4" w:space="0"/>
                    <w:left w:val="single" w:color="auto" w:sz="4" w:space="0"/>
                    <w:bottom w:val="single" w:color="auto" w:sz="4" w:space="0"/>
                    <w:right w:val="single" w:color="auto" w:sz="4" w:space="0"/>
                  </w:tcBorders>
                  <w:vAlign w:val="center"/>
                </w:tcPr>
                <w:p>
                  <w:pPr>
                    <w:jc w:val="center"/>
                    <w:rPr>
                      <w:color w:val="auto"/>
                      <w:u w:val="none"/>
                    </w:rPr>
                  </w:pPr>
                  <w:r>
                    <w:rPr>
                      <w:rFonts w:hint="eastAsia"/>
                      <w:color w:val="auto"/>
                      <w:u w:val="none"/>
                    </w:rPr>
                    <w:t>SS</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color w:val="auto"/>
                      <w:u w:val="none"/>
                    </w:rPr>
                    <w:t>mg/L</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400</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400</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364" w:type="pct"/>
                  <w:gridSpan w:val="2"/>
                  <w:tcBorders>
                    <w:top w:val="single" w:color="auto" w:sz="4" w:space="0"/>
                    <w:left w:val="single" w:color="auto" w:sz="4" w:space="0"/>
                    <w:bottom w:val="single" w:color="auto" w:sz="4" w:space="0"/>
                    <w:right w:val="single" w:color="auto" w:sz="4" w:space="0"/>
                  </w:tcBorders>
                  <w:vAlign w:val="center"/>
                </w:tcPr>
                <w:p>
                  <w:pPr>
                    <w:jc w:val="center"/>
                    <w:rPr>
                      <w:color w:val="auto"/>
                      <w:u w:val="none"/>
                      <w:vertAlign w:val="subscript"/>
                    </w:rPr>
                  </w:pPr>
                  <w:r>
                    <w:rPr>
                      <w:rFonts w:hint="eastAsia"/>
                      <w:color w:val="auto"/>
                      <w:u w:val="none"/>
                    </w:rPr>
                    <w:t>BOD</w:t>
                  </w:r>
                  <w:r>
                    <w:rPr>
                      <w:rFonts w:hint="eastAsia"/>
                      <w:color w:val="auto"/>
                      <w:u w:val="none"/>
                      <w:vertAlign w:val="subscript"/>
                    </w:rPr>
                    <w:t>5</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color w:val="auto"/>
                      <w:u w:val="none"/>
                    </w:rPr>
                    <w:t>mg/L</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350</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350</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364" w:type="pct"/>
                  <w:gridSpan w:val="2"/>
                  <w:tcBorders>
                    <w:top w:val="single" w:color="auto" w:sz="4" w:space="0"/>
                    <w:left w:val="single" w:color="auto" w:sz="4" w:space="0"/>
                    <w:bottom w:val="single" w:color="auto" w:sz="4" w:space="0"/>
                    <w:right w:val="single" w:color="auto" w:sz="4" w:space="0"/>
                  </w:tcBorders>
                  <w:vAlign w:val="center"/>
                </w:tcPr>
                <w:p>
                  <w:pPr>
                    <w:jc w:val="center"/>
                    <w:rPr>
                      <w:color w:val="auto"/>
                      <w:u w:val="none"/>
                      <w:vertAlign w:val="subscript"/>
                    </w:rPr>
                  </w:pPr>
                  <w:r>
                    <w:rPr>
                      <w:rFonts w:hint="eastAsia"/>
                      <w:color w:val="auto"/>
                      <w:u w:val="none"/>
                    </w:rPr>
                    <w:t>COD</w:t>
                  </w:r>
                  <w:r>
                    <w:rPr>
                      <w:rFonts w:hint="eastAsia"/>
                      <w:color w:val="auto"/>
                      <w:u w:val="none"/>
                      <w:vertAlign w:val="subscript"/>
                    </w:rPr>
                    <w:t>Cr</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color w:val="auto"/>
                      <w:u w:val="none"/>
                    </w:rPr>
                    <w:t>mg/L</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500</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500</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364" w:type="pct"/>
                  <w:gridSpan w:val="2"/>
                  <w:tcBorders>
                    <w:top w:val="single" w:color="auto" w:sz="4" w:space="0"/>
                    <w:left w:val="single" w:color="auto" w:sz="4" w:space="0"/>
                    <w:bottom w:val="single" w:color="auto" w:sz="4" w:space="0"/>
                    <w:right w:val="single" w:color="auto" w:sz="4" w:space="0"/>
                  </w:tcBorders>
                  <w:vAlign w:val="center"/>
                </w:tcPr>
                <w:p>
                  <w:pPr>
                    <w:jc w:val="center"/>
                    <w:rPr>
                      <w:color w:val="auto"/>
                      <w:u w:val="none"/>
                    </w:rPr>
                  </w:pPr>
                  <w:r>
                    <w:rPr>
                      <w:rFonts w:hint="eastAsia"/>
                      <w:color w:val="auto"/>
                      <w:u w:val="none"/>
                    </w:rPr>
                    <w:t>氨氮</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color w:val="auto"/>
                      <w:u w:val="none"/>
                    </w:rPr>
                    <w:t>mg/L</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45</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45</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364" w:type="pct"/>
                  <w:gridSpan w:val="2"/>
                  <w:tcBorders>
                    <w:top w:val="single" w:color="auto" w:sz="4" w:space="0"/>
                    <w:left w:val="single" w:color="auto" w:sz="4" w:space="0"/>
                    <w:bottom w:val="single" w:color="auto" w:sz="4" w:space="0"/>
                    <w:right w:val="single" w:color="auto" w:sz="4" w:space="0"/>
                  </w:tcBorders>
                  <w:vAlign w:val="center"/>
                </w:tcPr>
                <w:p>
                  <w:pPr>
                    <w:jc w:val="center"/>
                    <w:rPr>
                      <w:color w:val="auto"/>
                      <w:u w:val="none"/>
                    </w:rPr>
                  </w:pPr>
                  <w:r>
                    <w:rPr>
                      <w:rFonts w:hint="eastAsia"/>
                      <w:color w:val="auto"/>
                      <w:u w:val="none"/>
                    </w:rPr>
                    <w:t>总氮</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color w:val="auto"/>
                      <w:u w:val="none"/>
                    </w:rPr>
                    <w:t>mg/L</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70</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70</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364" w:type="pct"/>
                  <w:gridSpan w:val="2"/>
                  <w:tcBorders>
                    <w:top w:val="single" w:color="auto" w:sz="4" w:space="0"/>
                    <w:left w:val="single" w:color="auto" w:sz="4" w:space="0"/>
                    <w:bottom w:val="single" w:color="auto" w:sz="4" w:space="0"/>
                    <w:right w:val="single" w:color="auto" w:sz="4" w:space="0"/>
                  </w:tcBorders>
                  <w:vAlign w:val="center"/>
                </w:tcPr>
                <w:p>
                  <w:pPr>
                    <w:jc w:val="center"/>
                    <w:rPr>
                      <w:color w:val="auto"/>
                      <w:u w:val="none"/>
                    </w:rPr>
                  </w:pPr>
                  <w:r>
                    <w:rPr>
                      <w:rFonts w:hint="eastAsia"/>
                      <w:color w:val="auto"/>
                      <w:u w:val="none"/>
                    </w:rPr>
                    <w:t>总磷</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color w:val="auto"/>
                      <w:u w:val="none"/>
                    </w:rPr>
                    <w:t>mg/L</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8.0</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8.0</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364" w:type="pct"/>
                  <w:gridSpan w:val="2"/>
                  <w:tcBorders>
                    <w:top w:val="single" w:color="auto" w:sz="4" w:space="0"/>
                    <w:left w:val="single" w:color="auto" w:sz="4" w:space="0"/>
                    <w:bottom w:val="single" w:color="auto" w:sz="4" w:space="0"/>
                    <w:right w:val="single" w:color="auto" w:sz="4" w:space="0"/>
                  </w:tcBorders>
                  <w:vAlign w:val="center"/>
                </w:tcPr>
                <w:p>
                  <w:pPr>
                    <w:jc w:val="center"/>
                    <w:rPr>
                      <w:color w:val="auto"/>
                      <w:u w:val="none"/>
                    </w:rPr>
                  </w:pPr>
                  <w:r>
                    <w:rPr>
                      <w:rFonts w:hint="eastAsia"/>
                      <w:color w:val="auto"/>
                      <w:u w:val="none"/>
                    </w:rPr>
                    <w:t>动植物油</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color w:val="auto"/>
                      <w:u w:val="none"/>
                    </w:rPr>
                    <w:t>mg/L</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100</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100</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364" w:type="pct"/>
                  <w:gridSpan w:val="2"/>
                  <w:tcBorders>
                    <w:top w:val="single" w:color="auto" w:sz="4" w:space="0"/>
                    <w:left w:val="single" w:color="auto" w:sz="4" w:space="0"/>
                    <w:bottom w:val="single" w:color="auto" w:sz="4" w:space="0"/>
                    <w:right w:val="single" w:color="auto" w:sz="4" w:space="0"/>
                  </w:tcBorders>
                  <w:vAlign w:val="center"/>
                </w:tcPr>
                <w:p>
                  <w:pPr>
                    <w:jc w:val="center"/>
                    <w:rPr>
                      <w:color w:val="auto"/>
                      <w:u w:val="none"/>
                    </w:rPr>
                  </w:pPr>
                  <w:r>
                    <w:rPr>
                      <w:rFonts w:hint="eastAsia"/>
                      <w:color w:val="auto"/>
                      <w:u w:val="none"/>
                    </w:rPr>
                    <w:t>全盐量</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color w:val="auto"/>
                      <w:u w:val="none"/>
                    </w:rPr>
                    <w:t>mg/L</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lang w:val="en-US" w:eastAsia="zh-CN"/>
                    </w:rPr>
                    <w:t>3</w:t>
                  </w:r>
                  <w:r>
                    <w:rPr>
                      <w:rFonts w:hint="eastAsia"/>
                      <w:color w:val="auto"/>
                      <w:u w:val="none"/>
                    </w:rPr>
                    <w:t>000</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eastAsia" w:eastAsia="宋体"/>
                      <w:color w:val="auto"/>
                      <w:u w:val="none"/>
                      <w:lang w:val="en-US" w:eastAsia="zh-CN"/>
                    </w:rPr>
                  </w:pPr>
                  <w:r>
                    <w:rPr>
                      <w:rFonts w:hint="eastAsia"/>
                      <w:color w:val="auto"/>
                      <w:u w:val="none"/>
                      <w:lang w:val="en-US" w:eastAsia="zh-CN"/>
                    </w:rPr>
                    <w:t>/</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37" w:type="pct"/>
                  <w:vMerge w:val="restart"/>
                  <w:tcBorders>
                    <w:top w:val="single" w:color="auto" w:sz="4" w:space="0"/>
                    <w:left w:val="single" w:color="auto" w:sz="4" w:space="0"/>
                    <w:right w:val="single" w:color="auto" w:sz="4" w:space="0"/>
                  </w:tcBorders>
                  <w:vAlign w:val="center"/>
                </w:tcPr>
                <w:p>
                  <w:pPr>
                    <w:jc w:val="center"/>
                    <w:rPr>
                      <w:color w:val="auto"/>
                      <w:u w:val="none"/>
                    </w:rPr>
                  </w:pPr>
                  <w:r>
                    <w:rPr>
                      <w:rFonts w:hint="eastAsia"/>
                      <w:color w:val="auto"/>
                      <w:u w:val="none"/>
                    </w:rPr>
                    <w:t>单位产品基准排水量</w:t>
                  </w:r>
                </w:p>
              </w:tc>
              <w:tc>
                <w:tcPr>
                  <w:tcW w:w="927" w:type="pct"/>
                  <w:tcBorders>
                    <w:top w:val="single" w:color="auto" w:sz="4" w:space="0"/>
                    <w:left w:val="single" w:color="auto" w:sz="4" w:space="0"/>
                    <w:bottom w:val="single" w:color="auto" w:sz="4" w:space="0"/>
                    <w:right w:val="single" w:color="auto" w:sz="4" w:space="0"/>
                  </w:tcBorders>
                  <w:vAlign w:val="center"/>
                </w:tcPr>
                <w:p>
                  <w:pPr>
                    <w:jc w:val="center"/>
                    <w:rPr>
                      <w:rFonts w:hint="eastAsia"/>
                      <w:color w:val="auto"/>
                      <w:u w:val="none"/>
                    </w:rPr>
                  </w:pPr>
                  <w:r>
                    <w:rPr>
                      <w:rFonts w:hint="eastAsia"/>
                      <w:color w:val="auto"/>
                      <w:u w:val="none"/>
                    </w:rPr>
                    <w:t>植物油加工-</w:t>
                  </w:r>
                  <w:r>
                    <w:rPr>
                      <w:color w:val="auto"/>
                      <w:u w:val="none"/>
                    </w:rPr>
                    <w:t>单纯混合或分装制得的产品</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color w:val="auto"/>
                      <w:u w:val="none"/>
                    </w:rPr>
                    <w:t>m</w:t>
                  </w:r>
                  <w:r>
                    <w:rPr>
                      <w:color w:val="auto"/>
                      <w:u w:val="none"/>
                      <w:vertAlign w:val="superscript"/>
                    </w:rPr>
                    <w:t>3</w:t>
                  </w:r>
                  <w:r>
                    <w:rPr>
                      <w:color w:val="auto"/>
                      <w:u w:val="none"/>
                    </w:rPr>
                    <w:t>/t产品</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0.3</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eastAsia" w:eastAsia="宋体"/>
                      <w:color w:val="auto"/>
                      <w:u w:val="none"/>
                      <w:lang w:val="en-US" w:eastAsia="zh-CN"/>
                    </w:rPr>
                  </w:pPr>
                  <w:r>
                    <w:rPr>
                      <w:rFonts w:hint="eastAsia"/>
                      <w:color w:val="auto"/>
                      <w:u w:val="none"/>
                      <w:lang w:val="en-US" w:eastAsia="zh-CN"/>
                    </w:rPr>
                    <w:t>/</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37" w:type="pct"/>
                  <w:vMerge w:val="continue"/>
                  <w:tcBorders>
                    <w:left w:val="single" w:color="auto" w:sz="4" w:space="0"/>
                    <w:bottom w:val="single" w:color="auto" w:sz="4" w:space="0"/>
                    <w:right w:val="single" w:color="auto" w:sz="4" w:space="0"/>
                  </w:tcBorders>
                  <w:vAlign w:val="center"/>
                </w:tcPr>
                <w:p>
                  <w:pPr>
                    <w:jc w:val="center"/>
                    <w:rPr>
                      <w:color w:val="auto"/>
                      <w:u w:val="none"/>
                    </w:rPr>
                  </w:pPr>
                </w:p>
              </w:tc>
              <w:tc>
                <w:tcPr>
                  <w:tcW w:w="927" w:type="pct"/>
                  <w:tcBorders>
                    <w:top w:val="single" w:color="auto" w:sz="4" w:space="0"/>
                    <w:left w:val="single" w:color="auto" w:sz="4" w:space="0"/>
                    <w:bottom w:val="single" w:color="auto" w:sz="4" w:space="0"/>
                    <w:right w:val="single" w:color="auto" w:sz="4" w:space="0"/>
                  </w:tcBorders>
                  <w:vAlign w:val="center"/>
                </w:tcPr>
                <w:p>
                  <w:pPr>
                    <w:jc w:val="center"/>
                    <w:rPr>
                      <w:rFonts w:hint="eastAsia"/>
                      <w:color w:val="auto"/>
                      <w:u w:val="none"/>
                    </w:rPr>
                  </w:pPr>
                  <w:r>
                    <w:rPr>
                      <w:rFonts w:hint="eastAsia"/>
                      <w:color w:val="auto"/>
                      <w:u w:val="none"/>
                    </w:rPr>
                    <w:t>罐头食品制造-其他类罐头</w:t>
                  </w:r>
                </w:p>
              </w:tc>
              <w:tc>
                <w:tcPr>
                  <w:tcW w:w="708"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color w:val="auto"/>
                      <w:u w:val="none"/>
                    </w:rPr>
                    <w:t>m</w:t>
                  </w:r>
                  <w:r>
                    <w:rPr>
                      <w:color w:val="auto"/>
                      <w:u w:val="none"/>
                      <w:vertAlign w:val="superscript"/>
                    </w:rPr>
                    <w:t>3</w:t>
                  </w:r>
                  <w:r>
                    <w:rPr>
                      <w:color w:val="auto"/>
                      <w:u w:val="none"/>
                    </w:rPr>
                    <w:t>/t产品</w:t>
                  </w:r>
                </w:p>
              </w:tc>
              <w:tc>
                <w:tcPr>
                  <w:tcW w:w="1249"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color w:val="auto"/>
                      <w:u w:val="none"/>
                    </w:rPr>
                  </w:pPr>
                  <w:r>
                    <w:rPr>
                      <w:rFonts w:hint="eastAsia"/>
                      <w:color w:val="auto"/>
                      <w:u w:val="none"/>
                    </w:rPr>
                    <w:t>10</w:t>
                  </w:r>
                </w:p>
              </w:tc>
              <w:tc>
                <w:tcPr>
                  <w:tcW w:w="974"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eastAsia" w:eastAsia="宋体"/>
                      <w:color w:val="auto"/>
                      <w:u w:val="none"/>
                      <w:lang w:val="en-US" w:eastAsia="zh-CN"/>
                    </w:rPr>
                  </w:pPr>
                  <w:r>
                    <w:rPr>
                      <w:rFonts w:hint="eastAsia"/>
                      <w:color w:val="auto"/>
                      <w:u w:val="none"/>
                      <w:lang w:val="en-US" w:eastAsia="zh-CN"/>
                    </w:rPr>
                    <w:t>/</w:t>
                  </w:r>
                </w:p>
              </w:tc>
              <w:tc>
                <w:tcPr>
                  <w:tcW w:w="702" w:type="pct"/>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default" w:eastAsia="宋体"/>
                      <w:color w:val="auto"/>
                      <w:u w:val="none"/>
                      <w:lang w:val="en-US" w:eastAsia="zh-CN"/>
                    </w:rPr>
                  </w:pPr>
                  <w:r>
                    <w:rPr>
                      <w:rFonts w:hint="eastAsia"/>
                      <w:color w:val="auto"/>
                      <w:u w:val="none"/>
                      <w:lang w:val="en-US" w:eastAsia="zh-CN"/>
                    </w:rPr>
                    <w:t>10</w:t>
                  </w:r>
                </w:p>
              </w:tc>
            </w:tr>
          </w:tbl>
          <w:p>
            <w:pPr>
              <w:autoSpaceDE w:val="0"/>
              <w:snapToGrid w:val="0"/>
              <w:spacing w:line="360" w:lineRule="auto"/>
              <w:ind w:firstLine="472" w:firstLineChars="196"/>
              <w:rPr>
                <w:b/>
                <w:color w:val="auto"/>
                <w:sz w:val="24"/>
                <w:u w:val="none"/>
              </w:rPr>
            </w:pPr>
            <w:r>
              <w:rPr>
                <w:rFonts w:hint="eastAsia"/>
                <w:b/>
                <w:color w:val="auto"/>
                <w:sz w:val="24"/>
                <w:u w:val="none"/>
              </w:rPr>
              <w:t xml:space="preserve">3.7.2 </w:t>
            </w:r>
            <w:r>
              <w:rPr>
                <w:b/>
                <w:color w:val="auto"/>
                <w:sz w:val="24"/>
                <w:u w:val="none"/>
              </w:rPr>
              <w:t>废气排放标准</w:t>
            </w:r>
          </w:p>
          <w:p>
            <w:pPr>
              <w:autoSpaceDE w:val="0"/>
              <w:snapToGrid w:val="0"/>
              <w:spacing w:line="360" w:lineRule="auto"/>
              <w:ind w:firstLine="480"/>
              <w:rPr>
                <w:color w:val="auto"/>
                <w:sz w:val="24"/>
                <w:u w:val="none"/>
              </w:rPr>
            </w:pPr>
            <w:r>
              <w:rPr>
                <w:rFonts w:hint="eastAsia"/>
                <w:color w:val="auto"/>
                <w:sz w:val="24"/>
                <w:u w:val="none"/>
              </w:rPr>
              <w:t>（1）有组织废气</w:t>
            </w:r>
          </w:p>
          <w:p>
            <w:pPr>
              <w:autoSpaceDE w:val="0"/>
              <w:snapToGrid w:val="0"/>
              <w:spacing w:line="360" w:lineRule="auto"/>
              <w:ind w:firstLine="480"/>
              <w:rPr>
                <w:color w:val="auto"/>
                <w:sz w:val="24"/>
                <w:u w:val="none"/>
              </w:rPr>
            </w:pPr>
            <w:r>
              <w:rPr>
                <w:rFonts w:hint="eastAsia"/>
                <w:color w:val="auto"/>
                <w:sz w:val="24"/>
                <w:u w:val="none"/>
              </w:rPr>
              <w:t>营运期本项目产生的有组织废气主要为蒸汽发生器废气、污水处理站臭气、炒制油烟废气、食堂油烟废气。蒸汽发生器</w:t>
            </w:r>
            <w:r>
              <w:rPr>
                <w:color w:val="auto"/>
                <w:sz w:val="24"/>
                <w:u w:val="none"/>
              </w:rPr>
              <w:t>废气（DA00</w:t>
            </w:r>
            <w:r>
              <w:rPr>
                <w:rFonts w:hint="eastAsia"/>
                <w:color w:val="auto"/>
                <w:sz w:val="24"/>
                <w:u w:val="none"/>
              </w:rPr>
              <w:t>1</w:t>
            </w:r>
            <w:r>
              <w:rPr>
                <w:color w:val="auto"/>
                <w:sz w:val="24"/>
                <w:u w:val="none"/>
              </w:rPr>
              <w:t>）执行</w:t>
            </w:r>
            <w:r>
              <w:rPr>
                <w:bCs/>
                <w:color w:val="auto"/>
                <w:sz w:val="24"/>
                <w:u w:val="none"/>
              </w:rPr>
              <w:t>《锅炉大气污染物排放标准》（GB13271-2014）表3中燃气锅炉特别排放限值</w:t>
            </w:r>
            <w:r>
              <w:rPr>
                <w:color w:val="auto"/>
                <w:sz w:val="24"/>
                <w:u w:val="none"/>
              </w:rPr>
              <w:t>。</w:t>
            </w:r>
            <w:r>
              <w:rPr>
                <w:rFonts w:hint="eastAsia"/>
                <w:color w:val="auto"/>
                <w:sz w:val="24"/>
                <w:u w:val="none"/>
              </w:rPr>
              <w:t>炒制油烟废气（DA002）、食堂油烟废气（DA003）执行《饮食业油烟排放标准（试行）》（G</w:t>
            </w:r>
            <w:r>
              <w:rPr>
                <w:color w:val="auto"/>
                <w:sz w:val="24"/>
                <w:u w:val="none"/>
              </w:rPr>
              <w:t>B18483-2001</w:t>
            </w:r>
            <w:r>
              <w:rPr>
                <w:rFonts w:hint="eastAsia"/>
                <w:color w:val="auto"/>
                <w:sz w:val="24"/>
                <w:u w:val="none"/>
              </w:rPr>
              <w:t>）表2标准。污水处理站臭气（DA004）</w:t>
            </w:r>
            <w:r>
              <w:rPr>
                <w:color w:val="auto"/>
                <w:sz w:val="24"/>
                <w:u w:val="none"/>
              </w:rPr>
              <w:t>执行</w:t>
            </w:r>
            <w:r>
              <w:rPr>
                <w:bCs/>
                <w:color w:val="auto"/>
                <w:sz w:val="24"/>
                <w:u w:val="none"/>
              </w:rPr>
              <w:t>《恶臭污染物排放标准》（GB 14554-93）表2标准限值</w:t>
            </w:r>
            <w:r>
              <w:rPr>
                <w:color w:val="auto"/>
                <w:sz w:val="24"/>
                <w:u w:val="none"/>
              </w:rPr>
              <w:t>。</w:t>
            </w:r>
          </w:p>
          <w:p>
            <w:pPr>
              <w:jc w:val="center"/>
              <w:rPr>
                <w:b/>
                <w:snapToGrid w:val="0"/>
                <w:color w:val="auto"/>
                <w:sz w:val="24"/>
                <w:u w:val="none"/>
              </w:rPr>
            </w:pPr>
            <w:r>
              <w:rPr>
                <w:b/>
                <w:snapToGrid w:val="0"/>
                <w:color w:val="auto"/>
                <w:sz w:val="24"/>
                <w:u w:val="none"/>
              </w:rPr>
              <w:t>表</w:t>
            </w:r>
            <w:r>
              <w:rPr>
                <w:rFonts w:hint="eastAsia"/>
                <w:b/>
                <w:snapToGrid w:val="0"/>
                <w:color w:val="auto"/>
                <w:sz w:val="24"/>
                <w:u w:val="none"/>
              </w:rPr>
              <w:t>3.7-2</w:t>
            </w:r>
            <w:r>
              <w:rPr>
                <w:b/>
                <w:snapToGrid w:val="0"/>
                <w:color w:val="auto"/>
                <w:sz w:val="24"/>
                <w:u w:val="none"/>
              </w:rPr>
              <w:t xml:space="preserve"> </w:t>
            </w:r>
            <w:r>
              <w:rPr>
                <w:rFonts w:hint="eastAsia"/>
                <w:b/>
                <w:snapToGrid w:val="0"/>
                <w:color w:val="auto"/>
                <w:sz w:val="24"/>
                <w:u w:val="none"/>
              </w:rPr>
              <w:t>本项目有组织废气执行标准</w:t>
            </w:r>
          </w:p>
          <w:p>
            <w:pPr>
              <w:jc w:val="right"/>
              <w:rPr>
                <w:b/>
                <w:snapToGrid w:val="0"/>
                <w:color w:val="auto"/>
                <w:szCs w:val="21"/>
                <w:u w:val="none"/>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894"/>
              <w:gridCol w:w="1749"/>
              <w:gridCol w:w="1121"/>
              <w:gridCol w:w="1017"/>
              <w:gridCol w:w="1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Align w:val="center"/>
                </w:tcPr>
                <w:p>
                  <w:pPr>
                    <w:jc w:val="center"/>
                    <w:rPr>
                      <w:b/>
                      <w:snapToGrid w:val="0"/>
                      <w:color w:val="auto"/>
                      <w:szCs w:val="21"/>
                      <w:u w:val="none"/>
                    </w:rPr>
                  </w:pPr>
                  <w:r>
                    <w:rPr>
                      <w:rFonts w:hint="eastAsia"/>
                      <w:b/>
                      <w:snapToGrid w:val="0"/>
                      <w:color w:val="auto"/>
                      <w:szCs w:val="21"/>
                      <w:u w:val="none"/>
                    </w:rPr>
                    <w:t>污染源</w:t>
                  </w:r>
                </w:p>
              </w:tc>
              <w:tc>
                <w:tcPr>
                  <w:tcW w:w="894" w:type="dxa"/>
                  <w:vAlign w:val="center"/>
                </w:tcPr>
                <w:p>
                  <w:pPr>
                    <w:jc w:val="center"/>
                    <w:rPr>
                      <w:b/>
                      <w:snapToGrid w:val="0"/>
                      <w:color w:val="auto"/>
                      <w:szCs w:val="21"/>
                      <w:u w:val="none"/>
                    </w:rPr>
                  </w:pPr>
                  <w:r>
                    <w:rPr>
                      <w:rFonts w:hint="eastAsia"/>
                      <w:b/>
                      <w:snapToGrid w:val="0"/>
                      <w:color w:val="auto"/>
                      <w:szCs w:val="21"/>
                      <w:u w:val="none"/>
                    </w:rPr>
                    <w:t>排气筒高度</w:t>
                  </w:r>
                </w:p>
              </w:tc>
              <w:tc>
                <w:tcPr>
                  <w:tcW w:w="1749" w:type="dxa"/>
                  <w:vAlign w:val="center"/>
                </w:tcPr>
                <w:p>
                  <w:pPr>
                    <w:jc w:val="center"/>
                    <w:rPr>
                      <w:b/>
                      <w:snapToGrid w:val="0"/>
                      <w:color w:val="auto"/>
                      <w:szCs w:val="21"/>
                      <w:u w:val="none"/>
                    </w:rPr>
                  </w:pPr>
                  <w:r>
                    <w:rPr>
                      <w:rFonts w:hint="eastAsia"/>
                      <w:b/>
                      <w:snapToGrid w:val="0"/>
                      <w:color w:val="auto"/>
                      <w:szCs w:val="21"/>
                      <w:u w:val="none"/>
                    </w:rPr>
                    <w:t>污染物项目</w:t>
                  </w:r>
                </w:p>
              </w:tc>
              <w:tc>
                <w:tcPr>
                  <w:tcW w:w="1121" w:type="dxa"/>
                  <w:vAlign w:val="center"/>
                </w:tcPr>
                <w:p>
                  <w:pPr>
                    <w:jc w:val="center"/>
                    <w:rPr>
                      <w:b/>
                      <w:snapToGrid w:val="0"/>
                      <w:color w:val="auto"/>
                      <w:szCs w:val="21"/>
                      <w:u w:val="none"/>
                    </w:rPr>
                  </w:pPr>
                  <w:r>
                    <w:rPr>
                      <w:rFonts w:hint="eastAsia"/>
                      <w:b/>
                      <w:snapToGrid w:val="0"/>
                      <w:color w:val="auto"/>
                      <w:szCs w:val="21"/>
                      <w:u w:val="none"/>
                    </w:rPr>
                    <w:t>标准限值</w:t>
                  </w:r>
                </w:p>
              </w:tc>
              <w:tc>
                <w:tcPr>
                  <w:tcW w:w="1017" w:type="dxa"/>
                  <w:vAlign w:val="center"/>
                </w:tcPr>
                <w:p>
                  <w:pPr>
                    <w:jc w:val="center"/>
                    <w:rPr>
                      <w:b/>
                      <w:snapToGrid w:val="0"/>
                      <w:color w:val="auto"/>
                      <w:szCs w:val="21"/>
                      <w:u w:val="none"/>
                    </w:rPr>
                  </w:pPr>
                  <w:r>
                    <w:rPr>
                      <w:rFonts w:hint="eastAsia"/>
                      <w:b/>
                      <w:snapToGrid w:val="0"/>
                      <w:color w:val="auto"/>
                      <w:szCs w:val="21"/>
                      <w:u w:val="none"/>
                    </w:rPr>
                    <w:t>单位</w:t>
                  </w:r>
                </w:p>
              </w:tc>
              <w:tc>
                <w:tcPr>
                  <w:tcW w:w="1943" w:type="dxa"/>
                  <w:vAlign w:val="center"/>
                </w:tcPr>
                <w:p>
                  <w:pPr>
                    <w:jc w:val="center"/>
                    <w:rPr>
                      <w:b/>
                      <w:snapToGrid w:val="0"/>
                      <w:color w:val="auto"/>
                      <w:szCs w:val="21"/>
                      <w:u w:val="none"/>
                    </w:rPr>
                  </w:pPr>
                  <w:r>
                    <w:rPr>
                      <w:rFonts w:hint="eastAsia"/>
                      <w:b/>
                      <w:snapToGrid w:val="0"/>
                      <w:color w:val="auto"/>
                      <w:szCs w:val="21"/>
                      <w:u w:val="none"/>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restart"/>
                  <w:vAlign w:val="center"/>
                </w:tcPr>
                <w:p>
                  <w:pPr>
                    <w:jc w:val="center"/>
                    <w:rPr>
                      <w:color w:val="auto"/>
                      <w:position w:val="-10"/>
                      <w:szCs w:val="21"/>
                      <w:u w:val="none"/>
                    </w:rPr>
                  </w:pPr>
                  <w:r>
                    <w:rPr>
                      <w:rFonts w:hint="eastAsia"/>
                      <w:color w:val="auto"/>
                      <w:position w:val="-10"/>
                      <w:szCs w:val="21"/>
                      <w:u w:val="none"/>
                    </w:rPr>
                    <w:t>蒸汽发生器废气（DA001）</w:t>
                  </w:r>
                </w:p>
              </w:tc>
              <w:tc>
                <w:tcPr>
                  <w:tcW w:w="894" w:type="dxa"/>
                  <w:vMerge w:val="restart"/>
                  <w:vAlign w:val="center"/>
                </w:tcPr>
                <w:p>
                  <w:pPr>
                    <w:jc w:val="center"/>
                    <w:rPr>
                      <w:color w:val="auto"/>
                      <w:position w:val="-10"/>
                      <w:szCs w:val="21"/>
                      <w:u w:val="none"/>
                    </w:rPr>
                  </w:pPr>
                  <w:r>
                    <w:rPr>
                      <w:rFonts w:hint="eastAsia"/>
                      <w:color w:val="auto"/>
                      <w:position w:val="-10"/>
                      <w:szCs w:val="21"/>
                      <w:u w:val="none"/>
                    </w:rPr>
                    <w:t>21m</w:t>
                  </w:r>
                </w:p>
              </w:tc>
              <w:tc>
                <w:tcPr>
                  <w:tcW w:w="1749" w:type="dxa"/>
                  <w:vAlign w:val="center"/>
                </w:tcPr>
                <w:p>
                  <w:pPr>
                    <w:jc w:val="center"/>
                    <w:rPr>
                      <w:color w:val="auto"/>
                      <w:position w:val="-10"/>
                      <w:szCs w:val="21"/>
                      <w:u w:val="none"/>
                    </w:rPr>
                  </w:pPr>
                  <w:r>
                    <w:rPr>
                      <w:rFonts w:ascii="宋体" w:hAnsi="宋体"/>
                      <w:color w:val="auto"/>
                      <w:szCs w:val="21"/>
                      <w:u w:val="none"/>
                    </w:rPr>
                    <w:t>颗粒物</w:t>
                  </w:r>
                </w:p>
              </w:tc>
              <w:tc>
                <w:tcPr>
                  <w:tcW w:w="1121" w:type="dxa"/>
                  <w:vAlign w:val="center"/>
                </w:tcPr>
                <w:p>
                  <w:pPr>
                    <w:jc w:val="center"/>
                    <w:rPr>
                      <w:color w:val="auto"/>
                      <w:position w:val="-10"/>
                      <w:szCs w:val="21"/>
                      <w:u w:val="none"/>
                    </w:rPr>
                  </w:pPr>
                  <w:r>
                    <w:rPr>
                      <w:rFonts w:hint="eastAsia"/>
                      <w:color w:val="auto"/>
                      <w:szCs w:val="21"/>
                      <w:u w:val="none"/>
                    </w:rPr>
                    <w:t>20</w:t>
                  </w:r>
                </w:p>
              </w:tc>
              <w:tc>
                <w:tcPr>
                  <w:tcW w:w="1017" w:type="dxa"/>
                  <w:vAlign w:val="center"/>
                </w:tcPr>
                <w:p>
                  <w:pPr>
                    <w:jc w:val="center"/>
                    <w:rPr>
                      <w:bCs/>
                      <w:color w:val="auto"/>
                      <w:position w:val="-10"/>
                      <w:szCs w:val="21"/>
                      <w:u w:val="none"/>
                    </w:rPr>
                  </w:pPr>
                  <w:r>
                    <w:rPr>
                      <w:bCs/>
                      <w:color w:val="auto"/>
                      <w:szCs w:val="21"/>
                      <w:u w:val="none"/>
                    </w:rPr>
                    <w:t>mg/m</w:t>
                  </w:r>
                  <w:r>
                    <w:rPr>
                      <w:bCs/>
                      <w:color w:val="auto"/>
                      <w:szCs w:val="21"/>
                      <w:u w:val="none"/>
                      <w:vertAlign w:val="superscript"/>
                    </w:rPr>
                    <w:t>3</w:t>
                  </w:r>
                </w:p>
              </w:tc>
              <w:tc>
                <w:tcPr>
                  <w:tcW w:w="1943" w:type="dxa"/>
                  <w:vMerge w:val="restart"/>
                  <w:vAlign w:val="center"/>
                </w:tcPr>
                <w:p>
                  <w:pPr>
                    <w:jc w:val="center"/>
                    <w:rPr>
                      <w:color w:val="auto"/>
                      <w:position w:val="-10"/>
                      <w:szCs w:val="21"/>
                      <w:u w:val="none"/>
                    </w:rPr>
                  </w:pPr>
                  <w:r>
                    <w:rPr>
                      <w:rFonts w:hint="eastAsia"/>
                      <w:color w:val="auto"/>
                      <w:position w:val="-10"/>
                      <w:szCs w:val="21"/>
                      <w:u w:val="none"/>
                    </w:rPr>
                    <w:t>《锅炉大气污染物排放标准》（GB13271-2014）</w:t>
                  </w:r>
                  <w:r>
                    <w:rPr>
                      <w:color w:val="auto"/>
                      <w:position w:val="-10"/>
                      <w:szCs w:val="21"/>
                      <w:u w:val="none"/>
                    </w:rPr>
                    <w:t>表3燃气锅炉特别排放限值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continue"/>
                  <w:vAlign w:val="center"/>
                </w:tcPr>
                <w:p>
                  <w:pPr>
                    <w:jc w:val="center"/>
                    <w:rPr>
                      <w:color w:val="auto"/>
                      <w:position w:val="-10"/>
                      <w:szCs w:val="21"/>
                      <w:u w:val="none"/>
                    </w:rPr>
                  </w:pPr>
                </w:p>
              </w:tc>
              <w:tc>
                <w:tcPr>
                  <w:tcW w:w="894" w:type="dxa"/>
                  <w:vMerge w:val="continue"/>
                  <w:vAlign w:val="center"/>
                </w:tcPr>
                <w:p>
                  <w:pPr>
                    <w:jc w:val="center"/>
                    <w:rPr>
                      <w:color w:val="auto"/>
                      <w:position w:val="-10"/>
                      <w:szCs w:val="21"/>
                      <w:u w:val="none"/>
                    </w:rPr>
                  </w:pPr>
                </w:p>
              </w:tc>
              <w:tc>
                <w:tcPr>
                  <w:tcW w:w="1749" w:type="dxa"/>
                  <w:vAlign w:val="center"/>
                </w:tcPr>
                <w:p>
                  <w:pPr>
                    <w:jc w:val="center"/>
                    <w:rPr>
                      <w:color w:val="auto"/>
                      <w:position w:val="-10"/>
                      <w:szCs w:val="21"/>
                      <w:u w:val="none"/>
                    </w:rPr>
                  </w:pPr>
                  <w:r>
                    <w:rPr>
                      <w:color w:val="auto"/>
                      <w:szCs w:val="21"/>
                      <w:u w:val="none"/>
                    </w:rPr>
                    <w:t>SO</w:t>
                  </w:r>
                  <w:r>
                    <w:rPr>
                      <w:color w:val="auto"/>
                      <w:szCs w:val="21"/>
                      <w:u w:val="none"/>
                      <w:vertAlign w:val="subscript"/>
                    </w:rPr>
                    <w:t>2</w:t>
                  </w:r>
                </w:p>
              </w:tc>
              <w:tc>
                <w:tcPr>
                  <w:tcW w:w="1121" w:type="dxa"/>
                  <w:vAlign w:val="center"/>
                </w:tcPr>
                <w:p>
                  <w:pPr>
                    <w:jc w:val="center"/>
                    <w:rPr>
                      <w:color w:val="auto"/>
                      <w:position w:val="-10"/>
                      <w:szCs w:val="21"/>
                      <w:u w:val="none"/>
                    </w:rPr>
                  </w:pPr>
                  <w:r>
                    <w:rPr>
                      <w:rFonts w:hint="eastAsia"/>
                      <w:color w:val="auto"/>
                      <w:szCs w:val="21"/>
                      <w:u w:val="none"/>
                    </w:rPr>
                    <w:t>50</w:t>
                  </w:r>
                </w:p>
              </w:tc>
              <w:tc>
                <w:tcPr>
                  <w:tcW w:w="1017" w:type="dxa"/>
                  <w:vAlign w:val="center"/>
                </w:tcPr>
                <w:p>
                  <w:pPr>
                    <w:jc w:val="center"/>
                    <w:rPr>
                      <w:color w:val="auto"/>
                      <w:position w:val="-10"/>
                      <w:szCs w:val="21"/>
                      <w:u w:val="none"/>
                    </w:rPr>
                  </w:pPr>
                  <w:r>
                    <w:rPr>
                      <w:bCs/>
                      <w:color w:val="auto"/>
                      <w:szCs w:val="21"/>
                      <w:u w:val="none"/>
                    </w:rPr>
                    <w:t>mg/m</w:t>
                  </w:r>
                  <w:r>
                    <w:rPr>
                      <w:bCs/>
                      <w:color w:val="auto"/>
                      <w:szCs w:val="21"/>
                      <w:u w:val="none"/>
                      <w:vertAlign w:val="superscript"/>
                    </w:rPr>
                    <w:t>3</w:t>
                  </w:r>
                </w:p>
              </w:tc>
              <w:tc>
                <w:tcPr>
                  <w:tcW w:w="19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continue"/>
                  <w:vAlign w:val="center"/>
                </w:tcPr>
                <w:p>
                  <w:pPr>
                    <w:jc w:val="center"/>
                    <w:rPr>
                      <w:color w:val="auto"/>
                      <w:position w:val="-10"/>
                      <w:szCs w:val="21"/>
                      <w:u w:val="none"/>
                    </w:rPr>
                  </w:pPr>
                </w:p>
              </w:tc>
              <w:tc>
                <w:tcPr>
                  <w:tcW w:w="894" w:type="dxa"/>
                  <w:vMerge w:val="continue"/>
                  <w:vAlign w:val="center"/>
                </w:tcPr>
                <w:p>
                  <w:pPr>
                    <w:jc w:val="center"/>
                    <w:rPr>
                      <w:color w:val="auto"/>
                      <w:position w:val="-10"/>
                      <w:szCs w:val="21"/>
                      <w:u w:val="none"/>
                    </w:rPr>
                  </w:pPr>
                </w:p>
              </w:tc>
              <w:tc>
                <w:tcPr>
                  <w:tcW w:w="1749" w:type="dxa"/>
                  <w:vAlign w:val="center"/>
                </w:tcPr>
                <w:p>
                  <w:pPr>
                    <w:jc w:val="center"/>
                    <w:rPr>
                      <w:color w:val="auto"/>
                      <w:position w:val="-10"/>
                      <w:szCs w:val="21"/>
                      <w:u w:val="none"/>
                    </w:rPr>
                  </w:pPr>
                  <w:r>
                    <w:rPr>
                      <w:color w:val="auto"/>
                      <w:szCs w:val="21"/>
                      <w:u w:val="none"/>
                    </w:rPr>
                    <w:t>NO</w:t>
                  </w:r>
                  <w:r>
                    <w:rPr>
                      <w:color w:val="auto"/>
                      <w:szCs w:val="21"/>
                      <w:u w:val="none"/>
                      <w:vertAlign w:val="subscript"/>
                    </w:rPr>
                    <w:t>x</w:t>
                  </w:r>
                </w:p>
              </w:tc>
              <w:tc>
                <w:tcPr>
                  <w:tcW w:w="1121" w:type="dxa"/>
                  <w:vAlign w:val="center"/>
                </w:tcPr>
                <w:p>
                  <w:pPr>
                    <w:jc w:val="center"/>
                    <w:rPr>
                      <w:color w:val="auto"/>
                      <w:position w:val="-10"/>
                      <w:szCs w:val="21"/>
                      <w:u w:val="none"/>
                    </w:rPr>
                  </w:pPr>
                  <w:r>
                    <w:rPr>
                      <w:rFonts w:hint="eastAsia"/>
                      <w:color w:val="auto"/>
                      <w:szCs w:val="21"/>
                      <w:u w:val="none"/>
                    </w:rPr>
                    <w:t>150</w:t>
                  </w:r>
                </w:p>
              </w:tc>
              <w:tc>
                <w:tcPr>
                  <w:tcW w:w="1017" w:type="dxa"/>
                  <w:vAlign w:val="center"/>
                </w:tcPr>
                <w:p>
                  <w:pPr>
                    <w:jc w:val="center"/>
                    <w:rPr>
                      <w:color w:val="auto"/>
                      <w:position w:val="-10"/>
                      <w:szCs w:val="21"/>
                      <w:u w:val="none"/>
                    </w:rPr>
                  </w:pPr>
                  <w:r>
                    <w:rPr>
                      <w:bCs/>
                      <w:color w:val="auto"/>
                      <w:szCs w:val="21"/>
                      <w:u w:val="none"/>
                    </w:rPr>
                    <w:t>mg/m</w:t>
                  </w:r>
                  <w:r>
                    <w:rPr>
                      <w:bCs/>
                      <w:color w:val="auto"/>
                      <w:szCs w:val="21"/>
                      <w:u w:val="none"/>
                      <w:vertAlign w:val="superscript"/>
                    </w:rPr>
                    <w:t>3</w:t>
                  </w:r>
                </w:p>
              </w:tc>
              <w:tc>
                <w:tcPr>
                  <w:tcW w:w="19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continue"/>
                  <w:vAlign w:val="center"/>
                </w:tcPr>
                <w:p>
                  <w:pPr>
                    <w:jc w:val="center"/>
                    <w:rPr>
                      <w:color w:val="auto"/>
                      <w:position w:val="-10"/>
                      <w:szCs w:val="21"/>
                      <w:u w:val="none"/>
                    </w:rPr>
                  </w:pPr>
                </w:p>
              </w:tc>
              <w:tc>
                <w:tcPr>
                  <w:tcW w:w="894" w:type="dxa"/>
                  <w:vMerge w:val="continue"/>
                  <w:vAlign w:val="center"/>
                </w:tcPr>
                <w:p>
                  <w:pPr>
                    <w:jc w:val="center"/>
                    <w:rPr>
                      <w:color w:val="auto"/>
                      <w:position w:val="-10"/>
                      <w:szCs w:val="21"/>
                      <w:u w:val="none"/>
                    </w:rPr>
                  </w:pPr>
                </w:p>
              </w:tc>
              <w:tc>
                <w:tcPr>
                  <w:tcW w:w="1749" w:type="dxa"/>
                  <w:vAlign w:val="center"/>
                </w:tcPr>
                <w:p>
                  <w:pPr>
                    <w:jc w:val="center"/>
                    <w:rPr>
                      <w:color w:val="auto"/>
                      <w:position w:val="-10"/>
                      <w:szCs w:val="21"/>
                      <w:u w:val="none"/>
                    </w:rPr>
                  </w:pPr>
                  <w:r>
                    <w:rPr>
                      <w:rFonts w:hint="eastAsia" w:ascii="宋体" w:hAnsi="宋体"/>
                      <w:color w:val="auto"/>
                      <w:szCs w:val="21"/>
                      <w:u w:val="none"/>
                    </w:rPr>
                    <w:t>烟气黑度（林格曼黑度）</w:t>
                  </w:r>
                </w:p>
              </w:tc>
              <w:tc>
                <w:tcPr>
                  <w:tcW w:w="1121" w:type="dxa"/>
                  <w:vAlign w:val="center"/>
                </w:tcPr>
                <w:p>
                  <w:pPr>
                    <w:jc w:val="center"/>
                    <w:rPr>
                      <w:color w:val="auto"/>
                      <w:position w:val="-10"/>
                      <w:szCs w:val="21"/>
                      <w:u w:val="none"/>
                    </w:rPr>
                  </w:pPr>
                  <w:r>
                    <w:rPr>
                      <w:rFonts w:hint="eastAsia" w:ascii="宋体" w:hAnsi="宋体"/>
                      <w:color w:val="auto"/>
                      <w:szCs w:val="21"/>
                      <w:u w:val="none"/>
                    </w:rPr>
                    <w:t>≤</w:t>
                  </w:r>
                  <w:r>
                    <w:rPr>
                      <w:rFonts w:hint="eastAsia"/>
                      <w:color w:val="auto"/>
                      <w:szCs w:val="21"/>
                      <w:u w:val="none"/>
                    </w:rPr>
                    <w:t>1</w:t>
                  </w:r>
                </w:p>
              </w:tc>
              <w:tc>
                <w:tcPr>
                  <w:tcW w:w="1017" w:type="dxa"/>
                  <w:vAlign w:val="center"/>
                </w:tcPr>
                <w:p>
                  <w:pPr>
                    <w:jc w:val="center"/>
                    <w:rPr>
                      <w:color w:val="auto"/>
                      <w:position w:val="-10"/>
                      <w:szCs w:val="21"/>
                      <w:u w:val="none"/>
                    </w:rPr>
                  </w:pPr>
                  <w:r>
                    <w:rPr>
                      <w:rFonts w:hint="eastAsia" w:ascii="宋体" w:hAnsi="宋体"/>
                      <w:color w:val="auto"/>
                      <w:szCs w:val="21"/>
                      <w:u w:val="none"/>
                    </w:rPr>
                    <w:t>级</w:t>
                  </w:r>
                </w:p>
              </w:tc>
              <w:tc>
                <w:tcPr>
                  <w:tcW w:w="19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restart"/>
                  <w:vAlign w:val="center"/>
                </w:tcPr>
                <w:p>
                  <w:pPr>
                    <w:jc w:val="center"/>
                    <w:rPr>
                      <w:color w:val="auto"/>
                      <w:position w:val="-10"/>
                      <w:szCs w:val="21"/>
                      <w:u w:val="none"/>
                    </w:rPr>
                  </w:pPr>
                  <w:r>
                    <w:rPr>
                      <w:rFonts w:hint="eastAsia"/>
                      <w:color w:val="auto"/>
                      <w:position w:val="-10"/>
                      <w:szCs w:val="21"/>
                      <w:u w:val="none"/>
                    </w:rPr>
                    <w:t>炒制油烟废气（DA002）</w:t>
                  </w:r>
                </w:p>
              </w:tc>
              <w:tc>
                <w:tcPr>
                  <w:tcW w:w="894" w:type="dxa"/>
                  <w:vMerge w:val="restart"/>
                  <w:vAlign w:val="center"/>
                </w:tcPr>
                <w:p>
                  <w:pPr>
                    <w:jc w:val="center"/>
                    <w:rPr>
                      <w:color w:val="auto"/>
                      <w:position w:val="-10"/>
                      <w:szCs w:val="21"/>
                      <w:u w:val="none"/>
                    </w:rPr>
                  </w:pPr>
                  <w:r>
                    <w:rPr>
                      <w:rFonts w:hint="eastAsia"/>
                      <w:color w:val="auto"/>
                      <w:position w:val="-10"/>
                      <w:szCs w:val="21"/>
                      <w:u w:val="none"/>
                    </w:rPr>
                    <w:t>1</w:t>
                  </w:r>
                  <w:r>
                    <w:rPr>
                      <w:rFonts w:hint="eastAsia"/>
                      <w:color w:val="auto"/>
                      <w:position w:val="-10"/>
                      <w:szCs w:val="21"/>
                      <w:u w:val="none"/>
                      <w:lang w:val="en-US" w:eastAsia="zh-CN"/>
                    </w:rPr>
                    <w:t>5</w:t>
                  </w:r>
                  <w:r>
                    <w:rPr>
                      <w:rFonts w:hint="eastAsia"/>
                      <w:color w:val="auto"/>
                      <w:position w:val="-10"/>
                      <w:szCs w:val="21"/>
                      <w:u w:val="none"/>
                    </w:rPr>
                    <w:t>m</w:t>
                  </w:r>
                </w:p>
              </w:tc>
              <w:tc>
                <w:tcPr>
                  <w:tcW w:w="1749" w:type="dxa"/>
                  <w:vAlign w:val="center"/>
                </w:tcPr>
                <w:p>
                  <w:pPr>
                    <w:jc w:val="center"/>
                    <w:rPr>
                      <w:color w:val="auto"/>
                      <w:position w:val="-10"/>
                      <w:szCs w:val="21"/>
                      <w:u w:val="none"/>
                    </w:rPr>
                  </w:pPr>
                  <w:r>
                    <w:rPr>
                      <w:rFonts w:hint="eastAsia"/>
                      <w:color w:val="auto"/>
                      <w:position w:val="-10"/>
                      <w:szCs w:val="21"/>
                      <w:u w:val="none"/>
                    </w:rPr>
                    <w:t>油烟</w:t>
                  </w:r>
                </w:p>
              </w:tc>
              <w:tc>
                <w:tcPr>
                  <w:tcW w:w="1121" w:type="dxa"/>
                  <w:vAlign w:val="center"/>
                </w:tcPr>
                <w:p>
                  <w:pPr>
                    <w:jc w:val="center"/>
                    <w:rPr>
                      <w:color w:val="auto"/>
                      <w:position w:val="-10"/>
                      <w:szCs w:val="21"/>
                      <w:u w:val="none"/>
                    </w:rPr>
                  </w:pPr>
                  <w:r>
                    <w:rPr>
                      <w:rFonts w:hint="eastAsia"/>
                      <w:color w:val="auto"/>
                      <w:position w:val="-10"/>
                      <w:szCs w:val="21"/>
                      <w:u w:val="none"/>
                    </w:rPr>
                    <w:t>2</w:t>
                  </w:r>
                  <w:r>
                    <w:rPr>
                      <w:color w:val="auto"/>
                      <w:position w:val="-10"/>
                      <w:szCs w:val="21"/>
                      <w:u w:val="none"/>
                    </w:rPr>
                    <w:t>.0</w:t>
                  </w:r>
                </w:p>
              </w:tc>
              <w:tc>
                <w:tcPr>
                  <w:tcW w:w="1017" w:type="dxa"/>
                  <w:vAlign w:val="center"/>
                </w:tcPr>
                <w:p>
                  <w:pPr>
                    <w:jc w:val="center"/>
                    <w:rPr>
                      <w:color w:val="auto"/>
                      <w:position w:val="-10"/>
                      <w:szCs w:val="21"/>
                      <w:u w:val="none"/>
                    </w:rPr>
                  </w:pPr>
                  <w:r>
                    <w:rPr>
                      <w:bCs/>
                      <w:color w:val="auto"/>
                      <w:szCs w:val="21"/>
                      <w:u w:val="none"/>
                    </w:rPr>
                    <w:t>mg/m</w:t>
                  </w:r>
                  <w:r>
                    <w:rPr>
                      <w:bCs/>
                      <w:color w:val="auto"/>
                      <w:szCs w:val="21"/>
                      <w:u w:val="none"/>
                      <w:vertAlign w:val="superscript"/>
                    </w:rPr>
                    <w:t>3</w:t>
                  </w:r>
                </w:p>
              </w:tc>
              <w:tc>
                <w:tcPr>
                  <w:tcW w:w="1943" w:type="dxa"/>
                  <w:vMerge w:val="restart"/>
                  <w:vAlign w:val="center"/>
                </w:tcPr>
                <w:p>
                  <w:pPr>
                    <w:jc w:val="center"/>
                    <w:rPr>
                      <w:color w:val="auto"/>
                      <w:position w:val="-10"/>
                      <w:szCs w:val="21"/>
                      <w:u w:val="none"/>
                    </w:rPr>
                  </w:pPr>
                  <w:r>
                    <w:rPr>
                      <w:rFonts w:hint="eastAsia"/>
                      <w:color w:val="auto"/>
                      <w:position w:val="-10"/>
                      <w:szCs w:val="21"/>
                      <w:u w:val="none"/>
                    </w:rPr>
                    <w:t>《饮食业油烟排放标准（试行）》（GB18483-2001）表2标准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continue"/>
                  <w:vAlign w:val="center"/>
                </w:tcPr>
                <w:p>
                  <w:pPr>
                    <w:jc w:val="center"/>
                    <w:rPr>
                      <w:color w:val="auto"/>
                      <w:position w:val="-10"/>
                      <w:szCs w:val="21"/>
                      <w:u w:val="none"/>
                    </w:rPr>
                  </w:pPr>
                </w:p>
              </w:tc>
              <w:tc>
                <w:tcPr>
                  <w:tcW w:w="894" w:type="dxa"/>
                  <w:vMerge w:val="continue"/>
                  <w:vAlign w:val="center"/>
                </w:tcPr>
                <w:p>
                  <w:pPr>
                    <w:jc w:val="center"/>
                    <w:rPr>
                      <w:color w:val="auto"/>
                      <w:position w:val="-10"/>
                      <w:szCs w:val="21"/>
                      <w:u w:val="none"/>
                    </w:rPr>
                  </w:pPr>
                </w:p>
              </w:tc>
              <w:tc>
                <w:tcPr>
                  <w:tcW w:w="1749" w:type="dxa"/>
                  <w:vAlign w:val="center"/>
                </w:tcPr>
                <w:p>
                  <w:pPr>
                    <w:jc w:val="center"/>
                    <w:rPr>
                      <w:color w:val="auto"/>
                      <w:position w:val="-10"/>
                      <w:szCs w:val="21"/>
                      <w:u w:val="none"/>
                    </w:rPr>
                  </w:pPr>
                  <w:r>
                    <w:rPr>
                      <w:rFonts w:hint="eastAsia"/>
                      <w:color w:val="auto"/>
                      <w:position w:val="-10"/>
                      <w:szCs w:val="21"/>
                      <w:u w:val="none"/>
                    </w:rPr>
                    <w:t>净化设施最低去除效率（大型）</w:t>
                  </w:r>
                </w:p>
              </w:tc>
              <w:tc>
                <w:tcPr>
                  <w:tcW w:w="1121" w:type="dxa"/>
                  <w:vAlign w:val="center"/>
                </w:tcPr>
                <w:p>
                  <w:pPr>
                    <w:jc w:val="center"/>
                    <w:rPr>
                      <w:color w:val="auto"/>
                      <w:position w:val="-10"/>
                      <w:szCs w:val="21"/>
                      <w:u w:val="none"/>
                    </w:rPr>
                  </w:pPr>
                  <w:r>
                    <w:rPr>
                      <w:rFonts w:hint="eastAsia"/>
                      <w:color w:val="auto"/>
                      <w:position w:val="-10"/>
                      <w:szCs w:val="21"/>
                      <w:u w:val="none"/>
                    </w:rPr>
                    <w:t>85</w:t>
                  </w:r>
                </w:p>
              </w:tc>
              <w:tc>
                <w:tcPr>
                  <w:tcW w:w="1017" w:type="dxa"/>
                  <w:vAlign w:val="center"/>
                </w:tcPr>
                <w:p>
                  <w:pPr>
                    <w:jc w:val="center"/>
                    <w:rPr>
                      <w:color w:val="auto"/>
                      <w:position w:val="-10"/>
                      <w:szCs w:val="21"/>
                      <w:u w:val="none"/>
                    </w:rPr>
                  </w:pPr>
                  <w:r>
                    <w:rPr>
                      <w:rFonts w:hint="eastAsia"/>
                      <w:color w:val="auto"/>
                      <w:position w:val="-10"/>
                      <w:szCs w:val="21"/>
                      <w:u w:val="none"/>
                    </w:rPr>
                    <w:t>%</w:t>
                  </w:r>
                </w:p>
              </w:tc>
              <w:tc>
                <w:tcPr>
                  <w:tcW w:w="19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restart"/>
                  <w:vAlign w:val="center"/>
                </w:tcPr>
                <w:p>
                  <w:pPr>
                    <w:jc w:val="center"/>
                    <w:rPr>
                      <w:color w:val="auto"/>
                      <w:position w:val="-10"/>
                      <w:szCs w:val="21"/>
                      <w:u w:val="none"/>
                    </w:rPr>
                  </w:pPr>
                  <w:r>
                    <w:rPr>
                      <w:rFonts w:hint="eastAsia"/>
                      <w:color w:val="auto"/>
                      <w:position w:val="-10"/>
                      <w:szCs w:val="21"/>
                      <w:u w:val="none"/>
                    </w:rPr>
                    <w:t>食堂油烟废气（DA003）</w:t>
                  </w:r>
                </w:p>
              </w:tc>
              <w:tc>
                <w:tcPr>
                  <w:tcW w:w="894" w:type="dxa"/>
                  <w:vMerge w:val="restart"/>
                  <w:vAlign w:val="center"/>
                </w:tcPr>
                <w:p>
                  <w:pPr>
                    <w:jc w:val="center"/>
                    <w:rPr>
                      <w:color w:val="auto"/>
                      <w:position w:val="-10"/>
                      <w:szCs w:val="21"/>
                      <w:u w:val="none"/>
                    </w:rPr>
                  </w:pPr>
                  <w:r>
                    <w:rPr>
                      <w:rFonts w:hint="eastAsia"/>
                      <w:color w:val="auto"/>
                      <w:position w:val="-10"/>
                      <w:szCs w:val="21"/>
                      <w:u w:val="none"/>
                      <w:lang w:val="en-US" w:eastAsia="zh-CN"/>
                    </w:rPr>
                    <w:t>9</w:t>
                  </w:r>
                  <w:r>
                    <w:rPr>
                      <w:rFonts w:hint="eastAsia"/>
                      <w:color w:val="auto"/>
                      <w:position w:val="-10"/>
                      <w:szCs w:val="21"/>
                      <w:u w:val="none"/>
                    </w:rPr>
                    <w:t>m</w:t>
                  </w:r>
                </w:p>
              </w:tc>
              <w:tc>
                <w:tcPr>
                  <w:tcW w:w="1749" w:type="dxa"/>
                  <w:vAlign w:val="center"/>
                </w:tcPr>
                <w:p>
                  <w:pPr>
                    <w:jc w:val="center"/>
                    <w:rPr>
                      <w:color w:val="auto"/>
                      <w:position w:val="-10"/>
                      <w:szCs w:val="21"/>
                      <w:u w:val="none"/>
                    </w:rPr>
                  </w:pPr>
                  <w:r>
                    <w:rPr>
                      <w:rFonts w:hint="eastAsia"/>
                      <w:color w:val="auto"/>
                      <w:position w:val="-10"/>
                      <w:szCs w:val="21"/>
                      <w:u w:val="none"/>
                    </w:rPr>
                    <w:t>油烟</w:t>
                  </w:r>
                </w:p>
              </w:tc>
              <w:tc>
                <w:tcPr>
                  <w:tcW w:w="1121" w:type="dxa"/>
                  <w:vAlign w:val="center"/>
                </w:tcPr>
                <w:p>
                  <w:pPr>
                    <w:jc w:val="center"/>
                    <w:rPr>
                      <w:color w:val="auto"/>
                      <w:position w:val="-10"/>
                      <w:szCs w:val="21"/>
                      <w:u w:val="none"/>
                    </w:rPr>
                  </w:pPr>
                  <w:r>
                    <w:rPr>
                      <w:rFonts w:hint="eastAsia"/>
                      <w:color w:val="auto"/>
                      <w:position w:val="-10"/>
                      <w:szCs w:val="21"/>
                      <w:u w:val="none"/>
                    </w:rPr>
                    <w:t>2</w:t>
                  </w:r>
                  <w:r>
                    <w:rPr>
                      <w:color w:val="auto"/>
                      <w:position w:val="-10"/>
                      <w:szCs w:val="21"/>
                      <w:u w:val="none"/>
                    </w:rPr>
                    <w:t>.0</w:t>
                  </w:r>
                </w:p>
              </w:tc>
              <w:tc>
                <w:tcPr>
                  <w:tcW w:w="1017" w:type="dxa"/>
                  <w:vAlign w:val="center"/>
                </w:tcPr>
                <w:p>
                  <w:pPr>
                    <w:jc w:val="center"/>
                    <w:rPr>
                      <w:color w:val="auto"/>
                      <w:position w:val="-10"/>
                      <w:szCs w:val="21"/>
                      <w:u w:val="none"/>
                    </w:rPr>
                  </w:pPr>
                  <w:r>
                    <w:rPr>
                      <w:bCs/>
                      <w:color w:val="auto"/>
                      <w:szCs w:val="21"/>
                      <w:u w:val="none"/>
                    </w:rPr>
                    <w:t>mg/m</w:t>
                  </w:r>
                  <w:r>
                    <w:rPr>
                      <w:bCs/>
                      <w:color w:val="auto"/>
                      <w:szCs w:val="21"/>
                      <w:u w:val="none"/>
                      <w:vertAlign w:val="superscript"/>
                    </w:rPr>
                    <w:t>3</w:t>
                  </w:r>
                </w:p>
              </w:tc>
              <w:tc>
                <w:tcPr>
                  <w:tcW w:w="19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continue"/>
                  <w:vAlign w:val="center"/>
                </w:tcPr>
                <w:p>
                  <w:pPr>
                    <w:jc w:val="center"/>
                    <w:rPr>
                      <w:color w:val="auto"/>
                      <w:position w:val="-10"/>
                      <w:szCs w:val="21"/>
                      <w:u w:val="none"/>
                    </w:rPr>
                  </w:pPr>
                </w:p>
              </w:tc>
              <w:tc>
                <w:tcPr>
                  <w:tcW w:w="894" w:type="dxa"/>
                  <w:vMerge w:val="continue"/>
                  <w:vAlign w:val="center"/>
                </w:tcPr>
                <w:p>
                  <w:pPr>
                    <w:jc w:val="center"/>
                    <w:rPr>
                      <w:color w:val="auto"/>
                      <w:position w:val="-10"/>
                      <w:szCs w:val="21"/>
                      <w:u w:val="none"/>
                    </w:rPr>
                  </w:pPr>
                </w:p>
              </w:tc>
              <w:tc>
                <w:tcPr>
                  <w:tcW w:w="1749" w:type="dxa"/>
                  <w:vAlign w:val="center"/>
                </w:tcPr>
                <w:p>
                  <w:pPr>
                    <w:jc w:val="center"/>
                    <w:rPr>
                      <w:color w:val="auto"/>
                      <w:position w:val="-10"/>
                      <w:szCs w:val="21"/>
                      <w:u w:val="none"/>
                    </w:rPr>
                  </w:pPr>
                  <w:r>
                    <w:rPr>
                      <w:rFonts w:hint="eastAsia"/>
                      <w:color w:val="auto"/>
                      <w:position w:val="-10"/>
                      <w:szCs w:val="21"/>
                      <w:u w:val="none"/>
                    </w:rPr>
                    <w:t>净化设施最低去除效率（</w:t>
                  </w:r>
                  <w:r>
                    <w:rPr>
                      <w:rFonts w:hint="eastAsia"/>
                      <w:color w:val="auto"/>
                      <w:position w:val="-10"/>
                      <w:szCs w:val="21"/>
                      <w:u w:val="none"/>
                      <w:lang w:val="en-US" w:eastAsia="zh-CN"/>
                    </w:rPr>
                    <w:t>中型</w:t>
                  </w:r>
                  <w:r>
                    <w:rPr>
                      <w:rFonts w:hint="eastAsia"/>
                      <w:color w:val="auto"/>
                      <w:position w:val="-10"/>
                      <w:szCs w:val="21"/>
                      <w:u w:val="none"/>
                    </w:rPr>
                    <w:t>）</w:t>
                  </w:r>
                </w:p>
              </w:tc>
              <w:tc>
                <w:tcPr>
                  <w:tcW w:w="1121" w:type="dxa"/>
                  <w:vAlign w:val="center"/>
                </w:tcPr>
                <w:p>
                  <w:pPr>
                    <w:jc w:val="center"/>
                    <w:rPr>
                      <w:rFonts w:hint="default" w:eastAsia="宋体"/>
                      <w:color w:val="auto"/>
                      <w:position w:val="-10"/>
                      <w:szCs w:val="21"/>
                      <w:u w:val="none"/>
                      <w:lang w:val="en-US" w:eastAsia="zh-CN"/>
                    </w:rPr>
                  </w:pPr>
                  <w:r>
                    <w:rPr>
                      <w:rFonts w:hint="eastAsia"/>
                      <w:color w:val="auto"/>
                      <w:position w:val="-10"/>
                      <w:szCs w:val="21"/>
                      <w:u w:val="none"/>
                      <w:lang w:val="en-US" w:eastAsia="zh-CN"/>
                    </w:rPr>
                    <w:t>75</w:t>
                  </w:r>
                </w:p>
              </w:tc>
              <w:tc>
                <w:tcPr>
                  <w:tcW w:w="1017" w:type="dxa"/>
                  <w:vAlign w:val="center"/>
                </w:tcPr>
                <w:p>
                  <w:pPr>
                    <w:jc w:val="center"/>
                    <w:rPr>
                      <w:color w:val="auto"/>
                      <w:position w:val="-10"/>
                      <w:szCs w:val="21"/>
                      <w:u w:val="none"/>
                    </w:rPr>
                  </w:pPr>
                  <w:r>
                    <w:rPr>
                      <w:rFonts w:hint="eastAsia"/>
                      <w:color w:val="auto"/>
                      <w:position w:val="-10"/>
                      <w:szCs w:val="21"/>
                      <w:u w:val="none"/>
                    </w:rPr>
                    <w:t>%</w:t>
                  </w:r>
                </w:p>
              </w:tc>
              <w:tc>
                <w:tcPr>
                  <w:tcW w:w="19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restart"/>
                  <w:vAlign w:val="center"/>
                </w:tcPr>
                <w:p>
                  <w:pPr>
                    <w:jc w:val="center"/>
                    <w:rPr>
                      <w:color w:val="auto"/>
                      <w:position w:val="-10"/>
                      <w:szCs w:val="21"/>
                      <w:u w:val="none"/>
                    </w:rPr>
                  </w:pPr>
                  <w:r>
                    <w:rPr>
                      <w:rFonts w:hint="eastAsia"/>
                      <w:color w:val="auto"/>
                      <w:position w:val="-10"/>
                      <w:szCs w:val="21"/>
                      <w:u w:val="none"/>
                    </w:rPr>
                    <w:t>污水处理站臭气（DA004）</w:t>
                  </w:r>
                </w:p>
              </w:tc>
              <w:tc>
                <w:tcPr>
                  <w:tcW w:w="894" w:type="dxa"/>
                  <w:vMerge w:val="restart"/>
                  <w:vAlign w:val="center"/>
                </w:tcPr>
                <w:p>
                  <w:pPr>
                    <w:jc w:val="center"/>
                    <w:rPr>
                      <w:color w:val="auto"/>
                      <w:position w:val="-10"/>
                      <w:szCs w:val="21"/>
                      <w:u w:val="none"/>
                    </w:rPr>
                  </w:pPr>
                  <w:r>
                    <w:rPr>
                      <w:rFonts w:hint="eastAsia"/>
                      <w:color w:val="auto"/>
                      <w:position w:val="-10"/>
                      <w:szCs w:val="21"/>
                      <w:u w:val="none"/>
                    </w:rPr>
                    <w:t>15m</w:t>
                  </w:r>
                </w:p>
              </w:tc>
              <w:tc>
                <w:tcPr>
                  <w:tcW w:w="1749" w:type="dxa"/>
                  <w:vAlign w:val="center"/>
                </w:tcPr>
                <w:p>
                  <w:pPr>
                    <w:jc w:val="center"/>
                    <w:rPr>
                      <w:color w:val="auto"/>
                      <w:position w:val="-10"/>
                      <w:szCs w:val="21"/>
                      <w:u w:val="none"/>
                    </w:rPr>
                  </w:pPr>
                  <w:r>
                    <w:rPr>
                      <w:rFonts w:hint="eastAsia"/>
                      <w:color w:val="auto"/>
                      <w:szCs w:val="21"/>
                      <w:u w:val="none"/>
                    </w:rPr>
                    <w:t>NH</w:t>
                  </w:r>
                  <w:r>
                    <w:rPr>
                      <w:rFonts w:hint="eastAsia"/>
                      <w:color w:val="auto"/>
                      <w:szCs w:val="21"/>
                      <w:u w:val="none"/>
                      <w:vertAlign w:val="subscript"/>
                    </w:rPr>
                    <w:t>3</w:t>
                  </w:r>
                </w:p>
              </w:tc>
              <w:tc>
                <w:tcPr>
                  <w:tcW w:w="1121" w:type="dxa"/>
                  <w:vAlign w:val="center"/>
                </w:tcPr>
                <w:p>
                  <w:pPr>
                    <w:jc w:val="center"/>
                    <w:rPr>
                      <w:color w:val="auto"/>
                      <w:position w:val="-10"/>
                      <w:szCs w:val="21"/>
                      <w:u w:val="none"/>
                    </w:rPr>
                  </w:pPr>
                  <w:r>
                    <w:rPr>
                      <w:rFonts w:hint="eastAsia"/>
                      <w:color w:val="auto"/>
                      <w:position w:val="-10"/>
                      <w:szCs w:val="21"/>
                      <w:u w:val="none"/>
                    </w:rPr>
                    <w:t>4.9</w:t>
                  </w:r>
                </w:p>
              </w:tc>
              <w:tc>
                <w:tcPr>
                  <w:tcW w:w="1017" w:type="dxa"/>
                  <w:vAlign w:val="center"/>
                </w:tcPr>
                <w:p>
                  <w:pPr>
                    <w:jc w:val="center"/>
                    <w:rPr>
                      <w:color w:val="auto"/>
                      <w:position w:val="-10"/>
                      <w:szCs w:val="21"/>
                      <w:u w:val="none"/>
                    </w:rPr>
                  </w:pPr>
                  <w:r>
                    <w:rPr>
                      <w:color w:val="auto"/>
                      <w:position w:val="-10"/>
                      <w:szCs w:val="21"/>
                      <w:u w:val="none"/>
                    </w:rPr>
                    <w:t>kg</w:t>
                  </w:r>
                  <w:r>
                    <w:rPr>
                      <w:rFonts w:hint="eastAsia"/>
                      <w:color w:val="auto"/>
                      <w:position w:val="-10"/>
                      <w:szCs w:val="21"/>
                      <w:u w:val="none"/>
                    </w:rPr>
                    <w:t>/h</w:t>
                  </w:r>
                </w:p>
              </w:tc>
              <w:tc>
                <w:tcPr>
                  <w:tcW w:w="1943" w:type="dxa"/>
                  <w:vMerge w:val="restart"/>
                  <w:vAlign w:val="center"/>
                </w:tcPr>
                <w:p>
                  <w:pPr>
                    <w:jc w:val="center"/>
                    <w:rPr>
                      <w:color w:val="auto"/>
                      <w:position w:val="-10"/>
                      <w:szCs w:val="21"/>
                      <w:u w:val="none"/>
                    </w:rPr>
                  </w:pPr>
                  <w:r>
                    <w:rPr>
                      <w:color w:val="auto"/>
                      <w:position w:val="-10"/>
                      <w:szCs w:val="21"/>
                      <w:u w:val="none"/>
                    </w:rPr>
                    <w:t>《恶臭污染物排放标准》（GB 14554-93）表2标准限值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continue"/>
                  <w:vAlign w:val="center"/>
                </w:tcPr>
                <w:p>
                  <w:pPr>
                    <w:jc w:val="center"/>
                    <w:rPr>
                      <w:color w:val="auto"/>
                      <w:position w:val="-10"/>
                      <w:szCs w:val="21"/>
                      <w:u w:val="none"/>
                    </w:rPr>
                  </w:pPr>
                </w:p>
              </w:tc>
              <w:tc>
                <w:tcPr>
                  <w:tcW w:w="894" w:type="dxa"/>
                  <w:vMerge w:val="continue"/>
                  <w:vAlign w:val="center"/>
                </w:tcPr>
                <w:p>
                  <w:pPr>
                    <w:jc w:val="center"/>
                    <w:rPr>
                      <w:color w:val="auto"/>
                      <w:position w:val="-10"/>
                      <w:szCs w:val="21"/>
                      <w:u w:val="none"/>
                    </w:rPr>
                  </w:pPr>
                </w:p>
              </w:tc>
              <w:tc>
                <w:tcPr>
                  <w:tcW w:w="1749" w:type="dxa"/>
                  <w:vAlign w:val="center"/>
                </w:tcPr>
                <w:p>
                  <w:pPr>
                    <w:jc w:val="center"/>
                    <w:rPr>
                      <w:color w:val="auto"/>
                      <w:position w:val="-10"/>
                      <w:szCs w:val="21"/>
                      <w:u w:val="none"/>
                    </w:rPr>
                  </w:pPr>
                  <w:r>
                    <w:rPr>
                      <w:rFonts w:hint="eastAsia"/>
                      <w:color w:val="auto"/>
                      <w:szCs w:val="21"/>
                      <w:u w:val="none"/>
                    </w:rPr>
                    <w:t>H</w:t>
                  </w:r>
                  <w:r>
                    <w:rPr>
                      <w:rFonts w:hint="eastAsia"/>
                      <w:color w:val="auto"/>
                      <w:szCs w:val="21"/>
                      <w:u w:val="none"/>
                      <w:vertAlign w:val="subscript"/>
                    </w:rPr>
                    <w:t>2</w:t>
                  </w:r>
                  <w:r>
                    <w:rPr>
                      <w:rFonts w:hint="eastAsia"/>
                      <w:color w:val="auto"/>
                      <w:szCs w:val="21"/>
                      <w:u w:val="none"/>
                    </w:rPr>
                    <w:t>S</w:t>
                  </w:r>
                </w:p>
              </w:tc>
              <w:tc>
                <w:tcPr>
                  <w:tcW w:w="1121" w:type="dxa"/>
                  <w:vAlign w:val="center"/>
                </w:tcPr>
                <w:p>
                  <w:pPr>
                    <w:jc w:val="center"/>
                    <w:rPr>
                      <w:color w:val="auto"/>
                      <w:position w:val="-10"/>
                      <w:szCs w:val="21"/>
                      <w:u w:val="none"/>
                    </w:rPr>
                  </w:pPr>
                  <w:r>
                    <w:rPr>
                      <w:rFonts w:hint="eastAsia"/>
                      <w:color w:val="auto"/>
                      <w:position w:val="-10"/>
                      <w:szCs w:val="21"/>
                      <w:u w:val="none"/>
                    </w:rPr>
                    <w:t>0.33</w:t>
                  </w:r>
                </w:p>
              </w:tc>
              <w:tc>
                <w:tcPr>
                  <w:tcW w:w="1017" w:type="dxa"/>
                  <w:vAlign w:val="center"/>
                </w:tcPr>
                <w:p>
                  <w:pPr>
                    <w:jc w:val="center"/>
                    <w:rPr>
                      <w:color w:val="auto"/>
                      <w:position w:val="-10"/>
                      <w:szCs w:val="21"/>
                      <w:u w:val="none"/>
                    </w:rPr>
                  </w:pPr>
                  <w:r>
                    <w:rPr>
                      <w:color w:val="auto"/>
                      <w:position w:val="-10"/>
                      <w:szCs w:val="21"/>
                      <w:u w:val="none"/>
                    </w:rPr>
                    <w:t>kg</w:t>
                  </w:r>
                  <w:r>
                    <w:rPr>
                      <w:rFonts w:hint="eastAsia"/>
                      <w:color w:val="auto"/>
                      <w:position w:val="-10"/>
                      <w:szCs w:val="21"/>
                      <w:u w:val="none"/>
                    </w:rPr>
                    <w:t>/h</w:t>
                  </w:r>
                </w:p>
              </w:tc>
              <w:tc>
                <w:tcPr>
                  <w:tcW w:w="19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continue"/>
                  <w:vAlign w:val="center"/>
                </w:tcPr>
                <w:p>
                  <w:pPr>
                    <w:jc w:val="center"/>
                    <w:rPr>
                      <w:color w:val="auto"/>
                      <w:position w:val="-10"/>
                      <w:szCs w:val="21"/>
                      <w:u w:val="none"/>
                    </w:rPr>
                  </w:pPr>
                </w:p>
              </w:tc>
              <w:tc>
                <w:tcPr>
                  <w:tcW w:w="894" w:type="dxa"/>
                  <w:vMerge w:val="continue"/>
                  <w:vAlign w:val="center"/>
                </w:tcPr>
                <w:p>
                  <w:pPr>
                    <w:jc w:val="center"/>
                    <w:rPr>
                      <w:color w:val="auto"/>
                      <w:position w:val="-10"/>
                      <w:szCs w:val="21"/>
                      <w:u w:val="none"/>
                    </w:rPr>
                  </w:pPr>
                </w:p>
              </w:tc>
              <w:tc>
                <w:tcPr>
                  <w:tcW w:w="1749" w:type="dxa"/>
                  <w:vAlign w:val="center"/>
                </w:tcPr>
                <w:p>
                  <w:pPr>
                    <w:jc w:val="center"/>
                    <w:rPr>
                      <w:color w:val="auto"/>
                      <w:position w:val="-10"/>
                      <w:szCs w:val="21"/>
                      <w:u w:val="none"/>
                    </w:rPr>
                  </w:pPr>
                  <w:r>
                    <w:rPr>
                      <w:rFonts w:hint="eastAsia" w:ascii="宋体" w:hAnsi="宋体"/>
                      <w:color w:val="auto"/>
                      <w:szCs w:val="21"/>
                      <w:u w:val="none"/>
                    </w:rPr>
                    <w:t>臭气浓度</w:t>
                  </w:r>
                </w:p>
              </w:tc>
              <w:tc>
                <w:tcPr>
                  <w:tcW w:w="1121" w:type="dxa"/>
                  <w:vAlign w:val="center"/>
                </w:tcPr>
                <w:p>
                  <w:pPr>
                    <w:jc w:val="center"/>
                    <w:rPr>
                      <w:color w:val="auto"/>
                      <w:position w:val="-10"/>
                      <w:szCs w:val="21"/>
                      <w:u w:val="none"/>
                    </w:rPr>
                  </w:pPr>
                  <w:r>
                    <w:rPr>
                      <w:rFonts w:hint="eastAsia"/>
                      <w:color w:val="auto"/>
                      <w:position w:val="-10"/>
                      <w:szCs w:val="21"/>
                      <w:u w:val="none"/>
                    </w:rPr>
                    <w:t>2000</w:t>
                  </w:r>
                </w:p>
              </w:tc>
              <w:tc>
                <w:tcPr>
                  <w:tcW w:w="1017" w:type="dxa"/>
                  <w:vAlign w:val="center"/>
                </w:tcPr>
                <w:p>
                  <w:pPr>
                    <w:jc w:val="center"/>
                    <w:rPr>
                      <w:color w:val="auto"/>
                      <w:position w:val="-10"/>
                      <w:szCs w:val="21"/>
                      <w:u w:val="none"/>
                    </w:rPr>
                  </w:pPr>
                  <w:r>
                    <w:rPr>
                      <w:rFonts w:hint="eastAsia"/>
                      <w:color w:val="auto"/>
                      <w:position w:val="-10"/>
                      <w:szCs w:val="21"/>
                      <w:u w:val="none"/>
                    </w:rPr>
                    <w:t>无量纲</w:t>
                  </w:r>
                </w:p>
              </w:tc>
              <w:tc>
                <w:tcPr>
                  <w:tcW w:w="1943" w:type="dxa"/>
                  <w:vMerge w:val="continue"/>
                  <w:vAlign w:val="center"/>
                </w:tcPr>
                <w:p>
                  <w:pPr>
                    <w:jc w:val="center"/>
                    <w:rPr>
                      <w:color w:val="auto"/>
                      <w:position w:val="-10"/>
                      <w:szCs w:val="21"/>
                      <w:u w:val="none"/>
                    </w:rPr>
                  </w:pPr>
                </w:p>
              </w:tc>
            </w:tr>
          </w:tbl>
          <w:p>
            <w:pPr>
              <w:autoSpaceDE w:val="0"/>
              <w:snapToGrid w:val="0"/>
              <w:spacing w:line="360" w:lineRule="auto"/>
              <w:ind w:firstLine="480"/>
              <w:rPr>
                <w:color w:val="auto"/>
                <w:sz w:val="24"/>
                <w:u w:val="none"/>
              </w:rPr>
            </w:pPr>
            <w:r>
              <w:rPr>
                <w:rFonts w:hint="eastAsia"/>
                <w:color w:val="auto"/>
                <w:sz w:val="24"/>
                <w:u w:val="none"/>
              </w:rPr>
              <w:t>（2）无组织废气</w:t>
            </w:r>
          </w:p>
          <w:p>
            <w:pPr>
              <w:autoSpaceDE w:val="0"/>
              <w:snapToGrid w:val="0"/>
              <w:spacing w:line="360" w:lineRule="auto"/>
              <w:ind w:firstLine="480"/>
              <w:rPr>
                <w:color w:val="auto"/>
                <w:sz w:val="24"/>
                <w:u w:val="none"/>
              </w:rPr>
            </w:pPr>
            <w:r>
              <w:rPr>
                <w:color w:val="auto"/>
                <w:sz w:val="24"/>
                <w:u w:val="none"/>
              </w:rPr>
              <w:t>厂界</w:t>
            </w:r>
            <w:r>
              <w:rPr>
                <w:rFonts w:hint="eastAsia"/>
                <w:color w:val="auto"/>
                <w:sz w:val="24"/>
                <w:u w:val="none"/>
              </w:rPr>
              <w:t>无组织废气</w:t>
            </w:r>
            <w:r>
              <w:rPr>
                <w:color w:val="auto"/>
                <w:sz w:val="24"/>
                <w:u w:val="none"/>
              </w:rPr>
              <w:t>颗粒物</w:t>
            </w:r>
            <w:r>
              <w:rPr>
                <w:rFonts w:hint="eastAsia"/>
                <w:color w:val="auto"/>
                <w:sz w:val="24"/>
                <w:u w:val="none"/>
              </w:rPr>
              <w:t>、二氧化硫、氮氧化物、非甲烷总烃、氯化氢执行《大气污染物综合排放标准》（GB16297-1996）表2中无组织排放监控浓度限值；车间异味、废水处理站臭气</w:t>
            </w:r>
            <w:r>
              <w:rPr>
                <w:color w:val="auto"/>
                <w:sz w:val="24"/>
                <w:u w:val="none"/>
              </w:rPr>
              <w:t>执行</w:t>
            </w:r>
            <w:r>
              <w:rPr>
                <w:rFonts w:hint="eastAsia"/>
                <w:color w:val="auto"/>
                <w:sz w:val="24"/>
                <w:u w:val="none"/>
              </w:rPr>
              <w:t>《恶臭污染物排放标准》</w:t>
            </w:r>
            <w:r>
              <w:rPr>
                <w:rFonts w:hint="eastAsia"/>
                <w:color w:val="auto"/>
                <w:sz w:val="24"/>
                <w:u w:val="none"/>
                <w:lang w:eastAsia="zh-CN"/>
              </w:rPr>
              <w:t>（</w:t>
            </w:r>
            <w:r>
              <w:rPr>
                <w:rFonts w:hint="eastAsia"/>
                <w:color w:val="auto"/>
                <w:sz w:val="24"/>
                <w:u w:val="none"/>
              </w:rPr>
              <w:t>GB14554-93</w:t>
            </w:r>
            <w:r>
              <w:rPr>
                <w:rFonts w:hint="eastAsia"/>
                <w:color w:val="auto"/>
                <w:sz w:val="24"/>
                <w:u w:val="none"/>
                <w:lang w:eastAsia="zh-CN"/>
              </w:rPr>
              <w:t>）</w:t>
            </w:r>
            <w:r>
              <w:rPr>
                <w:rFonts w:hint="eastAsia"/>
                <w:color w:val="auto"/>
                <w:sz w:val="24"/>
                <w:u w:val="none"/>
              </w:rPr>
              <w:t>表1二级新扩改建标准限值；喷码产生的非甲烷总烃，厂区内厂房外执行《</w:t>
            </w:r>
            <w:r>
              <w:rPr>
                <w:color w:val="auto"/>
                <w:sz w:val="24"/>
                <w:u w:val="none"/>
              </w:rPr>
              <w:t>挥发性有机物无组织排放控制标准</w:t>
            </w:r>
            <w:r>
              <w:rPr>
                <w:rFonts w:hint="eastAsia"/>
                <w:color w:val="auto"/>
                <w:sz w:val="24"/>
                <w:u w:val="none"/>
              </w:rPr>
              <w:t>》</w:t>
            </w:r>
            <w:r>
              <w:rPr>
                <w:color w:val="auto"/>
                <w:sz w:val="24"/>
                <w:u w:val="none"/>
              </w:rPr>
              <w:t>（GB 37822-2019）。</w:t>
            </w:r>
          </w:p>
          <w:p>
            <w:pPr>
              <w:jc w:val="center"/>
              <w:rPr>
                <w:b/>
                <w:snapToGrid w:val="0"/>
                <w:color w:val="auto"/>
                <w:szCs w:val="21"/>
                <w:u w:val="none"/>
              </w:rPr>
            </w:pPr>
            <w:r>
              <w:rPr>
                <w:b/>
                <w:snapToGrid w:val="0"/>
                <w:color w:val="auto"/>
                <w:sz w:val="24"/>
                <w:u w:val="none"/>
              </w:rPr>
              <w:t>表</w:t>
            </w:r>
            <w:r>
              <w:rPr>
                <w:rFonts w:hint="eastAsia"/>
                <w:b/>
                <w:snapToGrid w:val="0"/>
                <w:color w:val="auto"/>
                <w:sz w:val="24"/>
                <w:u w:val="none"/>
              </w:rPr>
              <w:t>3.7-3</w:t>
            </w:r>
            <w:r>
              <w:rPr>
                <w:b/>
                <w:snapToGrid w:val="0"/>
                <w:color w:val="auto"/>
                <w:sz w:val="24"/>
                <w:u w:val="none"/>
              </w:rPr>
              <w:t xml:space="preserve">  </w:t>
            </w:r>
            <w:r>
              <w:rPr>
                <w:rFonts w:hint="eastAsia"/>
                <w:b/>
                <w:snapToGrid w:val="0"/>
                <w:color w:val="auto"/>
                <w:sz w:val="24"/>
                <w:u w:val="none"/>
              </w:rPr>
              <w:t>本项目无组织废气执行</w:t>
            </w:r>
            <w:r>
              <w:rPr>
                <w:b/>
                <w:snapToGrid w:val="0"/>
                <w:color w:val="auto"/>
                <w:sz w:val="24"/>
                <w:u w:val="none"/>
              </w:rPr>
              <w:t>标准</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308"/>
              <w:gridCol w:w="1713"/>
              <w:gridCol w:w="1434"/>
              <w:gridCol w:w="2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1" w:type="dxa"/>
                  <w:vAlign w:val="center"/>
                </w:tcPr>
                <w:p>
                  <w:pPr>
                    <w:jc w:val="center"/>
                    <w:rPr>
                      <w:b/>
                      <w:snapToGrid w:val="0"/>
                      <w:color w:val="auto"/>
                      <w:szCs w:val="21"/>
                      <w:u w:val="none"/>
                    </w:rPr>
                  </w:pPr>
                  <w:r>
                    <w:rPr>
                      <w:rFonts w:hint="eastAsia"/>
                      <w:b/>
                      <w:snapToGrid w:val="0"/>
                      <w:color w:val="auto"/>
                      <w:szCs w:val="21"/>
                      <w:u w:val="none"/>
                    </w:rPr>
                    <w:t>监控点</w:t>
                  </w:r>
                </w:p>
              </w:tc>
              <w:tc>
                <w:tcPr>
                  <w:tcW w:w="1308" w:type="dxa"/>
                  <w:vAlign w:val="center"/>
                </w:tcPr>
                <w:p>
                  <w:pPr>
                    <w:jc w:val="center"/>
                    <w:rPr>
                      <w:b/>
                      <w:snapToGrid w:val="0"/>
                      <w:color w:val="auto"/>
                      <w:szCs w:val="21"/>
                      <w:u w:val="none"/>
                    </w:rPr>
                  </w:pPr>
                  <w:r>
                    <w:rPr>
                      <w:rFonts w:hint="eastAsia"/>
                      <w:b/>
                      <w:snapToGrid w:val="0"/>
                      <w:color w:val="auto"/>
                      <w:szCs w:val="21"/>
                      <w:u w:val="none"/>
                    </w:rPr>
                    <w:t>污染物项目</w:t>
                  </w:r>
                </w:p>
              </w:tc>
              <w:tc>
                <w:tcPr>
                  <w:tcW w:w="1713" w:type="dxa"/>
                  <w:vAlign w:val="center"/>
                </w:tcPr>
                <w:p>
                  <w:pPr>
                    <w:jc w:val="center"/>
                    <w:rPr>
                      <w:b/>
                      <w:snapToGrid w:val="0"/>
                      <w:color w:val="auto"/>
                      <w:szCs w:val="21"/>
                      <w:u w:val="none"/>
                    </w:rPr>
                  </w:pPr>
                  <w:r>
                    <w:rPr>
                      <w:rFonts w:hint="eastAsia"/>
                      <w:b/>
                      <w:snapToGrid w:val="0"/>
                      <w:color w:val="auto"/>
                      <w:szCs w:val="21"/>
                      <w:u w:val="none"/>
                    </w:rPr>
                    <w:t>限值</w:t>
                  </w:r>
                </w:p>
              </w:tc>
              <w:tc>
                <w:tcPr>
                  <w:tcW w:w="1434" w:type="dxa"/>
                  <w:vAlign w:val="center"/>
                </w:tcPr>
                <w:p>
                  <w:pPr>
                    <w:jc w:val="center"/>
                    <w:rPr>
                      <w:b/>
                      <w:snapToGrid w:val="0"/>
                      <w:color w:val="auto"/>
                      <w:szCs w:val="21"/>
                      <w:u w:val="none"/>
                    </w:rPr>
                  </w:pPr>
                  <w:r>
                    <w:rPr>
                      <w:rFonts w:hint="eastAsia"/>
                      <w:b/>
                      <w:snapToGrid w:val="0"/>
                      <w:color w:val="auto"/>
                      <w:szCs w:val="21"/>
                      <w:u w:val="none"/>
                    </w:rPr>
                    <w:t>单位</w:t>
                  </w:r>
                </w:p>
              </w:tc>
              <w:tc>
                <w:tcPr>
                  <w:tcW w:w="2343" w:type="dxa"/>
                  <w:vAlign w:val="center"/>
                </w:tcPr>
                <w:p>
                  <w:pPr>
                    <w:jc w:val="center"/>
                    <w:rPr>
                      <w:b/>
                      <w:snapToGrid w:val="0"/>
                      <w:color w:val="auto"/>
                      <w:szCs w:val="21"/>
                      <w:u w:val="none"/>
                    </w:rPr>
                  </w:pPr>
                  <w:r>
                    <w:rPr>
                      <w:rFonts w:hint="eastAsia"/>
                      <w:b/>
                      <w:snapToGrid w:val="0"/>
                      <w:color w:val="auto"/>
                      <w:szCs w:val="21"/>
                      <w:u w:val="none"/>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81" w:type="dxa"/>
                  <w:vMerge w:val="restart"/>
                  <w:vAlign w:val="center"/>
                </w:tcPr>
                <w:p>
                  <w:pPr>
                    <w:jc w:val="center"/>
                    <w:rPr>
                      <w:color w:val="auto"/>
                      <w:position w:val="-10"/>
                      <w:szCs w:val="21"/>
                      <w:u w:val="none"/>
                    </w:rPr>
                  </w:pPr>
                  <w:r>
                    <w:rPr>
                      <w:rFonts w:hint="eastAsia"/>
                      <w:color w:val="auto"/>
                      <w:position w:val="-10"/>
                      <w:szCs w:val="21"/>
                      <w:u w:val="none"/>
                    </w:rPr>
                    <w:t>厂界</w:t>
                  </w:r>
                </w:p>
              </w:tc>
              <w:tc>
                <w:tcPr>
                  <w:tcW w:w="1308" w:type="dxa"/>
                  <w:vAlign w:val="center"/>
                </w:tcPr>
                <w:p>
                  <w:pPr>
                    <w:jc w:val="center"/>
                    <w:rPr>
                      <w:color w:val="auto"/>
                      <w:position w:val="-10"/>
                      <w:szCs w:val="21"/>
                      <w:u w:val="none"/>
                    </w:rPr>
                  </w:pPr>
                  <w:r>
                    <w:rPr>
                      <w:rFonts w:hint="eastAsia"/>
                      <w:color w:val="auto"/>
                      <w:position w:val="-10"/>
                      <w:szCs w:val="21"/>
                      <w:u w:val="none"/>
                    </w:rPr>
                    <w:t>颗粒物</w:t>
                  </w:r>
                </w:p>
              </w:tc>
              <w:tc>
                <w:tcPr>
                  <w:tcW w:w="1713" w:type="dxa"/>
                  <w:vAlign w:val="center"/>
                </w:tcPr>
                <w:p>
                  <w:pPr>
                    <w:jc w:val="center"/>
                    <w:rPr>
                      <w:color w:val="auto"/>
                      <w:position w:val="-10"/>
                      <w:szCs w:val="21"/>
                      <w:u w:val="none"/>
                    </w:rPr>
                  </w:pPr>
                  <w:r>
                    <w:rPr>
                      <w:rFonts w:hint="eastAsia"/>
                      <w:color w:val="auto"/>
                      <w:position w:val="-10"/>
                      <w:szCs w:val="21"/>
                      <w:u w:val="none"/>
                    </w:rPr>
                    <w:t>1</w:t>
                  </w:r>
                  <w:r>
                    <w:rPr>
                      <w:color w:val="auto"/>
                      <w:position w:val="-10"/>
                      <w:szCs w:val="21"/>
                      <w:u w:val="none"/>
                    </w:rPr>
                    <w:t>.0</w:t>
                  </w:r>
                </w:p>
              </w:tc>
              <w:tc>
                <w:tcPr>
                  <w:tcW w:w="1434" w:type="dxa"/>
                  <w:vAlign w:val="center"/>
                </w:tcPr>
                <w:p>
                  <w:pPr>
                    <w:jc w:val="center"/>
                    <w:rPr>
                      <w:color w:val="auto"/>
                      <w:position w:val="-10"/>
                      <w:szCs w:val="21"/>
                      <w:u w:val="none"/>
                    </w:rPr>
                  </w:pPr>
                  <w:r>
                    <w:rPr>
                      <w:bCs/>
                      <w:color w:val="auto"/>
                      <w:szCs w:val="21"/>
                      <w:u w:val="none"/>
                    </w:rPr>
                    <w:t>mg/m</w:t>
                  </w:r>
                  <w:r>
                    <w:rPr>
                      <w:bCs/>
                      <w:color w:val="auto"/>
                      <w:szCs w:val="21"/>
                      <w:u w:val="none"/>
                      <w:vertAlign w:val="superscript"/>
                    </w:rPr>
                    <w:t>3</w:t>
                  </w:r>
                </w:p>
              </w:tc>
              <w:tc>
                <w:tcPr>
                  <w:tcW w:w="2343" w:type="dxa"/>
                  <w:vMerge w:val="restart"/>
                  <w:vAlign w:val="center"/>
                </w:tcPr>
                <w:p>
                  <w:pPr>
                    <w:jc w:val="center"/>
                    <w:rPr>
                      <w:color w:val="auto"/>
                      <w:position w:val="-10"/>
                      <w:szCs w:val="21"/>
                      <w:u w:val="none"/>
                    </w:rPr>
                  </w:pPr>
                  <w:r>
                    <w:rPr>
                      <w:rFonts w:hint="eastAsia"/>
                      <w:color w:val="auto"/>
                      <w:position w:val="-10"/>
                      <w:szCs w:val="21"/>
                      <w:u w:val="none"/>
                    </w:rPr>
                    <w:t>《大气污染物综合排放标准》（GB16297-1996）表2中无组织排放监控浓度限值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1" w:type="dxa"/>
                  <w:vMerge w:val="continue"/>
                  <w:vAlign w:val="center"/>
                </w:tcPr>
                <w:p>
                  <w:pPr>
                    <w:jc w:val="center"/>
                    <w:rPr>
                      <w:color w:val="auto"/>
                      <w:position w:val="-10"/>
                      <w:szCs w:val="21"/>
                      <w:u w:val="none"/>
                    </w:rPr>
                  </w:pPr>
                </w:p>
              </w:tc>
              <w:tc>
                <w:tcPr>
                  <w:tcW w:w="1308" w:type="dxa"/>
                  <w:vAlign w:val="center"/>
                </w:tcPr>
                <w:p>
                  <w:pPr>
                    <w:jc w:val="center"/>
                    <w:rPr>
                      <w:color w:val="auto"/>
                      <w:position w:val="-10"/>
                      <w:szCs w:val="21"/>
                      <w:u w:val="none"/>
                    </w:rPr>
                  </w:pPr>
                  <w:r>
                    <w:rPr>
                      <w:rFonts w:hint="eastAsia"/>
                      <w:color w:val="auto"/>
                      <w:position w:val="-10"/>
                      <w:szCs w:val="21"/>
                      <w:u w:val="none"/>
                    </w:rPr>
                    <w:t>二氧化硫</w:t>
                  </w:r>
                </w:p>
              </w:tc>
              <w:tc>
                <w:tcPr>
                  <w:tcW w:w="1713" w:type="dxa"/>
                  <w:vAlign w:val="center"/>
                </w:tcPr>
                <w:p>
                  <w:pPr>
                    <w:jc w:val="center"/>
                    <w:rPr>
                      <w:color w:val="auto"/>
                      <w:position w:val="-10"/>
                      <w:szCs w:val="21"/>
                      <w:u w:val="none"/>
                    </w:rPr>
                  </w:pPr>
                  <w:r>
                    <w:rPr>
                      <w:rFonts w:hint="eastAsia"/>
                      <w:color w:val="auto"/>
                      <w:position w:val="-10"/>
                      <w:szCs w:val="21"/>
                      <w:u w:val="none"/>
                    </w:rPr>
                    <w:t>0</w:t>
                  </w:r>
                  <w:r>
                    <w:rPr>
                      <w:color w:val="auto"/>
                      <w:position w:val="-10"/>
                      <w:szCs w:val="21"/>
                      <w:u w:val="none"/>
                    </w:rPr>
                    <w:t>.40</w:t>
                  </w:r>
                </w:p>
              </w:tc>
              <w:tc>
                <w:tcPr>
                  <w:tcW w:w="1434" w:type="dxa"/>
                  <w:vAlign w:val="center"/>
                </w:tcPr>
                <w:p>
                  <w:pPr>
                    <w:jc w:val="center"/>
                    <w:rPr>
                      <w:color w:val="auto"/>
                      <w:position w:val="-10"/>
                      <w:szCs w:val="21"/>
                      <w:u w:val="none"/>
                    </w:rPr>
                  </w:pPr>
                  <w:r>
                    <w:rPr>
                      <w:bCs/>
                      <w:color w:val="auto"/>
                      <w:szCs w:val="21"/>
                      <w:u w:val="none"/>
                    </w:rPr>
                    <w:t>mg/m</w:t>
                  </w:r>
                  <w:r>
                    <w:rPr>
                      <w:bCs/>
                      <w:color w:val="auto"/>
                      <w:szCs w:val="21"/>
                      <w:u w:val="none"/>
                      <w:vertAlign w:val="superscript"/>
                    </w:rPr>
                    <w:t>3</w:t>
                  </w:r>
                </w:p>
              </w:tc>
              <w:tc>
                <w:tcPr>
                  <w:tcW w:w="23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1" w:type="dxa"/>
                  <w:vMerge w:val="continue"/>
                  <w:vAlign w:val="center"/>
                </w:tcPr>
                <w:p>
                  <w:pPr>
                    <w:jc w:val="center"/>
                    <w:rPr>
                      <w:color w:val="auto"/>
                      <w:position w:val="-10"/>
                      <w:szCs w:val="21"/>
                      <w:u w:val="none"/>
                    </w:rPr>
                  </w:pPr>
                </w:p>
              </w:tc>
              <w:tc>
                <w:tcPr>
                  <w:tcW w:w="1308" w:type="dxa"/>
                  <w:vAlign w:val="center"/>
                </w:tcPr>
                <w:p>
                  <w:pPr>
                    <w:jc w:val="center"/>
                    <w:rPr>
                      <w:color w:val="auto"/>
                      <w:position w:val="-10"/>
                      <w:szCs w:val="21"/>
                      <w:u w:val="none"/>
                    </w:rPr>
                  </w:pPr>
                  <w:r>
                    <w:rPr>
                      <w:rFonts w:hint="eastAsia"/>
                      <w:color w:val="auto"/>
                      <w:position w:val="-10"/>
                      <w:szCs w:val="21"/>
                      <w:u w:val="none"/>
                    </w:rPr>
                    <w:t>氮氧化物</w:t>
                  </w:r>
                </w:p>
              </w:tc>
              <w:tc>
                <w:tcPr>
                  <w:tcW w:w="1713" w:type="dxa"/>
                  <w:vAlign w:val="center"/>
                </w:tcPr>
                <w:p>
                  <w:pPr>
                    <w:jc w:val="center"/>
                    <w:rPr>
                      <w:color w:val="auto"/>
                      <w:position w:val="-10"/>
                      <w:szCs w:val="21"/>
                      <w:u w:val="none"/>
                    </w:rPr>
                  </w:pPr>
                  <w:r>
                    <w:rPr>
                      <w:rFonts w:hint="eastAsia"/>
                      <w:color w:val="auto"/>
                      <w:position w:val="-10"/>
                      <w:szCs w:val="21"/>
                      <w:u w:val="none"/>
                    </w:rPr>
                    <w:t>0</w:t>
                  </w:r>
                  <w:r>
                    <w:rPr>
                      <w:color w:val="auto"/>
                      <w:position w:val="-10"/>
                      <w:szCs w:val="21"/>
                      <w:u w:val="none"/>
                    </w:rPr>
                    <w:t>.12</w:t>
                  </w:r>
                </w:p>
              </w:tc>
              <w:tc>
                <w:tcPr>
                  <w:tcW w:w="1434" w:type="dxa"/>
                  <w:vAlign w:val="center"/>
                </w:tcPr>
                <w:p>
                  <w:pPr>
                    <w:jc w:val="center"/>
                    <w:rPr>
                      <w:bCs/>
                      <w:color w:val="auto"/>
                      <w:szCs w:val="21"/>
                      <w:u w:val="none"/>
                    </w:rPr>
                  </w:pPr>
                  <w:r>
                    <w:rPr>
                      <w:bCs/>
                      <w:color w:val="auto"/>
                      <w:szCs w:val="21"/>
                      <w:u w:val="none"/>
                    </w:rPr>
                    <w:t>mg/m</w:t>
                  </w:r>
                  <w:r>
                    <w:rPr>
                      <w:bCs/>
                      <w:color w:val="auto"/>
                      <w:szCs w:val="21"/>
                      <w:u w:val="none"/>
                      <w:vertAlign w:val="superscript"/>
                    </w:rPr>
                    <w:t>3</w:t>
                  </w:r>
                </w:p>
              </w:tc>
              <w:tc>
                <w:tcPr>
                  <w:tcW w:w="23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1" w:type="dxa"/>
                  <w:vMerge w:val="continue"/>
                  <w:vAlign w:val="center"/>
                </w:tcPr>
                <w:p>
                  <w:pPr>
                    <w:jc w:val="center"/>
                    <w:rPr>
                      <w:color w:val="auto"/>
                      <w:position w:val="-10"/>
                      <w:szCs w:val="21"/>
                      <w:u w:val="none"/>
                    </w:rPr>
                  </w:pPr>
                </w:p>
              </w:tc>
              <w:tc>
                <w:tcPr>
                  <w:tcW w:w="1308" w:type="dxa"/>
                  <w:vAlign w:val="center"/>
                </w:tcPr>
                <w:p>
                  <w:pPr>
                    <w:jc w:val="center"/>
                    <w:rPr>
                      <w:color w:val="auto"/>
                      <w:position w:val="-10"/>
                      <w:szCs w:val="21"/>
                      <w:u w:val="none"/>
                    </w:rPr>
                  </w:pPr>
                  <w:r>
                    <w:rPr>
                      <w:rFonts w:hint="eastAsia"/>
                      <w:color w:val="auto"/>
                      <w:position w:val="-10"/>
                      <w:szCs w:val="21"/>
                      <w:u w:val="none"/>
                    </w:rPr>
                    <w:t>非甲烷总烃</w:t>
                  </w:r>
                </w:p>
              </w:tc>
              <w:tc>
                <w:tcPr>
                  <w:tcW w:w="1713" w:type="dxa"/>
                  <w:vAlign w:val="center"/>
                </w:tcPr>
                <w:p>
                  <w:pPr>
                    <w:jc w:val="center"/>
                    <w:rPr>
                      <w:color w:val="auto"/>
                      <w:position w:val="-10"/>
                      <w:szCs w:val="21"/>
                      <w:u w:val="none"/>
                    </w:rPr>
                  </w:pPr>
                  <w:r>
                    <w:rPr>
                      <w:rFonts w:hint="eastAsia"/>
                      <w:color w:val="auto"/>
                      <w:position w:val="-10"/>
                      <w:szCs w:val="21"/>
                      <w:u w:val="none"/>
                    </w:rPr>
                    <w:t>4.0</w:t>
                  </w:r>
                </w:p>
              </w:tc>
              <w:tc>
                <w:tcPr>
                  <w:tcW w:w="1434" w:type="dxa"/>
                  <w:vAlign w:val="center"/>
                </w:tcPr>
                <w:p>
                  <w:pPr>
                    <w:jc w:val="center"/>
                    <w:rPr>
                      <w:bCs/>
                      <w:color w:val="auto"/>
                      <w:szCs w:val="21"/>
                      <w:u w:val="none"/>
                    </w:rPr>
                  </w:pPr>
                  <w:r>
                    <w:rPr>
                      <w:bCs/>
                      <w:color w:val="auto"/>
                      <w:szCs w:val="21"/>
                      <w:u w:val="none"/>
                    </w:rPr>
                    <w:t>mg/m</w:t>
                  </w:r>
                  <w:r>
                    <w:rPr>
                      <w:bCs/>
                      <w:color w:val="auto"/>
                      <w:szCs w:val="21"/>
                      <w:u w:val="none"/>
                      <w:vertAlign w:val="superscript"/>
                    </w:rPr>
                    <w:t>3</w:t>
                  </w:r>
                </w:p>
              </w:tc>
              <w:tc>
                <w:tcPr>
                  <w:tcW w:w="23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1" w:type="dxa"/>
                  <w:vMerge w:val="continue"/>
                  <w:vAlign w:val="center"/>
                </w:tcPr>
                <w:p>
                  <w:pPr>
                    <w:jc w:val="center"/>
                    <w:rPr>
                      <w:color w:val="auto"/>
                      <w:position w:val="-10"/>
                      <w:szCs w:val="21"/>
                      <w:u w:val="none"/>
                    </w:rPr>
                  </w:pPr>
                </w:p>
              </w:tc>
              <w:tc>
                <w:tcPr>
                  <w:tcW w:w="1308" w:type="dxa"/>
                  <w:vAlign w:val="center"/>
                </w:tcPr>
                <w:p>
                  <w:pPr>
                    <w:jc w:val="center"/>
                    <w:rPr>
                      <w:color w:val="auto"/>
                      <w:position w:val="-10"/>
                      <w:szCs w:val="21"/>
                      <w:u w:val="none"/>
                    </w:rPr>
                  </w:pPr>
                  <w:r>
                    <w:rPr>
                      <w:rFonts w:hint="eastAsia"/>
                      <w:color w:val="auto"/>
                      <w:position w:val="-10"/>
                      <w:szCs w:val="21"/>
                      <w:u w:val="none"/>
                    </w:rPr>
                    <w:t>氯化氢</w:t>
                  </w:r>
                </w:p>
              </w:tc>
              <w:tc>
                <w:tcPr>
                  <w:tcW w:w="1713" w:type="dxa"/>
                  <w:vAlign w:val="center"/>
                </w:tcPr>
                <w:p>
                  <w:pPr>
                    <w:jc w:val="center"/>
                    <w:rPr>
                      <w:color w:val="auto"/>
                      <w:position w:val="-10"/>
                      <w:szCs w:val="21"/>
                      <w:u w:val="none"/>
                    </w:rPr>
                  </w:pPr>
                  <w:r>
                    <w:rPr>
                      <w:rFonts w:hint="eastAsia"/>
                      <w:color w:val="auto"/>
                      <w:position w:val="-10"/>
                      <w:szCs w:val="21"/>
                      <w:u w:val="none"/>
                    </w:rPr>
                    <w:t>0.2</w:t>
                  </w:r>
                </w:p>
              </w:tc>
              <w:tc>
                <w:tcPr>
                  <w:tcW w:w="1434" w:type="dxa"/>
                  <w:vAlign w:val="center"/>
                </w:tcPr>
                <w:p>
                  <w:pPr>
                    <w:jc w:val="center"/>
                    <w:rPr>
                      <w:color w:val="auto"/>
                      <w:position w:val="-10"/>
                      <w:szCs w:val="21"/>
                      <w:u w:val="none"/>
                    </w:rPr>
                  </w:pPr>
                  <w:r>
                    <w:rPr>
                      <w:bCs/>
                      <w:color w:val="auto"/>
                      <w:szCs w:val="21"/>
                      <w:u w:val="none"/>
                    </w:rPr>
                    <w:t>mg/m</w:t>
                  </w:r>
                  <w:r>
                    <w:rPr>
                      <w:bCs/>
                      <w:color w:val="auto"/>
                      <w:szCs w:val="21"/>
                      <w:u w:val="none"/>
                      <w:vertAlign w:val="superscript"/>
                    </w:rPr>
                    <w:t>3</w:t>
                  </w:r>
                </w:p>
              </w:tc>
              <w:tc>
                <w:tcPr>
                  <w:tcW w:w="23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1" w:type="dxa"/>
                  <w:vMerge w:val="continue"/>
                  <w:vAlign w:val="center"/>
                </w:tcPr>
                <w:p>
                  <w:pPr>
                    <w:jc w:val="center"/>
                    <w:rPr>
                      <w:color w:val="auto"/>
                      <w:position w:val="-10"/>
                      <w:szCs w:val="21"/>
                      <w:u w:val="none"/>
                    </w:rPr>
                  </w:pPr>
                </w:p>
              </w:tc>
              <w:tc>
                <w:tcPr>
                  <w:tcW w:w="1308" w:type="dxa"/>
                  <w:vAlign w:val="center"/>
                </w:tcPr>
                <w:p>
                  <w:pPr>
                    <w:jc w:val="center"/>
                    <w:rPr>
                      <w:color w:val="auto"/>
                      <w:position w:val="-10"/>
                      <w:szCs w:val="21"/>
                      <w:u w:val="none"/>
                    </w:rPr>
                  </w:pPr>
                  <w:r>
                    <w:rPr>
                      <w:rFonts w:hint="eastAsia"/>
                      <w:color w:val="auto"/>
                      <w:position w:val="-10"/>
                      <w:szCs w:val="21"/>
                      <w:u w:val="none"/>
                    </w:rPr>
                    <w:t>H</w:t>
                  </w:r>
                  <w:r>
                    <w:rPr>
                      <w:color w:val="auto"/>
                      <w:position w:val="-10"/>
                      <w:szCs w:val="21"/>
                      <w:u w:val="none"/>
                      <w:vertAlign w:val="subscript"/>
                    </w:rPr>
                    <w:t>2</w:t>
                  </w:r>
                  <w:r>
                    <w:rPr>
                      <w:color w:val="auto"/>
                      <w:position w:val="-10"/>
                      <w:szCs w:val="21"/>
                      <w:u w:val="none"/>
                    </w:rPr>
                    <w:t>S</w:t>
                  </w:r>
                </w:p>
              </w:tc>
              <w:tc>
                <w:tcPr>
                  <w:tcW w:w="1713" w:type="dxa"/>
                  <w:vAlign w:val="center"/>
                </w:tcPr>
                <w:p>
                  <w:pPr>
                    <w:jc w:val="center"/>
                    <w:rPr>
                      <w:color w:val="auto"/>
                      <w:position w:val="-10"/>
                      <w:szCs w:val="21"/>
                      <w:u w:val="none"/>
                    </w:rPr>
                  </w:pPr>
                  <w:r>
                    <w:rPr>
                      <w:rFonts w:hint="eastAsia"/>
                      <w:color w:val="auto"/>
                      <w:position w:val="-10"/>
                      <w:szCs w:val="21"/>
                      <w:u w:val="none"/>
                    </w:rPr>
                    <w:t>0</w:t>
                  </w:r>
                  <w:r>
                    <w:rPr>
                      <w:color w:val="auto"/>
                      <w:position w:val="-10"/>
                      <w:szCs w:val="21"/>
                      <w:u w:val="none"/>
                    </w:rPr>
                    <w:t>.06</w:t>
                  </w:r>
                </w:p>
              </w:tc>
              <w:tc>
                <w:tcPr>
                  <w:tcW w:w="1434" w:type="dxa"/>
                  <w:vAlign w:val="center"/>
                </w:tcPr>
                <w:p>
                  <w:pPr>
                    <w:jc w:val="center"/>
                    <w:rPr>
                      <w:color w:val="auto"/>
                      <w:position w:val="-10"/>
                      <w:szCs w:val="21"/>
                      <w:u w:val="none"/>
                    </w:rPr>
                  </w:pPr>
                  <w:r>
                    <w:rPr>
                      <w:bCs/>
                      <w:color w:val="auto"/>
                      <w:szCs w:val="21"/>
                      <w:u w:val="none"/>
                    </w:rPr>
                    <w:t>mg/m</w:t>
                  </w:r>
                  <w:r>
                    <w:rPr>
                      <w:bCs/>
                      <w:color w:val="auto"/>
                      <w:szCs w:val="21"/>
                      <w:u w:val="none"/>
                      <w:vertAlign w:val="superscript"/>
                    </w:rPr>
                    <w:t>3</w:t>
                  </w:r>
                </w:p>
              </w:tc>
              <w:tc>
                <w:tcPr>
                  <w:tcW w:w="2343" w:type="dxa"/>
                  <w:vMerge w:val="restart"/>
                  <w:vAlign w:val="center"/>
                </w:tcPr>
                <w:p>
                  <w:pPr>
                    <w:jc w:val="center"/>
                    <w:rPr>
                      <w:color w:val="auto"/>
                      <w:position w:val="-10"/>
                      <w:szCs w:val="21"/>
                      <w:u w:val="none"/>
                    </w:rPr>
                  </w:pPr>
                  <w:r>
                    <w:rPr>
                      <w:rFonts w:hint="eastAsia"/>
                      <w:color w:val="auto"/>
                      <w:position w:val="-10"/>
                      <w:szCs w:val="21"/>
                      <w:u w:val="none"/>
                    </w:rPr>
                    <w:t>《恶臭污染物排放标准》GB14554-93表1二级新扩改建限值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1" w:type="dxa"/>
                  <w:vMerge w:val="continue"/>
                  <w:vAlign w:val="center"/>
                </w:tcPr>
                <w:p>
                  <w:pPr>
                    <w:jc w:val="center"/>
                    <w:rPr>
                      <w:color w:val="auto"/>
                      <w:position w:val="-10"/>
                      <w:szCs w:val="21"/>
                      <w:u w:val="none"/>
                    </w:rPr>
                  </w:pPr>
                </w:p>
              </w:tc>
              <w:tc>
                <w:tcPr>
                  <w:tcW w:w="1308" w:type="dxa"/>
                  <w:vAlign w:val="center"/>
                </w:tcPr>
                <w:p>
                  <w:pPr>
                    <w:jc w:val="center"/>
                    <w:rPr>
                      <w:color w:val="auto"/>
                      <w:position w:val="-10"/>
                      <w:szCs w:val="21"/>
                      <w:u w:val="none"/>
                    </w:rPr>
                  </w:pPr>
                  <w:r>
                    <w:rPr>
                      <w:rFonts w:hint="eastAsia"/>
                      <w:color w:val="auto"/>
                      <w:position w:val="-10"/>
                      <w:szCs w:val="21"/>
                      <w:u w:val="none"/>
                    </w:rPr>
                    <w:t>N</w:t>
                  </w:r>
                  <w:r>
                    <w:rPr>
                      <w:color w:val="auto"/>
                      <w:position w:val="-10"/>
                      <w:szCs w:val="21"/>
                      <w:u w:val="none"/>
                    </w:rPr>
                    <w:t>H</w:t>
                  </w:r>
                  <w:r>
                    <w:rPr>
                      <w:color w:val="auto"/>
                      <w:position w:val="-10"/>
                      <w:szCs w:val="21"/>
                      <w:u w:val="none"/>
                      <w:vertAlign w:val="subscript"/>
                    </w:rPr>
                    <w:t>3</w:t>
                  </w:r>
                </w:p>
              </w:tc>
              <w:tc>
                <w:tcPr>
                  <w:tcW w:w="1713" w:type="dxa"/>
                  <w:vAlign w:val="center"/>
                </w:tcPr>
                <w:p>
                  <w:pPr>
                    <w:jc w:val="center"/>
                    <w:rPr>
                      <w:color w:val="auto"/>
                      <w:position w:val="-10"/>
                      <w:szCs w:val="21"/>
                      <w:u w:val="none"/>
                    </w:rPr>
                  </w:pPr>
                  <w:r>
                    <w:rPr>
                      <w:rFonts w:hint="eastAsia"/>
                      <w:color w:val="auto"/>
                      <w:position w:val="-10"/>
                      <w:szCs w:val="21"/>
                      <w:u w:val="none"/>
                    </w:rPr>
                    <w:t>1</w:t>
                  </w:r>
                  <w:r>
                    <w:rPr>
                      <w:color w:val="auto"/>
                      <w:position w:val="-10"/>
                      <w:szCs w:val="21"/>
                      <w:u w:val="none"/>
                    </w:rPr>
                    <w:t>.5</w:t>
                  </w:r>
                </w:p>
              </w:tc>
              <w:tc>
                <w:tcPr>
                  <w:tcW w:w="1434" w:type="dxa"/>
                  <w:vAlign w:val="center"/>
                </w:tcPr>
                <w:p>
                  <w:pPr>
                    <w:jc w:val="center"/>
                    <w:rPr>
                      <w:color w:val="auto"/>
                      <w:position w:val="-10"/>
                      <w:szCs w:val="21"/>
                      <w:u w:val="none"/>
                    </w:rPr>
                  </w:pPr>
                  <w:r>
                    <w:rPr>
                      <w:bCs/>
                      <w:color w:val="auto"/>
                      <w:szCs w:val="21"/>
                      <w:u w:val="none"/>
                    </w:rPr>
                    <w:t>mg/m</w:t>
                  </w:r>
                  <w:r>
                    <w:rPr>
                      <w:bCs/>
                      <w:color w:val="auto"/>
                      <w:szCs w:val="21"/>
                      <w:u w:val="none"/>
                      <w:vertAlign w:val="superscript"/>
                    </w:rPr>
                    <w:t>3</w:t>
                  </w:r>
                </w:p>
              </w:tc>
              <w:tc>
                <w:tcPr>
                  <w:tcW w:w="23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1" w:type="dxa"/>
                  <w:vMerge w:val="continue"/>
                  <w:vAlign w:val="center"/>
                </w:tcPr>
                <w:p>
                  <w:pPr>
                    <w:jc w:val="center"/>
                    <w:rPr>
                      <w:color w:val="auto"/>
                      <w:position w:val="-10"/>
                      <w:szCs w:val="21"/>
                      <w:u w:val="none"/>
                    </w:rPr>
                  </w:pPr>
                </w:p>
              </w:tc>
              <w:tc>
                <w:tcPr>
                  <w:tcW w:w="1308" w:type="dxa"/>
                  <w:vAlign w:val="center"/>
                </w:tcPr>
                <w:p>
                  <w:pPr>
                    <w:jc w:val="center"/>
                    <w:rPr>
                      <w:color w:val="auto"/>
                      <w:position w:val="-10"/>
                      <w:szCs w:val="21"/>
                      <w:u w:val="none"/>
                    </w:rPr>
                  </w:pPr>
                  <w:r>
                    <w:rPr>
                      <w:rFonts w:hint="eastAsia"/>
                      <w:color w:val="auto"/>
                      <w:position w:val="-10"/>
                      <w:szCs w:val="21"/>
                      <w:u w:val="none"/>
                    </w:rPr>
                    <w:t>臭气浓度</w:t>
                  </w:r>
                </w:p>
              </w:tc>
              <w:tc>
                <w:tcPr>
                  <w:tcW w:w="1713" w:type="dxa"/>
                  <w:vAlign w:val="center"/>
                </w:tcPr>
                <w:p>
                  <w:pPr>
                    <w:jc w:val="center"/>
                    <w:rPr>
                      <w:color w:val="auto"/>
                      <w:position w:val="-10"/>
                      <w:szCs w:val="21"/>
                      <w:u w:val="none"/>
                    </w:rPr>
                  </w:pPr>
                  <w:r>
                    <w:rPr>
                      <w:rFonts w:hint="eastAsia"/>
                      <w:color w:val="auto"/>
                      <w:position w:val="-10"/>
                      <w:szCs w:val="21"/>
                      <w:u w:val="none"/>
                    </w:rPr>
                    <w:t>2</w:t>
                  </w:r>
                  <w:r>
                    <w:rPr>
                      <w:color w:val="auto"/>
                      <w:position w:val="-10"/>
                      <w:szCs w:val="21"/>
                      <w:u w:val="none"/>
                    </w:rPr>
                    <w:t>0</w:t>
                  </w:r>
                </w:p>
              </w:tc>
              <w:tc>
                <w:tcPr>
                  <w:tcW w:w="1434" w:type="dxa"/>
                  <w:vAlign w:val="center"/>
                </w:tcPr>
                <w:p>
                  <w:pPr>
                    <w:jc w:val="center"/>
                    <w:rPr>
                      <w:color w:val="auto"/>
                      <w:position w:val="-10"/>
                      <w:szCs w:val="21"/>
                      <w:u w:val="none"/>
                    </w:rPr>
                  </w:pPr>
                  <w:r>
                    <w:rPr>
                      <w:rFonts w:hint="eastAsia"/>
                      <w:color w:val="auto"/>
                      <w:position w:val="-10"/>
                      <w:szCs w:val="21"/>
                      <w:u w:val="none"/>
                    </w:rPr>
                    <w:t>无量纲</w:t>
                  </w:r>
                </w:p>
              </w:tc>
              <w:tc>
                <w:tcPr>
                  <w:tcW w:w="2343" w:type="dxa"/>
                  <w:vMerge w:val="continue"/>
                  <w:vAlign w:val="center"/>
                </w:tcPr>
                <w:p>
                  <w:pPr>
                    <w:jc w:val="center"/>
                    <w:rPr>
                      <w:color w:val="auto"/>
                      <w:position w:val="-1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1" w:type="dxa"/>
                  <w:vMerge w:val="restart"/>
                  <w:vAlign w:val="center"/>
                </w:tcPr>
                <w:p>
                  <w:pPr>
                    <w:jc w:val="center"/>
                    <w:rPr>
                      <w:color w:val="auto"/>
                      <w:position w:val="-10"/>
                      <w:szCs w:val="21"/>
                      <w:u w:val="none"/>
                    </w:rPr>
                  </w:pPr>
                  <w:r>
                    <w:rPr>
                      <w:rFonts w:hint="eastAsia"/>
                      <w:color w:val="auto"/>
                      <w:position w:val="-10"/>
                      <w:szCs w:val="21"/>
                      <w:u w:val="none"/>
                    </w:rPr>
                    <w:t>厂区内厂房外</w:t>
                  </w:r>
                </w:p>
              </w:tc>
              <w:tc>
                <w:tcPr>
                  <w:tcW w:w="1308" w:type="dxa"/>
                  <w:vMerge w:val="restart"/>
                  <w:vAlign w:val="center"/>
                </w:tcPr>
                <w:p>
                  <w:pPr>
                    <w:jc w:val="center"/>
                    <w:rPr>
                      <w:color w:val="auto"/>
                      <w:position w:val="-10"/>
                      <w:szCs w:val="21"/>
                      <w:u w:val="none"/>
                    </w:rPr>
                  </w:pPr>
                  <w:r>
                    <w:rPr>
                      <w:rFonts w:hint="eastAsia"/>
                      <w:color w:val="auto"/>
                      <w:position w:val="-10"/>
                      <w:szCs w:val="21"/>
                      <w:u w:val="none"/>
                    </w:rPr>
                    <w:t>非甲烷总烃</w:t>
                  </w:r>
                </w:p>
              </w:tc>
              <w:tc>
                <w:tcPr>
                  <w:tcW w:w="1713" w:type="dxa"/>
                  <w:vAlign w:val="center"/>
                </w:tcPr>
                <w:p>
                  <w:pPr>
                    <w:jc w:val="center"/>
                    <w:rPr>
                      <w:color w:val="auto"/>
                      <w:position w:val="-10"/>
                      <w:szCs w:val="21"/>
                      <w:u w:val="none"/>
                    </w:rPr>
                  </w:pPr>
                  <w:r>
                    <w:rPr>
                      <w:rFonts w:hint="eastAsia"/>
                      <w:color w:val="auto"/>
                      <w:position w:val="-10"/>
                      <w:szCs w:val="21"/>
                      <w:u w:val="none"/>
                    </w:rPr>
                    <w:t>10（1h平均）</w:t>
                  </w:r>
                </w:p>
              </w:tc>
              <w:tc>
                <w:tcPr>
                  <w:tcW w:w="1434" w:type="dxa"/>
                  <w:vAlign w:val="center"/>
                </w:tcPr>
                <w:p>
                  <w:pPr>
                    <w:jc w:val="center"/>
                    <w:rPr>
                      <w:color w:val="auto"/>
                      <w:position w:val="-10"/>
                      <w:szCs w:val="21"/>
                      <w:u w:val="none"/>
                    </w:rPr>
                  </w:pPr>
                  <w:r>
                    <w:rPr>
                      <w:bCs/>
                      <w:color w:val="auto"/>
                      <w:szCs w:val="21"/>
                      <w:u w:val="none"/>
                    </w:rPr>
                    <w:t>mg/m</w:t>
                  </w:r>
                  <w:r>
                    <w:rPr>
                      <w:bCs/>
                      <w:color w:val="auto"/>
                      <w:szCs w:val="21"/>
                      <w:u w:val="none"/>
                      <w:vertAlign w:val="superscript"/>
                    </w:rPr>
                    <w:t>3</w:t>
                  </w:r>
                </w:p>
              </w:tc>
              <w:tc>
                <w:tcPr>
                  <w:tcW w:w="2343" w:type="dxa"/>
                  <w:vMerge w:val="restart"/>
                  <w:vAlign w:val="center"/>
                </w:tcPr>
                <w:p>
                  <w:pPr>
                    <w:jc w:val="center"/>
                    <w:rPr>
                      <w:color w:val="auto"/>
                      <w:position w:val="-10"/>
                      <w:szCs w:val="21"/>
                      <w:u w:val="none"/>
                    </w:rPr>
                  </w:pPr>
                  <w:r>
                    <w:rPr>
                      <w:color w:val="auto"/>
                      <w:position w:val="-10"/>
                      <w:szCs w:val="21"/>
                      <w:u w:val="none"/>
                    </w:rPr>
                    <w:t>《挥发性有机物无组织排放控制标准》（GB 37822-2019）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1" w:type="dxa"/>
                  <w:vMerge w:val="continue"/>
                  <w:vAlign w:val="center"/>
                </w:tcPr>
                <w:p>
                  <w:pPr>
                    <w:jc w:val="center"/>
                    <w:rPr>
                      <w:color w:val="auto"/>
                      <w:position w:val="-10"/>
                      <w:szCs w:val="21"/>
                      <w:u w:val="none"/>
                    </w:rPr>
                  </w:pPr>
                </w:p>
              </w:tc>
              <w:tc>
                <w:tcPr>
                  <w:tcW w:w="1308" w:type="dxa"/>
                  <w:vMerge w:val="continue"/>
                  <w:vAlign w:val="center"/>
                </w:tcPr>
                <w:p>
                  <w:pPr>
                    <w:jc w:val="center"/>
                    <w:rPr>
                      <w:color w:val="auto"/>
                      <w:position w:val="-10"/>
                      <w:szCs w:val="21"/>
                      <w:u w:val="none"/>
                    </w:rPr>
                  </w:pPr>
                </w:p>
              </w:tc>
              <w:tc>
                <w:tcPr>
                  <w:tcW w:w="1713" w:type="dxa"/>
                  <w:vAlign w:val="center"/>
                </w:tcPr>
                <w:p>
                  <w:pPr>
                    <w:jc w:val="center"/>
                    <w:rPr>
                      <w:color w:val="auto"/>
                      <w:position w:val="-10"/>
                      <w:szCs w:val="21"/>
                      <w:u w:val="none"/>
                    </w:rPr>
                  </w:pPr>
                  <w:r>
                    <w:rPr>
                      <w:rFonts w:hint="eastAsia"/>
                      <w:color w:val="auto"/>
                      <w:position w:val="-10"/>
                      <w:szCs w:val="21"/>
                      <w:u w:val="none"/>
                    </w:rPr>
                    <w:t>30（任意一次）</w:t>
                  </w:r>
                </w:p>
              </w:tc>
              <w:tc>
                <w:tcPr>
                  <w:tcW w:w="1434" w:type="dxa"/>
                  <w:vAlign w:val="center"/>
                </w:tcPr>
                <w:p>
                  <w:pPr>
                    <w:jc w:val="center"/>
                    <w:rPr>
                      <w:color w:val="auto"/>
                      <w:position w:val="-10"/>
                      <w:szCs w:val="21"/>
                      <w:u w:val="none"/>
                    </w:rPr>
                  </w:pPr>
                  <w:r>
                    <w:rPr>
                      <w:bCs/>
                      <w:color w:val="auto"/>
                      <w:szCs w:val="21"/>
                      <w:u w:val="none"/>
                    </w:rPr>
                    <w:t>mg/m</w:t>
                  </w:r>
                  <w:r>
                    <w:rPr>
                      <w:bCs/>
                      <w:color w:val="auto"/>
                      <w:szCs w:val="21"/>
                      <w:u w:val="none"/>
                      <w:vertAlign w:val="superscript"/>
                    </w:rPr>
                    <w:t>3</w:t>
                  </w:r>
                </w:p>
              </w:tc>
              <w:tc>
                <w:tcPr>
                  <w:tcW w:w="2343" w:type="dxa"/>
                  <w:vMerge w:val="continue"/>
                  <w:vAlign w:val="center"/>
                </w:tcPr>
                <w:p>
                  <w:pPr>
                    <w:jc w:val="center"/>
                    <w:rPr>
                      <w:color w:val="auto"/>
                      <w:position w:val="-10"/>
                      <w:szCs w:val="21"/>
                      <w:u w:val="none"/>
                    </w:rPr>
                  </w:pPr>
                </w:p>
              </w:tc>
            </w:tr>
          </w:tbl>
          <w:p>
            <w:pPr>
              <w:adjustRightInd w:val="0"/>
              <w:snapToGrid w:val="0"/>
              <w:spacing w:line="360" w:lineRule="auto"/>
              <w:ind w:firstLine="472" w:firstLineChars="196"/>
              <w:rPr>
                <w:b/>
                <w:color w:val="auto"/>
                <w:sz w:val="24"/>
                <w:u w:val="none"/>
              </w:rPr>
            </w:pPr>
            <w:r>
              <w:rPr>
                <w:rFonts w:hint="eastAsia"/>
                <w:b/>
                <w:color w:val="auto"/>
                <w:sz w:val="24"/>
                <w:u w:val="none"/>
              </w:rPr>
              <w:t xml:space="preserve">3.7.3 </w:t>
            </w:r>
            <w:r>
              <w:rPr>
                <w:b/>
                <w:color w:val="auto"/>
                <w:sz w:val="24"/>
                <w:u w:val="none"/>
              </w:rPr>
              <w:t>噪声排放标准</w:t>
            </w:r>
          </w:p>
          <w:p>
            <w:pPr>
              <w:spacing w:line="360" w:lineRule="auto"/>
              <w:ind w:firstLine="480" w:firstLineChars="200"/>
              <w:rPr>
                <w:color w:val="auto"/>
                <w:sz w:val="24"/>
                <w:u w:val="none"/>
              </w:rPr>
            </w:pPr>
            <w:r>
              <w:rPr>
                <w:rFonts w:hint="eastAsia"/>
                <w:color w:val="auto"/>
                <w:sz w:val="24"/>
                <w:u w:val="none"/>
              </w:rPr>
              <w:t>施工期噪声执行《</w:t>
            </w:r>
            <w:r>
              <w:rPr>
                <w:color w:val="auto"/>
                <w:sz w:val="24"/>
                <w:u w:val="none"/>
              </w:rPr>
              <w:t>建筑施工噪声排放标准</w:t>
            </w:r>
            <w:r>
              <w:rPr>
                <w:rFonts w:hint="eastAsia"/>
                <w:color w:val="auto"/>
                <w:sz w:val="24"/>
                <w:u w:val="none"/>
              </w:rPr>
              <w:t>》（GB12523-2025）；</w:t>
            </w:r>
            <w:r>
              <w:rPr>
                <w:color w:val="auto"/>
                <w:sz w:val="24"/>
                <w:u w:val="none"/>
              </w:rPr>
              <w:t>营运期</w:t>
            </w:r>
            <w:r>
              <w:rPr>
                <w:rFonts w:hint="eastAsia"/>
                <w:color w:val="auto"/>
                <w:sz w:val="24"/>
                <w:u w:val="none"/>
              </w:rPr>
              <w:t>南、西、北</w:t>
            </w:r>
            <w:r>
              <w:rPr>
                <w:color w:val="auto"/>
                <w:sz w:val="24"/>
                <w:u w:val="none"/>
              </w:rPr>
              <w:t>厂界噪声执行《工业企业厂界环境噪声排放标准》（GB12348-2008）</w:t>
            </w:r>
            <w:r>
              <w:rPr>
                <w:rFonts w:hint="eastAsia"/>
                <w:color w:val="auto"/>
                <w:sz w:val="24"/>
                <w:u w:val="none"/>
              </w:rPr>
              <w:t>中的3</w:t>
            </w:r>
            <w:r>
              <w:rPr>
                <w:color w:val="auto"/>
                <w:sz w:val="24"/>
                <w:u w:val="none"/>
              </w:rPr>
              <w:t>类标准</w:t>
            </w:r>
            <w:r>
              <w:rPr>
                <w:rFonts w:hint="eastAsia"/>
                <w:color w:val="auto"/>
                <w:sz w:val="24"/>
                <w:u w:val="none"/>
              </w:rPr>
              <w:t>，东侧与芙蓉北路相邻，执行4类标准，具体见下表</w:t>
            </w:r>
            <w:r>
              <w:rPr>
                <w:color w:val="auto"/>
                <w:sz w:val="24"/>
                <w:u w:val="none"/>
              </w:rPr>
              <w:t>。</w:t>
            </w:r>
          </w:p>
          <w:p>
            <w:pPr>
              <w:jc w:val="center"/>
              <w:rPr>
                <w:b/>
                <w:color w:val="auto"/>
                <w:sz w:val="24"/>
                <w:u w:val="none"/>
              </w:rPr>
            </w:pPr>
            <w:r>
              <w:rPr>
                <w:b/>
                <w:color w:val="auto"/>
                <w:sz w:val="24"/>
                <w:u w:val="none"/>
              </w:rPr>
              <w:t>表</w:t>
            </w:r>
            <w:r>
              <w:rPr>
                <w:rFonts w:hint="eastAsia"/>
                <w:b/>
                <w:color w:val="auto"/>
                <w:sz w:val="24"/>
                <w:u w:val="none"/>
              </w:rPr>
              <w:t>3.7-4</w:t>
            </w:r>
            <w:r>
              <w:rPr>
                <w:b/>
                <w:color w:val="auto"/>
                <w:sz w:val="24"/>
                <w:u w:val="none"/>
              </w:rPr>
              <w:t xml:space="preserve">  厂界噪声排放标准限值</w:t>
            </w:r>
            <w:r>
              <w:rPr>
                <w:rFonts w:hint="eastAsia"/>
                <w:b/>
                <w:color w:val="auto"/>
                <w:sz w:val="24"/>
                <w:u w:val="none"/>
              </w:rPr>
              <w:t xml:space="preserve">   单位：</w:t>
            </w:r>
            <w:r>
              <w:rPr>
                <w:b/>
                <w:color w:val="auto"/>
                <w:sz w:val="24"/>
                <w:u w:val="none"/>
              </w:rPr>
              <w:t>dB（A）</w:t>
            </w:r>
          </w:p>
          <w:tbl>
            <w:tblPr>
              <w:tblStyle w:val="27"/>
              <w:tblW w:w="79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798"/>
              <w:gridCol w:w="1197"/>
              <w:gridCol w:w="1951"/>
              <w:gridCol w:w="20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2798"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b/>
                      <w:bCs/>
                      <w:color w:val="auto"/>
                      <w:spacing w:val="-6"/>
                      <w:szCs w:val="21"/>
                      <w:u w:val="none"/>
                    </w:rPr>
                  </w:pPr>
                  <w:r>
                    <w:rPr>
                      <w:rFonts w:hint="eastAsia"/>
                      <w:b/>
                      <w:bCs/>
                      <w:color w:val="auto"/>
                      <w:szCs w:val="21"/>
                      <w:u w:val="none"/>
                    </w:rPr>
                    <w:t>标准来源</w:t>
                  </w:r>
                </w:p>
              </w:tc>
              <w:tc>
                <w:tcPr>
                  <w:tcW w:w="1197"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b/>
                      <w:bCs/>
                      <w:color w:val="auto"/>
                      <w:szCs w:val="21"/>
                      <w:u w:val="none"/>
                    </w:rPr>
                  </w:pPr>
                  <w:r>
                    <w:rPr>
                      <w:rFonts w:hint="eastAsia"/>
                      <w:b/>
                      <w:bCs/>
                      <w:color w:val="auto"/>
                      <w:szCs w:val="21"/>
                      <w:u w:val="none"/>
                    </w:rPr>
                    <w:t>功能区</w:t>
                  </w:r>
                </w:p>
              </w:tc>
              <w:tc>
                <w:tcPr>
                  <w:tcW w:w="1951"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b/>
                      <w:bCs/>
                      <w:color w:val="auto"/>
                      <w:spacing w:val="-6"/>
                      <w:szCs w:val="21"/>
                      <w:u w:val="none"/>
                    </w:rPr>
                  </w:pPr>
                  <w:r>
                    <w:rPr>
                      <w:b/>
                      <w:bCs/>
                      <w:color w:val="auto"/>
                      <w:szCs w:val="21"/>
                      <w:u w:val="none"/>
                    </w:rPr>
                    <w:t>昼间</w:t>
                  </w:r>
                </w:p>
              </w:tc>
              <w:tc>
                <w:tcPr>
                  <w:tcW w:w="2027"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b/>
                      <w:bCs/>
                      <w:color w:val="auto"/>
                      <w:spacing w:val="-6"/>
                      <w:szCs w:val="21"/>
                      <w:u w:val="none"/>
                    </w:rPr>
                  </w:pPr>
                  <w:r>
                    <w:rPr>
                      <w:b/>
                      <w:bCs/>
                      <w:color w:val="auto"/>
                      <w:szCs w:val="21"/>
                      <w:u w:val="none"/>
                    </w:rPr>
                    <w:t>夜间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2798"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color w:val="auto"/>
                      <w:szCs w:val="21"/>
                      <w:u w:val="none"/>
                    </w:rPr>
                  </w:pPr>
                  <w:r>
                    <w:rPr>
                      <w:color w:val="auto"/>
                      <w:szCs w:val="21"/>
                      <w:u w:val="none"/>
                    </w:rPr>
                    <w:t>《建筑施工噪声排放标准》（GB12523-2025）</w:t>
                  </w:r>
                </w:p>
              </w:tc>
              <w:tc>
                <w:tcPr>
                  <w:tcW w:w="1197"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color w:val="auto"/>
                      <w:szCs w:val="21"/>
                      <w:u w:val="none"/>
                    </w:rPr>
                  </w:pPr>
                  <w:r>
                    <w:rPr>
                      <w:rFonts w:hint="eastAsia"/>
                      <w:color w:val="auto"/>
                      <w:szCs w:val="21"/>
                      <w:u w:val="none"/>
                    </w:rPr>
                    <w:t>/</w:t>
                  </w:r>
                </w:p>
              </w:tc>
              <w:tc>
                <w:tcPr>
                  <w:tcW w:w="1951"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color w:val="auto"/>
                      <w:szCs w:val="21"/>
                      <w:u w:val="none"/>
                    </w:rPr>
                  </w:pPr>
                  <w:r>
                    <w:rPr>
                      <w:color w:val="auto"/>
                      <w:szCs w:val="21"/>
                      <w:u w:val="none"/>
                    </w:rPr>
                    <w:t>70</w:t>
                  </w:r>
                </w:p>
              </w:tc>
              <w:tc>
                <w:tcPr>
                  <w:tcW w:w="2027"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b/>
                      <w:bCs/>
                      <w:color w:val="auto"/>
                      <w:szCs w:val="21"/>
                      <w:u w:val="none"/>
                    </w:rPr>
                  </w:pPr>
                  <w:r>
                    <w:rPr>
                      <w:color w:val="auto"/>
                      <w:szCs w:val="21"/>
                      <w:u w:val="none"/>
                    </w:rPr>
                    <w:t>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2798" w:type="dxa"/>
                  <w:vMerge w:val="restart"/>
                  <w:tcBorders>
                    <w:top w:val="single" w:color="000000" w:sz="6" w:space="0"/>
                    <w:left w:val="single" w:color="000000" w:sz="6" w:space="0"/>
                    <w:right w:val="single" w:color="000000" w:sz="6" w:space="0"/>
                  </w:tcBorders>
                  <w:vAlign w:val="center"/>
                </w:tcPr>
                <w:p>
                  <w:pPr>
                    <w:tabs>
                      <w:tab w:val="left" w:pos="360"/>
                    </w:tabs>
                    <w:adjustRightInd w:val="0"/>
                    <w:snapToGrid w:val="0"/>
                    <w:jc w:val="center"/>
                    <w:rPr>
                      <w:color w:val="auto"/>
                      <w:spacing w:val="-6"/>
                      <w:szCs w:val="21"/>
                      <w:u w:val="none"/>
                    </w:rPr>
                  </w:pPr>
                  <w:r>
                    <w:rPr>
                      <w:color w:val="auto"/>
                      <w:spacing w:val="-6"/>
                      <w:szCs w:val="21"/>
                      <w:u w:val="none"/>
                    </w:rPr>
                    <w:t>《工业企业厂界环境噪声排放标准》（GB12348-2008）</w:t>
                  </w:r>
                </w:p>
              </w:tc>
              <w:tc>
                <w:tcPr>
                  <w:tcW w:w="1197"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color w:val="auto"/>
                      <w:szCs w:val="21"/>
                      <w:u w:val="none"/>
                    </w:rPr>
                  </w:pPr>
                  <w:r>
                    <w:rPr>
                      <w:rFonts w:hint="eastAsia"/>
                      <w:color w:val="auto"/>
                      <w:szCs w:val="21"/>
                      <w:u w:val="none"/>
                    </w:rPr>
                    <w:t>3类</w:t>
                  </w:r>
                </w:p>
              </w:tc>
              <w:tc>
                <w:tcPr>
                  <w:tcW w:w="1951"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color w:val="auto"/>
                      <w:spacing w:val="-6"/>
                      <w:szCs w:val="21"/>
                      <w:u w:val="none"/>
                    </w:rPr>
                  </w:pPr>
                  <w:r>
                    <w:rPr>
                      <w:color w:val="auto"/>
                      <w:szCs w:val="21"/>
                      <w:u w:val="none"/>
                    </w:rPr>
                    <w:t>6</w:t>
                  </w:r>
                  <w:r>
                    <w:rPr>
                      <w:rFonts w:hint="eastAsia"/>
                      <w:color w:val="auto"/>
                      <w:szCs w:val="21"/>
                      <w:u w:val="none"/>
                    </w:rPr>
                    <w:t>5</w:t>
                  </w:r>
                </w:p>
              </w:tc>
              <w:tc>
                <w:tcPr>
                  <w:tcW w:w="2027"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color w:val="auto"/>
                      <w:spacing w:val="-6"/>
                      <w:szCs w:val="21"/>
                      <w:u w:val="none"/>
                    </w:rPr>
                  </w:pPr>
                  <w:r>
                    <w:rPr>
                      <w:rFonts w:hint="eastAsia"/>
                      <w:color w:val="auto"/>
                      <w:szCs w:val="21"/>
                      <w:u w:val="none"/>
                    </w:rPr>
                    <w:t>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2798" w:type="dxa"/>
                  <w:vMerge w:val="continue"/>
                  <w:tcBorders>
                    <w:left w:val="single" w:color="000000" w:sz="6" w:space="0"/>
                    <w:bottom w:val="single" w:color="000000" w:sz="6" w:space="0"/>
                    <w:right w:val="single" w:color="000000" w:sz="6" w:space="0"/>
                  </w:tcBorders>
                  <w:vAlign w:val="center"/>
                </w:tcPr>
                <w:p>
                  <w:pPr>
                    <w:tabs>
                      <w:tab w:val="left" w:pos="360"/>
                    </w:tabs>
                    <w:adjustRightInd w:val="0"/>
                    <w:snapToGrid w:val="0"/>
                    <w:jc w:val="center"/>
                    <w:rPr>
                      <w:color w:val="auto"/>
                      <w:spacing w:val="-6"/>
                      <w:szCs w:val="21"/>
                      <w:u w:val="none"/>
                    </w:rPr>
                  </w:pPr>
                </w:p>
              </w:tc>
              <w:tc>
                <w:tcPr>
                  <w:tcW w:w="1197"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color w:val="auto"/>
                      <w:szCs w:val="21"/>
                      <w:u w:val="none"/>
                    </w:rPr>
                  </w:pPr>
                  <w:r>
                    <w:rPr>
                      <w:rFonts w:hint="eastAsia"/>
                      <w:color w:val="auto"/>
                      <w:szCs w:val="21"/>
                      <w:u w:val="none"/>
                    </w:rPr>
                    <w:t>4类</w:t>
                  </w:r>
                </w:p>
              </w:tc>
              <w:tc>
                <w:tcPr>
                  <w:tcW w:w="1951"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color w:val="auto"/>
                      <w:szCs w:val="21"/>
                      <w:u w:val="none"/>
                    </w:rPr>
                  </w:pPr>
                  <w:r>
                    <w:rPr>
                      <w:rFonts w:hint="eastAsia"/>
                      <w:color w:val="auto"/>
                      <w:szCs w:val="21"/>
                      <w:u w:val="none"/>
                    </w:rPr>
                    <w:t>70</w:t>
                  </w:r>
                </w:p>
              </w:tc>
              <w:tc>
                <w:tcPr>
                  <w:tcW w:w="2027" w:type="dxa"/>
                  <w:tcBorders>
                    <w:top w:val="single" w:color="000000" w:sz="6" w:space="0"/>
                    <w:left w:val="single" w:color="000000" w:sz="6" w:space="0"/>
                    <w:bottom w:val="single" w:color="000000" w:sz="6" w:space="0"/>
                    <w:right w:val="single" w:color="000000" w:sz="6" w:space="0"/>
                  </w:tcBorders>
                  <w:vAlign w:val="center"/>
                </w:tcPr>
                <w:p>
                  <w:pPr>
                    <w:tabs>
                      <w:tab w:val="left" w:pos="360"/>
                    </w:tabs>
                    <w:adjustRightInd w:val="0"/>
                    <w:snapToGrid w:val="0"/>
                    <w:jc w:val="center"/>
                    <w:rPr>
                      <w:color w:val="auto"/>
                      <w:szCs w:val="21"/>
                      <w:u w:val="none"/>
                    </w:rPr>
                  </w:pPr>
                  <w:r>
                    <w:rPr>
                      <w:rFonts w:hint="eastAsia"/>
                      <w:color w:val="auto"/>
                      <w:szCs w:val="21"/>
                      <w:u w:val="none"/>
                    </w:rPr>
                    <w:t>55</w:t>
                  </w:r>
                </w:p>
              </w:tc>
            </w:tr>
          </w:tbl>
          <w:p>
            <w:pPr>
              <w:pStyle w:val="11"/>
              <w:spacing w:before="0" w:after="0" w:line="360" w:lineRule="auto"/>
              <w:ind w:right="0" w:firstLine="472" w:firstLineChars="196"/>
              <w:jc w:val="left"/>
              <w:rPr>
                <w:b/>
                <w:color w:val="auto"/>
                <w:sz w:val="24"/>
                <w:szCs w:val="24"/>
                <w:u w:val="none"/>
                <w:lang w:val="en-US" w:eastAsia="zh-CN"/>
              </w:rPr>
            </w:pPr>
            <w:r>
              <w:rPr>
                <w:rFonts w:hint="eastAsia"/>
                <w:b/>
                <w:color w:val="auto"/>
                <w:sz w:val="24"/>
                <w:szCs w:val="24"/>
                <w:u w:val="none"/>
                <w:lang w:val="en-US" w:eastAsia="zh-CN"/>
              </w:rPr>
              <w:t xml:space="preserve">3.7.4 </w:t>
            </w:r>
            <w:r>
              <w:rPr>
                <w:b/>
                <w:color w:val="auto"/>
                <w:sz w:val="24"/>
                <w:szCs w:val="24"/>
                <w:u w:val="none"/>
                <w:lang w:val="en-US" w:eastAsia="zh-CN"/>
              </w:rPr>
              <w:t>固体废物储存、处置标准</w:t>
            </w:r>
          </w:p>
          <w:p>
            <w:pPr>
              <w:adjustRightInd w:val="0"/>
              <w:snapToGrid w:val="0"/>
              <w:spacing w:line="360" w:lineRule="auto"/>
              <w:ind w:firstLine="480" w:firstLineChars="200"/>
              <w:rPr>
                <w:color w:val="auto"/>
                <w:sz w:val="24"/>
                <w:u w:val="none"/>
              </w:rPr>
            </w:pPr>
            <w:r>
              <w:rPr>
                <w:color w:val="auto"/>
                <w:sz w:val="24"/>
                <w:u w:val="none"/>
              </w:rPr>
              <w:t>一般固废执行《一般工业固体废物贮存和填埋污染控制标准》（GB18599-2020）</w:t>
            </w:r>
            <w:r>
              <w:rPr>
                <w:rFonts w:hint="eastAsia"/>
                <w:color w:val="auto"/>
                <w:sz w:val="24"/>
                <w:u w:val="none"/>
              </w:rPr>
              <w:t>；</w:t>
            </w:r>
            <w:r>
              <w:rPr>
                <w:color w:val="auto"/>
                <w:sz w:val="24"/>
                <w:u w:val="none"/>
              </w:rPr>
              <w:t>危险</w:t>
            </w:r>
            <w:r>
              <w:rPr>
                <w:rFonts w:hint="eastAsia"/>
                <w:color w:val="auto"/>
                <w:sz w:val="24"/>
                <w:u w:val="none"/>
              </w:rPr>
              <w:t>废物</w:t>
            </w:r>
            <w:r>
              <w:rPr>
                <w:color w:val="auto"/>
                <w:sz w:val="24"/>
                <w:u w:val="none"/>
              </w:rPr>
              <w:t>执行《危险废物贮存污染控制标准》（GB18597-2023）。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620" w:type="dxa"/>
            <w:vAlign w:val="center"/>
          </w:tcPr>
          <w:p>
            <w:pPr>
              <w:adjustRightInd w:val="0"/>
              <w:snapToGrid w:val="0"/>
              <w:jc w:val="center"/>
              <w:rPr>
                <w:color w:val="auto"/>
                <w:kern w:val="0"/>
                <w:sz w:val="24"/>
                <w:u w:val="none"/>
              </w:rPr>
            </w:pPr>
            <w:r>
              <w:rPr>
                <w:color w:val="auto"/>
                <w:kern w:val="0"/>
                <w:sz w:val="24"/>
                <w:u w:val="none"/>
              </w:rPr>
              <w:t>总量</w:t>
            </w:r>
          </w:p>
          <w:p>
            <w:pPr>
              <w:adjustRightInd w:val="0"/>
              <w:snapToGrid w:val="0"/>
              <w:jc w:val="center"/>
              <w:rPr>
                <w:color w:val="auto"/>
                <w:kern w:val="0"/>
                <w:sz w:val="24"/>
                <w:u w:val="none"/>
              </w:rPr>
            </w:pPr>
            <w:r>
              <w:rPr>
                <w:color w:val="auto"/>
                <w:kern w:val="0"/>
                <w:sz w:val="24"/>
                <w:u w:val="none"/>
              </w:rPr>
              <w:t>控制</w:t>
            </w:r>
          </w:p>
          <w:p>
            <w:pPr>
              <w:adjustRightInd w:val="0"/>
              <w:snapToGrid w:val="0"/>
              <w:jc w:val="center"/>
              <w:rPr>
                <w:color w:val="auto"/>
                <w:kern w:val="0"/>
                <w:sz w:val="24"/>
                <w:u w:val="none"/>
              </w:rPr>
            </w:pPr>
            <w:r>
              <w:rPr>
                <w:color w:val="auto"/>
                <w:kern w:val="0"/>
                <w:sz w:val="24"/>
                <w:u w:val="none"/>
              </w:rPr>
              <w:t>指标</w:t>
            </w:r>
          </w:p>
        </w:tc>
        <w:tc>
          <w:tcPr>
            <w:tcW w:w="8205" w:type="dxa"/>
            <w:vAlign w:val="center"/>
          </w:tcPr>
          <w:p>
            <w:pPr>
              <w:adjustRightInd w:val="0"/>
              <w:snapToGrid w:val="0"/>
              <w:spacing w:line="360" w:lineRule="auto"/>
              <w:ind w:firstLine="480" w:firstLineChars="200"/>
              <w:rPr>
                <w:rFonts w:hint="default" w:eastAsia="宋体"/>
                <w:color w:val="auto"/>
                <w:sz w:val="24"/>
                <w:u w:val="none"/>
                <w:lang w:val="en-US" w:eastAsia="zh-CN"/>
              </w:rPr>
            </w:pPr>
            <w:r>
              <w:rPr>
                <w:color w:val="auto"/>
                <w:sz w:val="24"/>
                <w:u w:val="none"/>
              </w:rPr>
              <w:t>根据</w:t>
            </w:r>
            <w:r>
              <w:rPr>
                <w:rFonts w:hint="eastAsia"/>
                <w:color w:val="auto"/>
                <w:sz w:val="24"/>
                <w:u w:val="none"/>
              </w:rPr>
              <w:t>“十四五”期间</w:t>
            </w:r>
            <w:r>
              <w:rPr>
                <w:color w:val="auto"/>
                <w:sz w:val="24"/>
                <w:u w:val="none"/>
              </w:rPr>
              <w:t>总量控制的要求，</w:t>
            </w:r>
            <w:r>
              <w:rPr>
                <w:rFonts w:hint="eastAsia"/>
                <w:color w:val="auto"/>
                <w:sz w:val="24"/>
                <w:u w:val="none"/>
              </w:rPr>
              <w:t>本项目涉及的</w:t>
            </w:r>
            <w:r>
              <w:rPr>
                <w:color w:val="auto"/>
                <w:sz w:val="24"/>
                <w:u w:val="none"/>
              </w:rPr>
              <w:t>总量控制的指标为COD、NH</w:t>
            </w:r>
            <w:r>
              <w:rPr>
                <w:color w:val="auto"/>
                <w:sz w:val="24"/>
                <w:u w:val="none"/>
                <w:vertAlign w:val="subscript"/>
              </w:rPr>
              <w:t>3</w:t>
            </w:r>
            <w:r>
              <w:rPr>
                <w:color w:val="auto"/>
                <w:sz w:val="24"/>
                <w:u w:val="none"/>
              </w:rPr>
              <w:t>-N、</w:t>
            </w:r>
            <w:r>
              <w:rPr>
                <w:rFonts w:hint="eastAsia"/>
                <w:color w:val="auto"/>
                <w:sz w:val="24"/>
                <w:u w:val="none"/>
                <w:lang w:val="en-US" w:eastAsia="zh-CN"/>
              </w:rPr>
              <w:t>总磷、</w:t>
            </w:r>
            <w:r>
              <w:rPr>
                <w:color w:val="auto"/>
                <w:sz w:val="24"/>
                <w:u w:val="none"/>
              </w:rPr>
              <w:t>SO</w:t>
            </w:r>
            <w:r>
              <w:rPr>
                <w:color w:val="auto"/>
                <w:sz w:val="24"/>
                <w:u w:val="none"/>
                <w:vertAlign w:val="subscript"/>
              </w:rPr>
              <w:t>2</w:t>
            </w:r>
            <w:r>
              <w:rPr>
                <w:color w:val="auto"/>
                <w:sz w:val="24"/>
                <w:u w:val="none"/>
              </w:rPr>
              <w:t>、NOx。</w:t>
            </w:r>
            <w:r>
              <w:rPr>
                <w:rFonts w:hint="eastAsia"/>
                <w:color w:val="auto"/>
                <w:sz w:val="24"/>
                <w:u w:val="none"/>
                <w:lang w:val="en-US" w:eastAsia="zh-CN"/>
              </w:rPr>
              <w:t>本项目排放量及建议总量指标量如下：</w:t>
            </w:r>
          </w:p>
          <w:p>
            <w:pPr>
              <w:jc w:val="center"/>
              <w:rPr>
                <w:rFonts w:hint="default" w:ascii="Times New Roman" w:hAnsi="Times New Roman" w:eastAsia="宋体" w:cs="Times New Roman"/>
                <w:b/>
                <w:color w:val="auto"/>
                <w:spacing w:val="4"/>
                <w:sz w:val="24"/>
                <w:szCs w:val="24"/>
                <w:u w:val="none"/>
                <w:lang w:val="en-US" w:eastAsia="zh-CN"/>
              </w:rPr>
            </w:pPr>
            <w:r>
              <w:rPr>
                <w:rFonts w:hint="default" w:ascii="Times New Roman" w:hAnsi="Times New Roman" w:eastAsia="宋体" w:cs="Times New Roman"/>
                <w:b/>
                <w:color w:val="auto"/>
                <w:spacing w:val="4"/>
                <w:sz w:val="24"/>
                <w:szCs w:val="24"/>
                <w:u w:val="none"/>
              </w:rPr>
              <w:t>表</w:t>
            </w:r>
            <w:r>
              <w:rPr>
                <w:rFonts w:hint="eastAsia" w:ascii="Times New Roman" w:hAnsi="Times New Roman" w:eastAsia="宋体" w:cs="Times New Roman"/>
                <w:b/>
                <w:color w:val="auto"/>
                <w:spacing w:val="4"/>
                <w:sz w:val="24"/>
                <w:szCs w:val="24"/>
                <w:u w:val="none"/>
                <w:lang w:val="en-US" w:eastAsia="zh-CN"/>
              </w:rPr>
              <w:t>3.7-5</w:t>
            </w:r>
            <w:r>
              <w:rPr>
                <w:rFonts w:hint="default" w:ascii="Times New Roman" w:hAnsi="Times New Roman" w:eastAsia="宋体" w:cs="Times New Roman"/>
                <w:b/>
                <w:color w:val="auto"/>
                <w:spacing w:val="4"/>
                <w:sz w:val="24"/>
                <w:szCs w:val="24"/>
                <w:u w:val="none"/>
              </w:rPr>
              <w:t xml:space="preserve"> </w:t>
            </w:r>
            <w:r>
              <w:rPr>
                <w:rFonts w:hint="eastAsia" w:ascii="Times New Roman" w:hAnsi="Times New Roman" w:eastAsia="宋体" w:cs="Times New Roman"/>
                <w:b/>
                <w:color w:val="auto"/>
                <w:spacing w:val="4"/>
                <w:sz w:val="24"/>
                <w:szCs w:val="24"/>
                <w:u w:val="none"/>
                <w:lang w:val="en-US" w:eastAsia="zh-CN"/>
              </w:rPr>
              <w:t>建议总量指标</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2033"/>
              <w:gridCol w:w="2368"/>
              <w:gridCol w:w="2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pct"/>
                  <w:vAlign w:val="center"/>
                </w:tcPr>
                <w:p>
                  <w:pPr>
                    <w:jc w:val="center"/>
                    <w:rPr>
                      <w:rFonts w:hint="eastAsia" w:ascii="Times New Roman" w:hAnsi="Times New Roman" w:eastAsia="宋体" w:cs="Times New Roman"/>
                      <w:b/>
                      <w:bCs/>
                      <w:color w:val="auto"/>
                      <w:sz w:val="21"/>
                      <w:szCs w:val="21"/>
                      <w:u w:val="none"/>
                      <w:lang w:val="en-US" w:eastAsia="zh-CN"/>
                    </w:rPr>
                  </w:pPr>
                  <w:r>
                    <w:rPr>
                      <w:rFonts w:hint="eastAsia" w:ascii="Times New Roman" w:hAnsi="Times New Roman" w:eastAsia="宋体" w:cs="Times New Roman"/>
                      <w:b/>
                      <w:bCs/>
                      <w:color w:val="auto"/>
                      <w:sz w:val="21"/>
                      <w:szCs w:val="21"/>
                      <w:u w:val="none"/>
                      <w:lang w:val="en-US" w:eastAsia="zh-CN"/>
                    </w:rPr>
                    <w:t>类型</w:t>
                  </w:r>
                </w:p>
              </w:tc>
              <w:tc>
                <w:tcPr>
                  <w:tcW w:w="1273" w:type="pct"/>
                  <w:vAlign w:val="center"/>
                </w:tcPr>
                <w:p>
                  <w:pPr>
                    <w:jc w:val="center"/>
                    <w:rPr>
                      <w:rFonts w:hint="eastAsia" w:ascii="Times New Roman" w:hAnsi="Times New Roman" w:eastAsia="宋体" w:cs="Times New Roman"/>
                      <w:b/>
                      <w:bCs/>
                      <w:color w:val="auto"/>
                      <w:sz w:val="21"/>
                      <w:szCs w:val="21"/>
                      <w:u w:val="none"/>
                      <w:lang w:val="en-US" w:eastAsia="zh-CN"/>
                    </w:rPr>
                  </w:pPr>
                  <w:r>
                    <w:rPr>
                      <w:rFonts w:hint="eastAsia" w:ascii="Times New Roman" w:hAnsi="Times New Roman" w:eastAsia="宋体" w:cs="Times New Roman"/>
                      <w:b/>
                      <w:bCs/>
                      <w:color w:val="auto"/>
                      <w:sz w:val="21"/>
                      <w:szCs w:val="21"/>
                      <w:u w:val="none"/>
                      <w:lang w:val="en-US" w:eastAsia="zh-CN"/>
                    </w:rPr>
                    <w:t>污染物</w:t>
                  </w:r>
                </w:p>
              </w:tc>
              <w:tc>
                <w:tcPr>
                  <w:tcW w:w="1483" w:type="pct"/>
                  <w:vAlign w:val="center"/>
                </w:tcPr>
                <w:p>
                  <w:pPr>
                    <w:jc w:val="center"/>
                    <w:rPr>
                      <w:rFonts w:hint="eastAsia" w:ascii="Times New Roman" w:hAnsi="Times New Roman" w:eastAsia="宋体" w:cs="Times New Roman"/>
                      <w:b/>
                      <w:bCs/>
                      <w:color w:val="auto"/>
                      <w:sz w:val="21"/>
                      <w:szCs w:val="21"/>
                      <w:u w:val="none"/>
                      <w:lang w:val="en-US" w:eastAsia="zh-CN"/>
                    </w:rPr>
                  </w:pPr>
                  <w:r>
                    <w:rPr>
                      <w:rFonts w:hint="eastAsia" w:ascii="Times New Roman" w:hAnsi="Times New Roman" w:eastAsia="宋体" w:cs="Times New Roman"/>
                      <w:b/>
                      <w:bCs/>
                      <w:color w:val="auto"/>
                      <w:sz w:val="21"/>
                      <w:szCs w:val="21"/>
                      <w:u w:val="none"/>
                      <w:lang w:val="en-US" w:eastAsia="zh-CN"/>
                    </w:rPr>
                    <w:t>排放量（t/a）</w:t>
                  </w:r>
                </w:p>
              </w:tc>
              <w:tc>
                <w:tcPr>
                  <w:tcW w:w="1451" w:type="pct"/>
                  <w:vAlign w:val="center"/>
                </w:tcPr>
                <w:p>
                  <w:pPr>
                    <w:jc w:val="center"/>
                    <w:rPr>
                      <w:rFonts w:hint="eastAsia" w:ascii="Times New Roman" w:hAnsi="Times New Roman" w:eastAsia="宋体" w:cs="Times New Roman"/>
                      <w:b/>
                      <w:bCs/>
                      <w:color w:val="auto"/>
                      <w:sz w:val="21"/>
                      <w:szCs w:val="21"/>
                      <w:u w:val="none"/>
                      <w:lang w:eastAsia="zh-CN"/>
                    </w:rPr>
                  </w:pPr>
                  <w:r>
                    <w:rPr>
                      <w:rFonts w:hint="default" w:ascii="Times New Roman" w:hAnsi="Times New Roman" w:eastAsia="宋体" w:cs="Times New Roman"/>
                      <w:b/>
                      <w:bCs/>
                      <w:color w:val="auto"/>
                      <w:sz w:val="21"/>
                      <w:szCs w:val="21"/>
                      <w:u w:val="none"/>
                    </w:rPr>
                    <w:t>建议总量指标量</w:t>
                  </w:r>
                  <w:r>
                    <w:rPr>
                      <w:rFonts w:hint="eastAsia" w:ascii="Times New Roman" w:hAnsi="Times New Roman" w:eastAsia="宋体" w:cs="Times New Roman"/>
                      <w:b/>
                      <w:bCs/>
                      <w:color w:val="auto"/>
                      <w:sz w:val="21"/>
                      <w:szCs w:val="21"/>
                      <w:u w:val="none"/>
                      <w:lang w:eastAsia="zh-CN"/>
                    </w:rPr>
                    <w:t>（</w:t>
                  </w:r>
                  <w:r>
                    <w:rPr>
                      <w:rFonts w:hint="eastAsia" w:ascii="Times New Roman" w:hAnsi="Times New Roman" w:eastAsia="宋体" w:cs="Times New Roman"/>
                      <w:b/>
                      <w:bCs/>
                      <w:color w:val="auto"/>
                      <w:sz w:val="21"/>
                      <w:szCs w:val="21"/>
                      <w:u w:val="none"/>
                      <w:lang w:val="en-US" w:eastAsia="zh-CN"/>
                    </w:rPr>
                    <w:t>t/a</w:t>
                  </w:r>
                  <w:r>
                    <w:rPr>
                      <w:rFonts w:hint="eastAsia" w:ascii="Times New Roman" w:hAnsi="Times New Roman" w:eastAsia="宋体" w:cs="Times New Roman"/>
                      <w:b/>
                      <w:bCs/>
                      <w:color w:val="auto"/>
                      <w:sz w:val="21"/>
                      <w:szCs w:val="21"/>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pct"/>
                  <w:vMerge w:val="restart"/>
                  <w:vAlign w:val="center"/>
                </w:tcPr>
                <w:p>
                  <w:pPr>
                    <w:jc w:val="center"/>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废气</w:t>
                  </w:r>
                </w:p>
                <w:p>
                  <w:pPr>
                    <w:jc w:val="center"/>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（有组织）</w:t>
                  </w:r>
                </w:p>
              </w:tc>
              <w:tc>
                <w:tcPr>
                  <w:tcW w:w="1273" w:type="pct"/>
                  <w:vAlign w:val="center"/>
                </w:tcPr>
                <w:p>
                  <w:pPr>
                    <w:jc w:val="center"/>
                    <w:rPr>
                      <w:rFonts w:hint="default" w:ascii="Times New Roman" w:hAnsi="Times New Roman" w:eastAsia="宋体" w:cs="Times New Roman"/>
                      <w:color w:val="auto"/>
                      <w:sz w:val="21"/>
                      <w:szCs w:val="21"/>
                      <w:u w:val="none"/>
                    </w:rPr>
                  </w:pPr>
                  <w:r>
                    <w:rPr>
                      <w:color w:val="auto"/>
                      <w:sz w:val="21"/>
                      <w:szCs w:val="21"/>
                      <w:u w:val="none"/>
                    </w:rPr>
                    <w:t>SO</w:t>
                  </w:r>
                  <w:r>
                    <w:rPr>
                      <w:color w:val="auto"/>
                      <w:sz w:val="21"/>
                      <w:szCs w:val="21"/>
                      <w:u w:val="none"/>
                      <w:vertAlign w:val="subscript"/>
                    </w:rPr>
                    <w:t>2</w:t>
                  </w:r>
                </w:p>
              </w:tc>
              <w:tc>
                <w:tcPr>
                  <w:tcW w:w="1483" w:type="pct"/>
                  <w:vAlign w:val="center"/>
                </w:tcPr>
                <w:p>
                  <w:pPr>
                    <w:widowControl/>
                    <w:jc w:val="center"/>
                    <w:textAlignment w:val="center"/>
                    <w:rPr>
                      <w:rFonts w:hint="default" w:ascii="Times New Roman" w:hAnsi="Times New Roman" w:eastAsia="宋体" w:cs="Times New Roman"/>
                      <w:color w:val="auto"/>
                      <w:sz w:val="21"/>
                      <w:szCs w:val="21"/>
                      <w:u w:val="none"/>
                    </w:rPr>
                  </w:pPr>
                  <w:r>
                    <w:rPr>
                      <w:color w:val="auto"/>
                      <w:sz w:val="21"/>
                      <w:szCs w:val="21"/>
                      <w:u w:val="none"/>
                    </w:rPr>
                    <w:t>0.17</w:t>
                  </w:r>
                </w:p>
              </w:tc>
              <w:tc>
                <w:tcPr>
                  <w:tcW w:w="1451" w:type="pct"/>
                  <w:vAlign w:val="center"/>
                </w:tcPr>
                <w:p>
                  <w:pPr>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pct"/>
                  <w:vMerge w:val="continue"/>
                  <w:vAlign w:val="center"/>
                </w:tcPr>
                <w:p>
                  <w:pPr>
                    <w:jc w:val="center"/>
                    <w:rPr>
                      <w:rFonts w:hint="default" w:ascii="Times New Roman" w:hAnsi="Times New Roman" w:eastAsia="宋体" w:cs="Times New Roman"/>
                      <w:color w:val="auto"/>
                      <w:sz w:val="21"/>
                      <w:szCs w:val="21"/>
                      <w:u w:val="none"/>
                    </w:rPr>
                  </w:pPr>
                </w:p>
              </w:tc>
              <w:tc>
                <w:tcPr>
                  <w:tcW w:w="1273" w:type="pct"/>
                  <w:vAlign w:val="center"/>
                </w:tcPr>
                <w:p>
                  <w:pPr>
                    <w:jc w:val="center"/>
                    <w:rPr>
                      <w:rFonts w:hint="default" w:ascii="Times New Roman" w:hAnsi="Times New Roman" w:eastAsia="宋体" w:cs="Times New Roman"/>
                      <w:color w:val="auto"/>
                      <w:sz w:val="21"/>
                      <w:szCs w:val="21"/>
                      <w:u w:val="none"/>
                    </w:rPr>
                  </w:pPr>
                  <w:r>
                    <w:rPr>
                      <w:color w:val="auto"/>
                      <w:sz w:val="21"/>
                      <w:szCs w:val="21"/>
                      <w:u w:val="none"/>
                    </w:rPr>
                    <w:t>NOx</w:t>
                  </w:r>
                </w:p>
              </w:tc>
              <w:tc>
                <w:tcPr>
                  <w:tcW w:w="1483" w:type="pct"/>
                  <w:vAlign w:val="center"/>
                </w:tcPr>
                <w:p>
                  <w:pPr>
                    <w:widowControl/>
                    <w:jc w:val="center"/>
                    <w:textAlignment w:val="center"/>
                    <w:rPr>
                      <w:rFonts w:hint="default" w:ascii="Times New Roman" w:hAnsi="Times New Roman" w:eastAsia="宋体" w:cs="Times New Roman"/>
                      <w:color w:val="auto"/>
                      <w:sz w:val="21"/>
                      <w:szCs w:val="21"/>
                      <w:u w:val="none"/>
                    </w:rPr>
                  </w:pPr>
                  <w:r>
                    <w:rPr>
                      <w:rFonts w:hint="eastAsia" w:eastAsia="宋体"/>
                      <w:color w:val="auto"/>
                      <w:sz w:val="21"/>
                      <w:szCs w:val="21"/>
                      <w:u w:val="none"/>
                      <w:lang w:val="en-US" w:eastAsia="zh-CN"/>
                    </w:rPr>
                    <w:t>0.18</w:t>
                  </w:r>
                </w:p>
              </w:tc>
              <w:tc>
                <w:tcPr>
                  <w:tcW w:w="1451" w:type="pct"/>
                  <w:vAlign w:val="center"/>
                </w:tcPr>
                <w:p>
                  <w:pPr>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pct"/>
                  <w:vMerge w:val="restart"/>
                  <w:vAlign w:val="center"/>
                </w:tcPr>
                <w:p>
                  <w:pPr>
                    <w:jc w:val="center"/>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废水</w:t>
                  </w:r>
                </w:p>
              </w:tc>
              <w:tc>
                <w:tcPr>
                  <w:tcW w:w="1273" w:type="pct"/>
                  <w:vAlign w:val="center"/>
                </w:tcPr>
                <w:p>
                  <w:pPr>
                    <w:jc w:val="center"/>
                    <w:rPr>
                      <w:rFonts w:hint="default" w:ascii="Times New Roman" w:hAnsi="Times New Roman" w:eastAsia="宋体" w:cs="Times New Roman"/>
                      <w:color w:val="auto"/>
                      <w:sz w:val="21"/>
                      <w:szCs w:val="21"/>
                      <w:u w:val="none"/>
                    </w:rPr>
                  </w:pPr>
                  <w:r>
                    <w:rPr>
                      <w:color w:val="auto"/>
                      <w:sz w:val="21"/>
                      <w:szCs w:val="21"/>
                      <w:u w:val="none"/>
                    </w:rPr>
                    <w:t>COD</w:t>
                  </w:r>
                </w:p>
              </w:tc>
              <w:tc>
                <w:tcPr>
                  <w:tcW w:w="1483"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4.14</w:t>
                  </w:r>
                </w:p>
              </w:tc>
              <w:tc>
                <w:tcPr>
                  <w:tcW w:w="1451"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pct"/>
                  <w:vMerge w:val="continue"/>
                  <w:vAlign w:val="center"/>
                </w:tcPr>
                <w:p>
                  <w:pPr>
                    <w:jc w:val="center"/>
                    <w:rPr>
                      <w:rFonts w:hint="default" w:ascii="Times New Roman" w:hAnsi="Times New Roman" w:eastAsia="宋体" w:cs="Times New Roman"/>
                      <w:color w:val="auto"/>
                      <w:sz w:val="21"/>
                      <w:szCs w:val="21"/>
                      <w:u w:val="none"/>
                    </w:rPr>
                  </w:pPr>
                </w:p>
              </w:tc>
              <w:tc>
                <w:tcPr>
                  <w:tcW w:w="1273" w:type="pct"/>
                  <w:vAlign w:val="center"/>
                </w:tcPr>
                <w:p>
                  <w:pPr>
                    <w:jc w:val="center"/>
                    <w:rPr>
                      <w:rFonts w:hint="default" w:ascii="Times New Roman" w:hAnsi="Times New Roman" w:eastAsia="宋体" w:cs="Times New Roman"/>
                      <w:color w:val="auto"/>
                      <w:sz w:val="21"/>
                      <w:szCs w:val="21"/>
                      <w:u w:val="none"/>
                    </w:rPr>
                  </w:pPr>
                  <w:r>
                    <w:rPr>
                      <w:color w:val="auto"/>
                      <w:sz w:val="21"/>
                      <w:szCs w:val="21"/>
                      <w:u w:val="none"/>
                    </w:rPr>
                    <w:t>NH</w:t>
                  </w:r>
                  <w:r>
                    <w:rPr>
                      <w:color w:val="auto"/>
                      <w:sz w:val="21"/>
                      <w:szCs w:val="21"/>
                      <w:u w:val="none"/>
                      <w:vertAlign w:val="subscript"/>
                    </w:rPr>
                    <w:t>3</w:t>
                  </w:r>
                  <w:r>
                    <w:rPr>
                      <w:color w:val="auto"/>
                      <w:sz w:val="21"/>
                      <w:szCs w:val="21"/>
                      <w:u w:val="none"/>
                    </w:rPr>
                    <w:t>-N</w:t>
                  </w:r>
                </w:p>
              </w:tc>
              <w:tc>
                <w:tcPr>
                  <w:tcW w:w="1483"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0.41</w:t>
                  </w:r>
                </w:p>
              </w:tc>
              <w:tc>
                <w:tcPr>
                  <w:tcW w:w="1451"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pct"/>
                  <w:vMerge w:val="continue"/>
                  <w:vAlign w:val="center"/>
                </w:tcPr>
                <w:p>
                  <w:pPr>
                    <w:jc w:val="center"/>
                    <w:rPr>
                      <w:rFonts w:hint="default" w:ascii="Times New Roman" w:hAnsi="Times New Roman" w:eastAsia="宋体" w:cs="Times New Roman"/>
                      <w:color w:val="auto"/>
                      <w:sz w:val="21"/>
                      <w:szCs w:val="21"/>
                      <w:u w:val="none"/>
                    </w:rPr>
                  </w:pPr>
                </w:p>
              </w:tc>
              <w:tc>
                <w:tcPr>
                  <w:tcW w:w="1273" w:type="pct"/>
                  <w:vAlign w:val="center"/>
                </w:tcPr>
                <w:p>
                  <w:pPr>
                    <w:jc w:val="center"/>
                    <w:rPr>
                      <w:rFonts w:hint="default" w:ascii="Times New Roman" w:hAnsi="Times New Roman" w:eastAsia="宋体" w:cs="Times New Roman"/>
                      <w:color w:val="auto"/>
                      <w:sz w:val="21"/>
                      <w:szCs w:val="21"/>
                      <w:u w:val="none"/>
                    </w:rPr>
                  </w:pPr>
                  <w:r>
                    <w:rPr>
                      <w:rFonts w:hint="eastAsia"/>
                      <w:color w:val="auto"/>
                      <w:sz w:val="21"/>
                      <w:szCs w:val="21"/>
                      <w:u w:val="none"/>
                      <w:lang w:val="en-US" w:eastAsia="zh-CN"/>
                    </w:rPr>
                    <w:t>总磷</w:t>
                  </w:r>
                </w:p>
              </w:tc>
              <w:tc>
                <w:tcPr>
                  <w:tcW w:w="1483"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0.04</w:t>
                  </w:r>
                </w:p>
              </w:tc>
              <w:tc>
                <w:tcPr>
                  <w:tcW w:w="1451"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w:t>
                  </w:r>
                </w:p>
              </w:tc>
            </w:tr>
          </w:tbl>
          <w:p>
            <w:pPr>
              <w:adjustRightInd w:val="0"/>
              <w:snapToGrid w:val="0"/>
              <w:spacing w:line="360" w:lineRule="auto"/>
              <w:ind w:firstLine="480" w:firstLineChars="200"/>
              <w:rPr>
                <w:color w:val="auto"/>
                <w:sz w:val="24"/>
                <w:u w:val="none"/>
              </w:rPr>
            </w:pPr>
            <w:r>
              <w:rPr>
                <w:rFonts w:hint="eastAsia"/>
                <w:color w:val="auto"/>
                <w:sz w:val="24"/>
                <w:u w:val="none"/>
              </w:rPr>
              <w:t>申请的总量指标由建设单位向当地</w:t>
            </w:r>
            <w:r>
              <w:rPr>
                <w:rFonts w:hint="eastAsia"/>
                <w:color w:val="auto"/>
                <w:sz w:val="24"/>
                <w:u w:val="none"/>
                <w:lang w:val="en-US" w:eastAsia="zh-CN"/>
              </w:rPr>
              <w:t>生态环境</w:t>
            </w:r>
            <w:r>
              <w:rPr>
                <w:rFonts w:hint="eastAsia"/>
                <w:color w:val="auto"/>
                <w:sz w:val="24"/>
                <w:u w:val="none"/>
              </w:rPr>
              <w:t>管理部门予以确认。</w:t>
            </w:r>
          </w:p>
        </w:tc>
      </w:tr>
    </w:tbl>
    <w:p>
      <w:pPr>
        <w:pStyle w:val="23"/>
        <w:jc w:val="center"/>
        <w:outlineLvl w:val="0"/>
        <w:rPr>
          <w:rFonts w:ascii="Times New Roman" w:hAnsi="Times New Roman"/>
          <w:snapToGrid w:val="0"/>
          <w:color w:val="auto"/>
          <w:sz w:val="30"/>
          <w:szCs w:val="30"/>
          <w:u w:val="none"/>
        </w:rPr>
      </w:pPr>
      <w:r>
        <w:rPr>
          <w:rFonts w:ascii="Times New Roman" w:hAnsi="Times New Roman"/>
          <w:snapToGrid w:val="0"/>
          <w:color w:val="auto"/>
          <w:sz w:val="36"/>
          <w:szCs w:val="36"/>
          <w:u w:val="none"/>
        </w:rPr>
        <w:br w:type="page"/>
      </w:r>
      <w:bookmarkStart w:id="10" w:name="_Toc2358"/>
      <w:r>
        <w:rPr>
          <w:rFonts w:ascii="Times New Roman" w:hAnsi="Times New Roman"/>
          <w:snapToGrid w:val="0"/>
          <w:color w:val="auto"/>
          <w:sz w:val="30"/>
          <w:szCs w:val="30"/>
          <w:u w:val="none"/>
        </w:rPr>
        <w:t>四、主要环境影响和保护措施</w:t>
      </w:r>
      <w:bookmarkEnd w:id="10"/>
    </w:p>
    <w:tbl>
      <w:tblPr>
        <w:tblStyle w:val="27"/>
        <w:tblpPr w:leftFromText="180" w:rightFromText="180" w:vertAnchor="text" w:tblpXSpec="center" w:tblpY="1"/>
        <w:tblOverlap w:val="never"/>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66"/>
        <w:gridCol w:w="85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60" w:type="dxa"/>
            <w:tcMar>
              <w:left w:w="28" w:type="dxa"/>
              <w:right w:w="28" w:type="dxa"/>
            </w:tcMar>
            <w:vAlign w:val="center"/>
          </w:tcPr>
          <w:p>
            <w:pPr>
              <w:pStyle w:val="23"/>
              <w:adjustRightInd w:val="0"/>
              <w:snapToGrid w:val="0"/>
              <w:spacing w:before="0" w:beforeAutospacing="0" w:after="0" w:afterAutospacing="0"/>
              <w:jc w:val="center"/>
              <w:rPr>
                <w:rFonts w:ascii="Times New Roman" w:hAnsi="Times New Roman"/>
                <w:color w:val="auto"/>
                <w:kern w:val="2"/>
                <w:sz w:val="21"/>
                <w:szCs w:val="21"/>
                <w:u w:val="none"/>
                <w:lang w:val="en-US" w:eastAsia="zh-CN"/>
              </w:rPr>
            </w:pPr>
            <w:r>
              <w:rPr>
                <w:rFonts w:ascii="Times New Roman" w:hAnsi="Times New Roman"/>
                <w:color w:val="auto"/>
                <w:kern w:val="2"/>
                <w:sz w:val="21"/>
                <w:szCs w:val="21"/>
                <w:u w:val="none"/>
                <w:lang w:val="en-US" w:eastAsia="zh-CN"/>
              </w:rPr>
              <w:t>施工</w:t>
            </w:r>
          </w:p>
          <w:p>
            <w:pPr>
              <w:pStyle w:val="23"/>
              <w:adjustRightInd w:val="0"/>
              <w:snapToGrid w:val="0"/>
              <w:spacing w:before="0" w:beforeAutospacing="0" w:after="0" w:afterAutospacing="0"/>
              <w:jc w:val="center"/>
              <w:rPr>
                <w:rFonts w:ascii="Times New Roman" w:hAnsi="Times New Roman"/>
                <w:color w:val="auto"/>
                <w:kern w:val="2"/>
                <w:sz w:val="21"/>
                <w:szCs w:val="21"/>
                <w:u w:val="none"/>
                <w:lang w:val="en-US" w:eastAsia="zh-CN"/>
              </w:rPr>
            </w:pPr>
            <w:r>
              <w:rPr>
                <w:rFonts w:ascii="Times New Roman" w:hAnsi="Times New Roman"/>
                <w:color w:val="auto"/>
                <w:kern w:val="2"/>
                <w:sz w:val="21"/>
                <w:szCs w:val="21"/>
                <w:u w:val="none"/>
                <w:lang w:val="en-US" w:eastAsia="zh-CN"/>
              </w:rPr>
              <w:t>期环</w:t>
            </w:r>
          </w:p>
          <w:p>
            <w:pPr>
              <w:pStyle w:val="23"/>
              <w:adjustRightInd w:val="0"/>
              <w:snapToGrid w:val="0"/>
              <w:spacing w:before="0" w:beforeAutospacing="0" w:after="0" w:afterAutospacing="0"/>
              <w:jc w:val="center"/>
              <w:rPr>
                <w:rFonts w:ascii="Times New Roman" w:hAnsi="Times New Roman"/>
                <w:color w:val="auto"/>
                <w:kern w:val="2"/>
                <w:sz w:val="21"/>
                <w:szCs w:val="21"/>
                <w:u w:val="none"/>
                <w:lang w:val="en-US" w:eastAsia="zh-CN"/>
              </w:rPr>
            </w:pPr>
            <w:r>
              <w:rPr>
                <w:rFonts w:ascii="Times New Roman" w:hAnsi="Times New Roman"/>
                <w:color w:val="auto"/>
                <w:kern w:val="2"/>
                <w:sz w:val="21"/>
                <w:szCs w:val="21"/>
                <w:u w:val="none"/>
                <w:lang w:val="en-US" w:eastAsia="zh-CN"/>
              </w:rPr>
              <w:t>境保</w:t>
            </w:r>
          </w:p>
          <w:p>
            <w:pPr>
              <w:pStyle w:val="23"/>
              <w:adjustRightInd w:val="0"/>
              <w:snapToGrid w:val="0"/>
              <w:spacing w:before="0" w:beforeAutospacing="0" w:after="0" w:afterAutospacing="0"/>
              <w:jc w:val="center"/>
              <w:rPr>
                <w:rFonts w:ascii="Times New Roman" w:hAnsi="Times New Roman"/>
                <w:color w:val="auto"/>
                <w:kern w:val="2"/>
                <w:sz w:val="21"/>
                <w:szCs w:val="21"/>
                <w:u w:val="none"/>
                <w:lang w:val="en-US" w:eastAsia="zh-CN"/>
              </w:rPr>
            </w:pPr>
            <w:r>
              <w:rPr>
                <w:rFonts w:ascii="Times New Roman" w:hAnsi="Times New Roman"/>
                <w:color w:val="auto"/>
                <w:kern w:val="2"/>
                <w:sz w:val="21"/>
                <w:szCs w:val="21"/>
                <w:u w:val="none"/>
                <w:lang w:val="en-US" w:eastAsia="zh-CN"/>
              </w:rPr>
              <w:t>护措</w:t>
            </w:r>
          </w:p>
          <w:p>
            <w:pPr>
              <w:pStyle w:val="23"/>
              <w:adjustRightInd w:val="0"/>
              <w:snapToGrid w:val="0"/>
              <w:spacing w:before="0" w:beforeAutospacing="0" w:after="0" w:afterAutospacing="0"/>
              <w:jc w:val="center"/>
              <w:rPr>
                <w:rFonts w:ascii="Times New Roman" w:hAnsi="Times New Roman"/>
                <w:bCs/>
                <w:color w:val="auto"/>
                <w:kern w:val="2"/>
                <w:sz w:val="21"/>
                <w:szCs w:val="21"/>
                <w:u w:val="none"/>
                <w:lang w:val="en-US" w:eastAsia="zh-CN"/>
              </w:rPr>
            </w:pPr>
            <w:r>
              <w:rPr>
                <w:rFonts w:ascii="Times New Roman" w:hAnsi="Times New Roman"/>
                <w:color w:val="auto"/>
                <w:kern w:val="2"/>
                <w:sz w:val="21"/>
                <w:szCs w:val="21"/>
                <w:u w:val="none"/>
                <w:lang w:val="en-US" w:eastAsia="zh-CN"/>
              </w:rPr>
              <w:t>施</w:t>
            </w:r>
          </w:p>
        </w:tc>
        <w:tc>
          <w:tcPr>
            <w:tcW w:w="8565" w:type="dxa"/>
            <w:vAlign w:val="center"/>
          </w:tcPr>
          <w:p>
            <w:pPr>
              <w:spacing w:line="360" w:lineRule="auto"/>
              <w:rPr>
                <w:b/>
                <w:bCs/>
                <w:color w:val="auto"/>
                <w:spacing w:val="4"/>
                <w:sz w:val="24"/>
                <w:u w:val="none"/>
              </w:rPr>
            </w:pPr>
            <w:r>
              <w:rPr>
                <w:rFonts w:hint="eastAsia"/>
                <w:b/>
                <w:bCs/>
                <w:color w:val="auto"/>
                <w:spacing w:val="4"/>
                <w:sz w:val="24"/>
                <w:u w:val="none"/>
              </w:rPr>
              <w:t>4.1 施工期环境保护措施</w:t>
            </w:r>
          </w:p>
          <w:p>
            <w:pPr>
              <w:spacing w:line="360" w:lineRule="auto"/>
              <w:ind w:firstLine="498" w:firstLineChars="200"/>
              <w:rPr>
                <w:b/>
                <w:bCs/>
                <w:color w:val="auto"/>
                <w:spacing w:val="4"/>
                <w:sz w:val="24"/>
                <w:u w:val="none"/>
              </w:rPr>
            </w:pPr>
            <w:r>
              <w:rPr>
                <w:rFonts w:hint="eastAsia"/>
                <w:b/>
                <w:bCs/>
                <w:color w:val="auto"/>
                <w:spacing w:val="4"/>
                <w:sz w:val="24"/>
                <w:u w:val="none"/>
              </w:rPr>
              <w:t>4.1.1 施工期废水</w:t>
            </w:r>
          </w:p>
          <w:p>
            <w:pPr>
              <w:spacing w:line="360" w:lineRule="auto"/>
              <w:ind w:firstLine="480" w:firstLineChars="200"/>
              <w:contextualSpacing/>
              <w:rPr>
                <w:bCs/>
                <w:color w:val="auto"/>
                <w:sz w:val="24"/>
                <w:u w:val="none"/>
              </w:rPr>
            </w:pPr>
            <w:r>
              <w:rPr>
                <w:rFonts w:hint="eastAsia"/>
                <w:color w:val="auto"/>
                <w:sz w:val="24"/>
                <w:u w:val="none"/>
              </w:rPr>
              <w:t>本项目利用现有生产车间、办公楼、宿舍楼等建筑进行改造，施工主要为房屋改造及装修、厂区地面硬化、车间防渗、污水处理站建设和设备安装。</w:t>
            </w:r>
            <w:r>
              <w:rPr>
                <w:rFonts w:hint="eastAsia"/>
                <w:bCs/>
                <w:color w:val="auto"/>
                <w:sz w:val="24"/>
                <w:u w:val="none"/>
              </w:rPr>
              <w:t>项目施工期水污染源主要为生活污水及原污水处理池中汇集的雨水。</w:t>
            </w:r>
          </w:p>
          <w:p>
            <w:pPr>
              <w:spacing w:line="360" w:lineRule="auto"/>
              <w:ind w:firstLine="480" w:firstLineChars="200"/>
              <w:contextualSpacing/>
              <w:rPr>
                <w:color w:val="auto"/>
                <w:sz w:val="24"/>
                <w:u w:val="none"/>
              </w:rPr>
            </w:pPr>
            <w:r>
              <w:rPr>
                <w:rFonts w:hint="eastAsia"/>
                <w:color w:val="auto"/>
                <w:sz w:val="24"/>
                <w:u w:val="none"/>
              </w:rPr>
              <w:t>（1）施工人员生活污水</w:t>
            </w:r>
          </w:p>
          <w:p>
            <w:pPr>
              <w:spacing w:line="360" w:lineRule="auto"/>
              <w:ind w:firstLine="480" w:firstLineChars="200"/>
              <w:contextualSpacing/>
              <w:rPr>
                <w:bCs/>
                <w:color w:val="auto"/>
                <w:sz w:val="24"/>
                <w:u w:val="none"/>
              </w:rPr>
            </w:pPr>
            <w:r>
              <w:rPr>
                <w:color w:val="auto"/>
                <w:sz w:val="24"/>
                <w:u w:val="none"/>
              </w:rPr>
              <w:t>施工</w:t>
            </w:r>
            <w:r>
              <w:rPr>
                <w:rFonts w:hint="eastAsia"/>
                <w:color w:val="auto"/>
                <w:sz w:val="24"/>
                <w:u w:val="none"/>
              </w:rPr>
              <w:t>人员约为20人，不在厂内食宿，</w:t>
            </w:r>
            <w:r>
              <w:rPr>
                <w:color w:val="auto"/>
                <w:sz w:val="24"/>
                <w:u w:val="none"/>
              </w:rPr>
              <w:t>施工期间生活污水产生量按50L/人·d</w:t>
            </w:r>
            <w:r>
              <w:rPr>
                <w:rFonts w:hint="eastAsia"/>
                <w:color w:val="auto"/>
                <w:sz w:val="24"/>
                <w:u w:val="none"/>
              </w:rPr>
              <w:t>估算，产生量为1.0m</w:t>
            </w:r>
            <w:r>
              <w:rPr>
                <w:rFonts w:hint="eastAsia"/>
                <w:color w:val="auto"/>
                <w:sz w:val="24"/>
                <w:u w:val="none"/>
                <w:vertAlign w:val="superscript"/>
              </w:rPr>
              <w:t>3</w:t>
            </w:r>
            <w:r>
              <w:rPr>
                <w:rFonts w:hint="eastAsia"/>
                <w:color w:val="auto"/>
                <w:sz w:val="24"/>
                <w:u w:val="none"/>
              </w:rPr>
              <w:t>/d</w:t>
            </w:r>
            <w:r>
              <w:rPr>
                <w:color w:val="auto"/>
                <w:sz w:val="24"/>
                <w:u w:val="none"/>
              </w:rPr>
              <w:t>，主要污染物为COD、BOD</w:t>
            </w:r>
            <w:r>
              <w:rPr>
                <w:color w:val="auto"/>
                <w:sz w:val="24"/>
                <w:u w:val="none"/>
                <w:vertAlign w:val="subscript"/>
              </w:rPr>
              <w:t>5</w:t>
            </w:r>
            <w:r>
              <w:rPr>
                <w:color w:val="auto"/>
                <w:sz w:val="24"/>
                <w:u w:val="none"/>
              </w:rPr>
              <w:t>、</w:t>
            </w:r>
            <w:r>
              <w:rPr>
                <w:rFonts w:hint="eastAsia"/>
                <w:color w:val="auto"/>
                <w:sz w:val="24"/>
                <w:u w:val="none"/>
              </w:rPr>
              <w:t>氨氮、</w:t>
            </w:r>
            <w:r>
              <w:rPr>
                <w:color w:val="auto"/>
                <w:sz w:val="24"/>
                <w:u w:val="none"/>
              </w:rPr>
              <w:t>SS</w:t>
            </w:r>
            <w:r>
              <w:rPr>
                <w:rFonts w:hint="eastAsia"/>
                <w:color w:val="auto"/>
                <w:sz w:val="24"/>
                <w:u w:val="none"/>
              </w:rPr>
              <w:t>，</w:t>
            </w:r>
            <w:r>
              <w:rPr>
                <w:rFonts w:hint="eastAsia"/>
                <w:bCs/>
                <w:color w:val="auto"/>
                <w:sz w:val="24"/>
                <w:u w:val="none"/>
              </w:rPr>
              <w:t>生活污水通过厂区已有化粪池处理后排入园区管网，进入湘阴县第二污水处理厂处理。</w:t>
            </w:r>
          </w:p>
          <w:p>
            <w:pPr>
              <w:spacing w:line="360" w:lineRule="auto"/>
              <w:ind w:firstLine="480" w:firstLineChars="200"/>
              <w:contextualSpacing/>
              <w:rPr>
                <w:bCs/>
                <w:color w:val="auto"/>
                <w:sz w:val="24"/>
                <w:u w:val="none"/>
              </w:rPr>
            </w:pPr>
            <w:r>
              <w:rPr>
                <w:rFonts w:hint="eastAsia"/>
                <w:bCs/>
                <w:color w:val="auto"/>
                <w:sz w:val="24"/>
                <w:u w:val="none"/>
              </w:rPr>
              <w:t>（2）污水池遗留雨水</w:t>
            </w:r>
          </w:p>
          <w:p>
            <w:pPr>
              <w:spacing w:line="360" w:lineRule="auto"/>
              <w:ind w:firstLine="480" w:firstLineChars="200"/>
              <w:contextualSpacing/>
              <w:rPr>
                <w:bCs/>
                <w:color w:val="auto"/>
                <w:sz w:val="24"/>
                <w:u w:val="none"/>
              </w:rPr>
            </w:pPr>
            <w:r>
              <w:rPr>
                <w:rFonts w:hint="eastAsia"/>
                <w:bCs/>
                <w:color w:val="auto"/>
                <w:sz w:val="24"/>
                <w:u w:val="none"/>
              </w:rPr>
              <w:t>根据现场调查，原</w:t>
            </w:r>
            <w:r>
              <w:rPr>
                <w:rFonts w:hint="eastAsia"/>
                <w:color w:val="auto"/>
                <w:sz w:val="24"/>
                <w:u w:val="none"/>
              </w:rPr>
              <w:t>湘阴康昕家具有限公司、湖南驿通电子科技有限公司生产废水、废液均已处理，无遗留工业废水</w:t>
            </w:r>
            <w:r>
              <w:rPr>
                <w:rFonts w:hint="eastAsia"/>
                <w:bCs/>
                <w:color w:val="auto"/>
                <w:sz w:val="24"/>
                <w:u w:val="none"/>
              </w:rPr>
              <w:t>，</w:t>
            </w:r>
            <w:r>
              <w:rPr>
                <w:rFonts w:hint="eastAsia"/>
                <w:color w:val="auto"/>
                <w:sz w:val="24"/>
                <w:u w:val="none"/>
              </w:rPr>
              <w:t>但由于地块长期闲置，目前污水池中汇集约30m</w:t>
            </w:r>
            <w:r>
              <w:rPr>
                <w:rFonts w:hint="eastAsia"/>
                <w:color w:val="auto"/>
                <w:sz w:val="24"/>
                <w:u w:val="none"/>
                <w:vertAlign w:val="superscript"/>
              </w:rPr>
              <w:t>3</w:t>
            </w:r>
            <w:r>
              <w:rPr>
                <w:rFonts w:hint="eastAsia"/>
                <w:color w:val="auto"/>
                <w:sz w:val="24"/>
                <w:u w:val="none"/>
              </w:rPr>
              <w:t>雨水，主要污染物为SS，经污水池沉淀后排入园区管网，</w:t>
            </w:r>
            <w:r>
              <w:rPr>
                <w:rFonts w:hint="eastAsia"/>
                <w:bCs/>
                <w:color w:val="auto"/>
                <w:sz w:val="24"/>
                <w:u w:val="none"/>
              </w:rPr>
              <w:t>进入湘阴县第二污水处理厂处理。</w:t>
            </w:r>
          </w:p>
          <w:p>
            <w:pPr>
              <w:spacing w:line="360" w:lineRule="auto"/>
              <w:ind w:firstLine="480" w:firstLineChars="200"/>
              <w:contextualSpacing/>
              <w:rPr>
                <w:bCs/>
                <w:color w:val="auto"/>
                <w:sz w:val="24"/>
                <w:u w:val="none"/>
              </w:rPr>
            </w:pPr>
            <w:r>
              <w:rPr>
                <w:rFonts w:hint="eastAsia"/>
                <w:bCs/>
                <w:color w:val="auto"/>
                <w:sz w:val="24"/>
                <w:u w:val="none"/>
              </w:rPr>
              <w:t>本项目施工期废水可妥善处理，对周围地表水环境影响较小。</w:t>
            </w:r>
          </w:p>
          <w:p>
            <w:pPr>
              <w:spacing w:line="360" w:lineRule="auto"/>
              <w:ind w:firstLine="498" w:firstLineChars="200"/>
              <w:rPr>
                <w:b/>
                <w:bCs/>
                <w:color w:val="auto"/>
                <w:spacing w:val="4"/>
                <w:sz w:val="24"/>
                <w:u w:val="none"/>
              </w:rPr>
            </w:pPr>
            <w:r>
              <w:rPr>
                <w:rFonts w:hint="eastAsia"/>
                <w:b/>
                <w:bCs/>
                <w:color w:val="auto"/>
                <w:spacing w:val="4"/>
                <w:sz w:val="24"/>
                <w:u w:val="none"/>
              </w:rPr>
              <w:t>4.1.2 施工期废气</w:t>
            </w:r>
          </w:p>
          <w:p>
            <w:pPr>
              <w:spacing w:line="360" w:lineRule="auto"/>
              <w:ind w:firstLine="480" w:firstLineChars="200"/>
              <w:contextualSpacing/>
              <w:rPr>
                <w:bCs/>
                <w:color w:val="auto"/>
                <w:sz w:val="24"/>
                <w:u w:val="none"/>
              </w:rPr>
            </w:pPr>
            <w:r>
              <w:rPr>
                <w:rFonts w:hint="eastAsia"/>
                <w:bCs/>
                <w:color w:val="auto"/>
                <w:sz w:val="24"/>
                <w:u w:val="none"/>
              </w:rPr>
              <w:t>施工废气主</w:t>
            </w:r>
            <w:r>
              <w:rPr>
                <w:rFonts w:hint="eastAsia"/>
                <w:bCs/>
                <w:color w:val="auto"/>
                <w:sz w:val="24"/>
                <w:u w:val="none"/>
                <w:lang w:eastAsia="zh-CN"/>
              </w:rPr>
              <w:t>要是</w:t>
            </w:r>
            <w:r>
              <w:rPr>
                <w:rFonts w:hint="eastAsia"/>
                <w:bCs/>
                <w:color w:val="auto"/>
                <w:sz w:val="24"/>
                <w:u w:val="none"/>
              </w:rPr>
              <w:t>施工扬尘及装修废气。</w:t>
            </w:r>
          </w:p>
          <w:p>
            <w:pPr>
              <w:spacing w:line="360" w:lineRule="auto"/>
              <w:ind w:firstLine="480" w:firstLineChars="200"/>
              <w:contextualSpacing/>
              <w:rPr>
                <w:bCs/>
                <w:color w:val="auto"/>
                <w:sz w:val="24"/>
                <w:u w:val="none"/>
              </w:rPr>
            </w:pPr>
            <w:r>
              <w:rPr>
                <w:rFonts w:hint="eastAsia"/>
                <w:bCs/>
                <w:color w:val="auto"/>
                <w:sz w:val="24"/>
                <w:u w:val="none"/>
              </w:rPr>
              <w:t>（1）施工扬尘</w:t>
            </w:r>
          </w:p>
          <w:p>
            <w:pPr>
              <w:spacing w:line="360" w:lineRule="auto"/>
              <w:ind w:firstLine="480" w:firstLineChars="200"/>
              <w:contextualSpacing/>
              <w:rPr>
                <w:bCs/>
                <w:color w:val="auto"/>
                <w:sz w:val="24"/>
                <w:u w:val="none"/>
              </w:rPr>
            </w:pPr>
            <w:r>
              <w:rPr>
                <w:rFonts w:hint="eastAsia"/>
                <w:bCs/>
                <w:color w:val="auto"/>
                <w:sz w:val="24"/>
                <w:u w:val="none"/>
              </w:rPr>
              <w:t>本项目在施工期间，房屋改造及装修、厂区地面硬化、建筑垃圾及施工原料堆放会产生少量扬尘。</w:t>
            </w:r>
            <w:r>
              <w:rPr>
                <w:bCs/>
                <w:color w:val="auto"/>
                <w:sz w:val="24"/>
                <w:u w:val="none"/>
              </w:rPr>
              <w:t>对施工场地堆场扬尘的防护措施为，</w:t>
            </w:r>
            <w:r>
              <w:rPr>
                <w:rFonts w:hint="eastAsia"/>
                <w:bCs/>
                <w:color w:val="auto"/>
                <w:sz w:val="24"/>
                <w:u w:val="none"/>
              </w:rPr>
              <w:t>在干燥天气对堆场进行洒水，每天洒水4～5次，可使扬尘减少70%左右；对易产生扬尘的废渣堆采用防尘网和防尘布覆盖；对建筑垃圾进行综合利用减少堆放量；裸露地表采取覆盖措施。由于项目施工工程量较小，扬尘产生量较少，经扩散后对环境影响很小。</w:t>
            </w:r>
          </w:p>
          <w:p>
            <w:pPr>
              <w:spacing w:line="360" w:lineRule="auto"/>
              <w:ind w:firstLine="480" w:firstLineChars="200"/>
              <w:contextualSpacing/>
              <w:rPr>
                <w:bCs/>
                <w:color w:val="auto"/>
                <w:sz w:val="24"/>
                <w:u w:val="none"/>
              </w:rPr>
            </w:pPr>
            <w:r>
              <w:rPr>
                <w:rFonts w:hint="eastAsia"/>
                <w:bCs/>
                <w:color w:val="auto"/>
                <w:sz w:val="24"/>
                <w:u w:val="none"/>
              </w:rPr>
              <w:t>（2）装修废气</w:t>
            </w:r>
          </w:p>
          <w:p>
            <w:pPr>
              <w:spacing w:line="360" w:lineRule="auto"/>
              <w:ind w:firstLine="480" w:firstLineChars="200"/>
              <w:contextualSpacing/>
              <w:rPr>
                <w:bCs/>
                <w:color w:val="auto"/>
                <w:sz w:val="24"/>
                <w:u w:val="none"/>
              </w:rPr>
            </w:pPr>
            <w:r>
              <w:rPr>
                <w:rFonts w:hint="eastAsia"/>
                <w:bCs/>
                <w:i w:val="0"/>
                <w:iCs w:val="0"/>
                <w:color w:val="auto"/>
                <w:sz w:val="24"/>
                <w:u w:val="none"/>
                <w:lang w:val="en-US" w:eastAsia="zh-CN"/>
              </w:rPr>
              <w:t>办公楼</w:t>
            </w:r>
            <w:r>
              <w:rPr>
                <w:rFonts w:hint="eastAsia"/>
                <w:bCs/>
                <w:i w:val="0"/>
                <w:iCs w:val="0"/>
                <w:color w:val="auto"/>
                <w:sz w:val="24"/>
                <w:u w:val="none"/>
              </w:rPr>
              <w:t>装修期间油漆的使用会向周围环境空气挥发甲醛、二甲苯和甲苯</w:t>
            </w:r>
            <w:r>
              <w:rPr>
                <w:rFonts w:hint="eastAsia"/>
                <w:bCs/>
                <w:i w:val="0"/>
                <w:iCs w:val="0"/>
                <w:color w:val="auto"/>
                <w:sz w:val="24"/>
                <w:u w:val="none"/>
                <w:lang w:eastAsia="zh-CN"/>
              </w:rPr>
              <w:t>；</w:t>
            </w:r>
            <w:r>
              <w:rPr>
                <w:rFonts w:hint="eastAsia"/>
                <w:bCs/>
                <w:i w:val="0"/>
                <w:iCs w:val="0"/>
                <w:color w:val="auto"/>
                <w:sz w:val="24"/>
                <w:u w:val="none"/>
                <w:lang w:val="en-US" w:eastAsia="zh-CN"/>
              </w:rPr>
              <w:t>厂房装修不使用油漆</w:t>
            </w:r>
            <w:r>
              <w:rPr>
                <w:rFonts w:hint="eastAsia"/>
                <w:bCs/>
                <w:i w:val="0"/>
                <w:iCs w:val="0"/>
                <w:color w:val="auto"/>
                <w:sz w:val="24"/>
                <w:u w:val="none"/>
              </w:rPr>
              <w:t>。</w:t>
            </w:r>
            <w:r>
              <w:rPr>
                <w:rFonts w:hint="eastAsia"/>
                <w:bCs/>
                <w:color w:val="auto"/>
                <w:sz w:val="24"/>
                <w:u w:val="none"/>
              </w:rPr>
              <w:t>二甲苯与甲苯虽具有一定的毒性，但在短时间最大允许浓度下不会产生重大影响。本项目装修时二甲苯与甲苯的产生浓度较小，再加上油漆废气的释放较缓慢，因此项目不会对周围环境产生明显影响。为减少对周围环境及自身环境的影响，应尽可能选用环保型绿色油漆。装修完毕后，建议保持室内通畅，并空置一段时间后再开始投入使用。</w:t>
            </w:r>
          </w:p>
          <w:p>
            <w:pPr>
              <w:spacing w:line="360" w:lineRule="auto"/>
              <w:ind w:firstLine="482" w:firstLineChars="200"/>
              <w:rPr>
                <w:b/>
                <w:color w:val="auto"/>
                <w:spacing w:val="4"/>
                <w:sz w:val="24"/>
                <w:u w:val="none"/>
              </w:rPr>
            </w:pPr>
            <w:r>
              <w:rPr>
                <w:rFonts w:hint="eastAsia"/>
                <w:b/>
                <w:color w:val="auto"/>
                <w:sz w:val="24"/>
                <w:u w:val="none"/>
              </w:rPr>
              <w:t>4.1.3 施工期</w:t>
            </w:r>
            <w:r>
              <w:rPr>
                <w:rFonts w:hint="eastAsia"/>
                <w:b/>
                <w:color w:val="auto"/>
                <w:spacing w:val="4"/>
                <w:sz w:val="24"/>
                <w:u w:val="none"/>
              </w:rPr>
              <w:t>噪声</w:t>
            </w:r>
          </w:p>
          <w:p>
            <w:pPr>
              <w:spacing w:line="360" w:lineRule="auto"/>
              <w:ind w:firstLine="480" w:firstLineChars="200"/>
              <w:rPr>
                <w:bCs/>
                <w:color w:val="auto"/>
                <w:sz w:val="24"/>
                <w:u w:val="none"/>
              </w:rPr>
            </w:pPr>
            <w:r>
              <w:rPr>
                <w:rFonts w:hint="eastAsia"/>
                <w:bCs/>
                <w:color w:val="auto"/>
                <w:sz w:val="24"/>
                <w:u w:val="none"/>
              </w:rPr>
              <w:t>本项目施工噪声主要来源于装修、设备组装时零碎敲打声，切割机、角磨机发出的噪声，以及装修材料搬运时产生的噪音。由于本项目西面、西南面与新华村二组、涝溪桥村居民距离较近，环评要求建设单位在施工时应采取有效的降噪措施建设对声环境敏感目标的影响，主要如下：</w:t>
            </w:r>
          </w:p>
          <w:p>
            <w:pPr>
              <w:spacing w:line="360" w:lineRule="auto"/>
              <w:ind w:firstLine="480" w:firstLineChars="200"/>
              <w:rPr>
                <w:bCs/>
                <w:color w:val="auto"/>
                <w:sz w:val="24"/>
                <w:u w:val="none"/>
              </w:rPr>
            </w:pPr>
            <w:r>
              <w:rPr>
                <w:rFonts w:hint="eastAsia"/>
                <w:bCs/>
                <w:color w:val="auto"/>
                <w:sz w:val="24"/>
                <w:u w:val="none"/>
              </w:rPr>
              <w:t>（1）严禁在中午1</w:t>
            </w:r>
            <w:r>
              <w:rPr>
                <w:bCs/>
                <w:color w:val="auto"/>
                <w:sz w:val="24"/>
                <w:u w:val="none"/>
              </w:rPr>
              <w:t>2</w:t>
            </w:r>
            <w:r>
              <w:rPr>
                <w:rFonts w:hint="eastAsia"/>
                <w:bCs/>
                <w:color w:val="auto"/>
                <w:sz w:val="24"/>
                <w:u w:val="none"/>
              </w:rPr>
              <w:t>：0</w:t>
            </w:r>
            <w:r>
              <w:rPr>
                <w:bCs/>
                <w:color w:val="auto"/>
                <w:sz w:val="24"/>
                <w:u w:val="none"/>
              </w:rPr>
              <w:t>0</w:t>
            </w:r>
            <w:r>
              <w:rPr>
                <w:rFonts w:hint="eastAsia"/>
                <w:bCs/>
                <w:color w:val="auto"/>
                <w:sz w:val="24"/>
                <w:u w:val="none"/>
              </w:rPr>
              <w:t>~</w:t>
            </w:r>
            <w:r>
              <w:rPr>
                <w:bCs/>
                <w:color w:val="auto"/>
                <w:sz w:val="24"/>
                <w:u w:val="none"/>
              </w:rPr>
              <w:t>14</w:t>
            </w:r>
            <w:r>
              <w:rPr>
                <w:rFonts w:hint="eastAsia"/>
                <w:bCs/>
                <w:color w:val="auto"/>
                <w:sz w:val="24"/>
                <w:u w:val="none"/>
              </w:rPr>
              <w:t>：0</w:t>
            </w:r>
            <w:r>
              <w:rPr>
                <w:bCs/>
                <w:color w:val="auto"/>
                <w:sz w:val="24"/>
                <w:u w:val="none"/>
              </w:rPr>
              <w:t>0</w:t>
            </w:r>
            <w:r>
              <w:rPr>
                <w:rFonts w:hint="eastAsia"/>
                <w:bCs/>
                <w:color w:val="auto"/>
                <w:sz w:val="24"/>
                <w:u w:val="none"/>
              </w:rPr>
              <w:t>以及夜间2</w:t>
            </w:r>
            <w:r>
              <w:rPr>
                <w:bCs/>
                <w:color w:val="auto"/>
                <w:sz w:val="24"/>
                <w:u w:val="none"/>
              </w:rPr>
              <w:t>2</w:t>
            </w:r>
            <w:r>
              <w:rPr>
                <w:rFonts w:hint="eastAsia"/>
                <w:bCs/>
                <w:color w:val="auto"/>
                <w:sz w:val="24"/>
                <w:u w:val="none"/>
              </w:rPr>
              <w:t>：0</w:t>
            </w:r>
            <w:r>
              <w:rPr>
                <w:bCs/>
                <w:color w:val="auto"/>
                <w:sz w:val="24"/>
                <w:u w:val="none"/>
              </w:rPr>
              <w:t>0</w:t>
            </w:r>
            <w:r>
              <w:rPr>
                <w:rFonts w:hint="eastAsia"/>
                <w:bCs/>
                <w:color w:val="auto"/>
                <w:sz w:val="24"/>
                <w:u w:val="none"/>
              </w:rPr>
              <w:t>~翌日</w:t>
            </w:r>
            <w:r>
              <w:rPr>
                <w:bCs/>
                <w:color w:val="auto"/>
                <w:sz w:val="24"/>
                <w:u w:val="none"/>
              </w:rPr>
              <w:t>6</w:t>
            </w:r>
            <w:r>
              <w:rPr>
                <w:rFonts w:hint="eastAsia"/>
                <w:bCs/>
                <w:color w:val="auto"/>
                <w:sz w:val="24"/>
                <w:u w:val="none"/>
              </w:rPr>
              <w:t>：0</w:t>
            </w:r>
            <w:r>
              <w:rPr>
                <w:bCs/>
                <w:color w:val="auto"/>
                <w:sz w:val="24"/>
                <w:u w:val="none"/>
              </w:rPr>
              <w:t>0</w:t>
            </w:r>
            <w:r>
              <w:rPr>
                <w:rFonts w:hint="eastAsia"/>
                <w:bCs/>
                <w:color w:val="auto"/>
                <w:sz w:val="24"/>
                <w:u w:val="none"/>
              </w:rPr>
              <w:t>施工，以减轻施工噪声对周围环境和声敏感目标的影响。</w:t>
            </w:r>
          </w:p>
          <w:p>
            <w:pPr>
              <w:spacing w:line="360" w:lineRule="auto"/>
              <w:ind w:firstLine="480" w:firstLineChars="200"/>
              <w:rPr>
                <w:bCs/>
                <w:color w:val="auto"/>
                <w:sz w:val="24"/>
                <w:u w:val="none"/>
              </w:rPr>
            </w:pPr>
            <w:r>
              <w:rPr>
                <w:rFonts w:hint="eastAsia"/>
                <w:bCs/>
                <w:color w:val="auto"/>
                <w:sz w:val="24"/>
                <w:u w:val="none"/>
              </w:rPr>
              <w:t>（2）合理选用低噪声设备，加强对施工机械和设备维护保养，能于室内操作的尽量设置操作间封闭隔声。</w:t>
            </w:r>
          </w:p>
          <w:p>
            <w:pPr>
              <w:spacing w:line="360" w:lineRule="auto"/>
              <w:ind w:firstLine="480" w:firstLineChars="200"/>
              <w:rPr>
                <w:bCs/>
                <w:color w:val="auto"/>
                <w:sz w:val="24"/>
                <w:u w:val="none"/>
              </w:rPr>
            </w:pPr>
            <w:r>
              <w:rPr>
                <w:rFonts w:hint="eastAsia"/>
                <w:bCs/>
                <w:color w:val="auto"/>
                <w:sz w:val="24"/>
                <w:u w:val="none"/>
              </w:rPr>
              <w:t>（3）加强现场管理，文明施工，对运输车辆的噪声通过限速和禁鸣喇叭等加以控制，减轻对运输沿途居民等的影响，必要时张贴安民告示，取得工程建设地周边居民的谅解。</w:t>
            </w:r>
          </w:p>
          <w:p>
            <w:pPr>
              <w:spacing w:line="360" w:lineRule="auto"/>
              <w:ind w:firstLine="480" w:firstLineChars="200"/>
              <w:rPr>
                <w:bCs/>
                <w:color w:val="auto"/>
                <w:sz w:val="24"/>
                <w:u w:val="none"/>
              </w:rPr>
            </w:pPr>
            <w:r>
              <w:rPr>
                <w:rFonts w:hint="eastAsia"/>
                <w:bCs/>
                <w:color w:val="auto"/>
                <w:sz w:val="24"/>
                <w:u w:val="none"/>
              </w:rPr>
              <w:t>通过采取上述措施，可在一定程度上减轻施工噪声的污染影响。同时由于本项目施工内容主要为室内装修，且主要改造区域为东面的4#厂房及办公生活区，距离敏感目标新华村二组、涝溪桥村居民约为140m，而与敏感目标相近的1#~3#厂房施工量很小，因此施工噪声对声环境敏感目标影响较小。施工结束后，施工噪声也自行消失。</w:t>
            </w:r>
          </w:p>
          <w:p>
            <w:pPr>
              <w:spacing w:line="360" w:lineRule="auto"/>
              <w:ind w:firstLine="498" w:firstLineChars="200"/>
              <w:rPr>
                <w:b/>
                <w:bCs/>
                <w:color w:val="auto"/>
                <w:spacing w:val="4"/>
                <w:sz w:val="24"/>
                <w:u w:val="none"/>
              </w:rPr>
            </w:pPr>
            <w:r>
              <w:rPr>
                <w:rFonts w:hint="eastAsia"/>
                <w:b/>
                <w:bCs/>
                <w:color w:val="auto"/>
                <w:spacing w:val="4"/>
                <w:sz w:val="24"/>
                <w:u w:val="none"/>
              </w:rPr>
              <w:t>4.1.4 固体废物</w:t>
            </w:r>
          </w:p>
          <w:p>
            <w:pPr>
              <w:spacing w:line="360" w:lineRule="auto"/>
              <w:ind w:firstLine="480" w:firstLineChars="200"/>
              <w:contextualSpacing/>
              <w:rPr>
                <w:color w:val="auto"/>
                <w:u w:val="none"/>
              </w:rPr>
            </w:pPr>
            <w:r>
              <w:rPr>
                <w:rFonts w:hint="eastAsia"/>
                <w:bCs/>
                <w:color w:val="auto"/>
                <w:sz w:val="24"/>
                <w:u w:val="none"/>
              </w:rPr>
              <w:t>项目施工过程产生的固体废物主要是建筑垃圾、废包装材料和施工人员产生的生活垃圾。主体工程施工过程中产生的建筑垃圾为一般固体废物，可回收的应进行回收再利用，不可回填、利用的应遵照按湘阴县渣土管理部门要求送至指定地点。废包装材料交由资源回收单位综合利用。施工人员生活垃圾集中收集，由环卫部门统一处理。采取上述处置措施后，施工期固体废物均能得到有效处置，有效避免二次污染的产生，不会对区域环境构成明显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66" w:hRule="atLeast"/>
        </w:trPr>
        <w:tc>
          <w:tcPr>
            <w:tcW w:w="260" w:type="dxa"/>
            <w:tcMar>
              <w:left w:w="28" w:type="dxa"/>
              <w:right w:w="28" w:type="dxa"/>
            </w:tcMar>
            <w:vAlign w:val="center"/>
          </w:tcPr>
          <w:p>
            <w:pPr>
              <w:adjustRightInd w:val="0"/>
              <w:snapToGrid w:val="0"/>
              <w:jc w:val="center"/>
              <w:rPr>
                <w:bCs/>
                <w:color w:val="auto"/>
                <w:szCs w:val="21"/>
                <w:u w:val="none"/>
              </w:rPr>
            </w:pPr>
            <w:r>
              <w:rPr>
                <w:bCs/>
                <w:color w:val="auto"/>
                <w:szCs w:val="21"/>
                <w:u w:val="none"/>
              </w:rPr>
              <w:t>营运</w:t>
            </w:r>
          </w:p>
          <w:p>
            <w:pPr>
              <w:adjustRightInd w:val="0"/>
              <w:snapToGrid w:val="0"/>
              <w:jc w:val="center"/>
              <w:rPr>
                <w:bCs/>
                <w:color w:val="auto"/>
                <w:szCs w:val="21"/>
                <w:u w:val="none"/>
              </w:rPr>
            </w:pPr>
            <w:r>
              <w:rPr>
                <w:bCs/>
                <w:color w:val="auto"/>
                <w:szCs w:val="21"/>
                <w:u w:val="none"/>
              </w:rPr>
              <w:t>期环</w:t>
            </w:r>
          </w:p>
          <w:p>
            <w:pPr>
              <w:adjustRightInd w:val="0"/>
              <w:snapToGrid w:val="0"/>
              <w:jc w:val="center"/>
              <w:rPr>
                <w:bCs/>
                <w:color w:val="auto"/>
                <w:szCs w:val="21"/>
                <w:u w:val="none"/>
              </w:rPr>
            </w:pPr>
            <w:r>
              <w:rPr>
                <w:bCs/>
                <w:color w:val="auto"/>
                <w:szCs w:val="21"/>
                <w:u w:val="none"/>
              </w:rPr>
              <w:t>境影</w:t>
            </w:r>
          </w:p>
          <w:p>
            <w:pPr>
              <w:adjustRightInd w:val="0"/>
              <w:snapToGrid w:val="0"/>
              <w:jc w:val="center"/>
              <w:rPr>
                <w:bCs/>
                <w:color w:val="auto"/>
                <w:szCs w:val="21"/>
                <w:u w:val="none"/>
              </w:rPr>
            </w:pPr>
            <w:r>
              <w:rPr>
                <w:bCs/>
                <w:color w:val="auto"/>
                <w:szCs w:val="21"/>
                <w:u w:val="none"/>
              </w:rPr>
              <w:t>响和</w:t>
            </w:r>
          </w:p>
          <w:p>
            <w:pPr>
              <w:adjustRightInd w:val="0"/>
              <w:snapToGrid w:val="0"/>
              <w:jc w:val="center"/>
              <w:rPr>
                <w:bCs/>
                <w:color w:val="auto"/>
                <w:szCs w:val="21"/>
                <w:u w:val="none"/>
              </w:rPr>
            </w:pPr>
            <w:r>
              <w:rPr>
                <w:bCs/>
                <w:color w:val="auto"/>
                <w:szCs w:val="21"/>
                <w:u w:val="none"/>
              </w:rPr>
              <w:t>保护</w:t>
            </w:r>
          </w:p>
          <w:p>
            <w:pPr>
              <w:adjustRightInd w:val="0"/>
              <w:snapToGrid w:val="0"/>
              <w:jc w:val="center"/>
              <w:rPr>
                <w:bCs/>
                <w:color w:val="auto"/>
                <w:szCs w:val="21"/>
                <w:u w:val="none"/>
              </w:rPr>
            </w:pPr>
            <w:r>
              <w:rPr>
                <w:bCs/>
                <w:color w:val="auto"/>
                <w:szCs w:val="21"/>
                <w:u w:val="none"/>
              </w:rPr>
              <w:t>措施</w:t>
            </w:r>
          </w:p>
        </w:tc>
        <w:tc>
          <w:tcPr>
            <w:tcW w:w="8565" w:type="dxa"/>
            <w:vAlign w:val="center"/>
          </w:tcPr>
          <w:p>
            <w:pPr>
              <w:tabs>
                <w:tab w:val="left" w:pos="539"/>
              </w:tabs>
              <w:snapToGrid w:val="0"/>
              <w:spacing w:line="360" w:lineRule="auto"/>
              <w:jc w:val="left"/>
              <w:rPr>
                <w:b/>
                <w:bCs/>
                <w:color w:val="auto"/>
                <w:sz w:val="24"/>
                <w:u w:val="none"/>
              </w:rPr>
            </w:pPr>
            <w:r>
              <w:rPr>
                <w:rFonts w:hint="eastAsia"/>
                <w:b/>
                <w:bCs/>
                <w:color w:val="auto"/>
                <w:sz w:val="24"/>
                <w:u w:val="none"/>
              </w:rPr>
              <w:t>4.2 营运期</w:t>
            </w:r>
            <w:r>
              <w:rPr>
                <w:b/>
                <w:bCs/>
                <w:color w:val="auto"/>
                <w:sz w:val="24"/>
                <w:u w:val="none"/>
              </w:rPr>
              <w:t>废气</w:t>
            </w:r>
            <w:r>
              <w:rPr>
                <w:rFonts w:hint="eastAsia"/>
                <w:b/>
                <w:bCs/>
                <w:color w:val="auto"/>
                <w:sz w:val="24"/>
                <w:u w:val="none"/>
              </w:rPr>
              <w:t>影响及保护措施</w:t>
            </w:r>
          </w:p>
          <w:p>
            <w:pPr>
              <w:tabs>
                <w:tab w:val="left" w:pos="539"/>
              </w:tabs>
              <w:snapToGrid w:val="0"/>
              <w:spacing w:line="360" w:lineRule="auto"/>
              <w:ind w:firstLine="480"/>
              <w:jc w:val="left"/>
              <w:rPr>
                <w:b/>
                <w:color w:val="auto"/>
                <w:sz w:val="24"/>
                <w:u w:val="none"/>
              </w:rPr>
            </w:pPr>
            <w:r>
              <w:rPr>
                <w:rFonts w:hint="eastAsia"/>
                <w:b/>
                <w:color w:val="auto"/>
                <w:sz w:val="24"/>
                <w:u w:val="none"/>
              </w:rPr>
              <w:t xml:space="preserve">4.2.1 </w:t>
            </w:r>
            <w:r>
              <w:rPr>
                <w:b/>
                <w:color w:val="auto"/>
                <w:sz w:val="24"/>
                <w:u w:val="none"/>
              </w:rPr>
              <w:t>废气产生及防治情况</w:t>
            </w:r>
          </w:p>
          <w:p>
            <w:pPr>
              <w:spacing w:line="360" w:lineRule="auto"/>
              <w:ind w:firstLine="496" w:firstLineChars="200"/>
              <w:contextualSpacing/>
              <w:rPr>
                <w:color w:val="auto"/>
                <w:spacing w:val="4"/>
                <w:sz w:val="24"/>
                <w:u w:val="none"/>
              </w:rPr>
            </w:pPr>
            <w:r>
              <w:rPr>
                <w:color w:val="auto"/>
                <w:spacing w:val="4"/>
                <w:sz w:val="24"/>
                <w:u w:val="none"/>
              </w:rPr>
              <w:t>本项目营运期产生的废气主要</w:t>
            </w:r>
            <w:r>
              <w:rPr>
                <w:rFonts w:hint="eastAsia"/>
                <w:color w:val="auto"/>
                <w:spacing w:val="4"/>
                <w:sz w:val="24"/>
                <w:u w:val="none"/>
              </w:rPr>
              <w:t>为蒸汽发生器废气、车间异味、拌料粉尘、炒制油烟及天然气燃烧废气、食堂油烟、打码废气、污水处理站恶臭、检验室废气。</w:t>
            </w:r>
          </w:p>
          <w:p>
            <w:pPr>
              <w:spacing w:line="360" w:lineRule="auto"/>
              <w:ind w:firstLine="498" w:firstLineChars="200"/>
              <w:contextualSpacing/>
              <w:rPr>
                <w:b/>
                <w:bCs/>
                <w:color w:val="auto"/>
                <w:spacing w:val="4"/>
                <w:sz w:val="24"/>
                <w:u w:val="none"/>
              </w:rPr>
            </w:pPr>
            <w:r>
              <w:rPr>
                <w:rFonts w:hint="eastAsia"/>
                <w:b/>
                <w:bCs/>
                <w:color w:val="auto"/>
                <w:spacing w:val="4"/>
                <w:sz w:val="24"/>
                <w:u w:val="none"/>
              </w:rPr>
              <w:t>（</w:t>
            </w:r>
            <w:r>
              <w:rPr>
                <w:b/>
                <w:bCs/>
                <w:color w:val="auto"/>
                <w:spacing w:val="4"/>
                <w:sz w:val="24"/>
                <w:u w:val="none"/>
              </w:rPr>
              <w:t>1</w:t>
            </w:r>
            <w:r>
              <w:rPr>
                <w:rFonts w:hint="eastAsia"/>
                <w:b/>
                <w:bCs/>
                <w:color w:val="auto"/>
                <w:spacing w:val="4"/>
                <w:sz w:val="24"/>
                <w:u w:val="none"/>
              </w:rPr>
              <w:t>）蒸汽发生器废气</w:t>
            </w:r>
          </w:p>
          <w:p>
            <w:pPr>
              <w:spacing w:line="360" w:lineRule="auto"/>
              <w:ind w:firstLine="480" w:firstLineChars="200"/>
              <w:jc w:val="left"/>
              <w:rPr>
                <w:color w:val="auto"/>
                <w:kern w:val="0"/>
                <w:sz w:val="24"/>
                <w:u w:val="none"/>
              </w:rPr>
            </w:pPr>
            <w:r>
              <w:rPr>
                <w:rFonts w:ascii="宋体" w:hAnsi="宋体"/>
                <w:bCs/>
                <w:color w:val="auto"/>
                <w:sz w:val="24"/>
                <w:u w:val="none"/>
              </w:rPr>
              <w:t>本项目设置</w:t>
            </w:r>
            <w:r>
              <w:rPr>
                <w:rFonts w:hint="eastAsia"/>
                <w:bCs/>
                <w:color w:val="auto"/>
                <w:sz w:val="24"/>
                <w:u w:val="none"/>
              </w:rPr>
              <w:t>2</w:t>
            </w:r>
            <w:r>
              <w:rPr>
                <w:rFonts w:ascii="宋体" w:hAnsi="宋体"/>
                <w:bCs/>
                <w:color w:val="auto"/>
                <w:sz w:val="24"/>
                <w:u w:val="none"/>
              </w:rPr>
              <w:t>台</w:t>
            </w:r>
            <w:r>
              <w:rPr>
                <w:rFonts w:hint="eastAsia"/>
                <w:bCs/>
                <w:color w:val="auto"/>
                <w:sz w:val="24"/>
                <w:u w:val="none"/>
              </w:rPr>
              <w:t>2</w:t>
            </w:r>
            <w:r>
              <w:rPr>
                <w:bCs/>
                <w:color w:val="auto"/>
                <w:sz w:val="24"/>
                <w:u w:val="none"/>
              </w:rPr>
              <w:t>t/h</w:t>
            </w:r>
            <w:r>
              <w:rPr>
                <w:rFonts w:ascii="宋体" w:hAnsi="宋体"/>
                <w:bCs/>
                <w:color w:val="auto"/>
                <w:sz w:val="24"/>
                <w:u w:val="none"/>
              </w:rPr>
              <w:t>的</w:t>
            </w:r>
            <w:r>
              <w:rPr>
                <w:rFonts w:hint="eastAsia" w:ascii="宋体" w:hAnsi="宋体"/>
                <w:bCs/>
                <w:color w:val="auto"/>
                <w:sz w:val="24"/>
                <w:u w:val="none"/>
              </w:rPr>
              <w:t>蒸汽发生器</w:t>
            </w:r>
            <w:r>
              <w:rPr>
                <w:rFonts w:ascii="宋体" w:hAnsi="宋体"/>
                <w:bCs/>
                <w:color w:val="auto"/>
                <w:sz w:val="24"/>
                <w:u w:val="none"/>
              </w:rPr>
              <w:t>，</w:t>
            </w:r>
            <w:r>
              <w:rPr>
                <w:rFonts w:hint="eastAsia" w:ascii="宋体" w:hAnsi="宋体"/>
                <w:bCs/>
                <w:color w:val="auto"/>
                <w:sz w:val="24"/>
                <w:u w:val="none"/>
              </w:rPr>
              <w:t>蒸汽发生器</w:t>
            </w:r>
            <w:r>
              <w:rPr>
                <w:rFonts w:hint="eastAsia" w:ascii="宋体" w:hAnsi="宋体"/>
                <w:color w:val="auto"/>
                <w:kern w:val="0"/>
                <w:sz w:val="24"/>
                <w:u w:val="none"/>
              </w:rPr>
              <w:t>天然气消耗</w:t>
            </w:r>
            <w:r>
              <w:rPr>
                <w:rFonts w:ascii="宋体" w:hAnsi="宋体"/>
                <w:color w:val="auto"/>
                <w:kern w:val="0"/>
                <w:sz w:val="24"/>
                <w:u w:val="none"/>
              </w:rPr>
              <w:t>量</w:t>
            </w:r>
            <w:r>
              <w:rPr>
                <w:rFonts w:hint="eastAsia" w:ascii="宋体" w:hAnsi="宋体"/>
                <w:color w:val="auto"/>
                <w:kern w:val="0"/>
                <w:sz w:val="24"/>
                <w:u w:val="none"/>
              </w:rPr>
              <w:t>为</w:t>
            </w:r>
            <w:r>
              <w:rPr>
                <w:color w:val="auto"/>
                <w:kern w:val="0"/>
                <w:sz w:val="24"/>
                <w:u w:val="none"/>
              </w:rPr>
              <w:t>60万m</w:t>
            </w:r>
            <w:r>
              <w:rPr>
                <w:color w:val="auto"/>
                <w:kern w:val="0"/>
                <w:sz w:val="24"/>
                <w:u w:val="none"/>
                <w:vertAlign w:val="superscript"/>
              </w:rPr>
              <w:t>3</w:t>
            </w:r>
            <w:r>
              <w:rPr>
                <w:color w:val="auto"/>
                <w:kern w:val="0"/>
                <w:sz w:val="24"/>
                <w:u w:val="none"/>
              </w:rPr>
              <w:t>/a</w:t>
            </w:r>
            <w:r>
              <w:rPr>
                <w:rFonts w:ascii="宋体" w:hAnsi="宋体"/>
                <w:color w:val="auto"/>
                <w:kern w:val="0"/>
                <w:sz w:val="24"/>
                <w:u w:val="none"/>
              </w:rPr>
              <w:t>。</w:t>
            </w:r>
            <w:r>
              <w:rPr>
                <w:rFonts w:hint="eastAsia" w:ascii="宋体" w:hAnsi="宋体"/>
                <w:color w:val="auto"/>
                <w:sz w:val="24"/>
                <w:u w:val="none"/>
              </w:rPr>
              <w:t>天然气</w:t>
            </w:r>
            <w:r>
              <w:rPr>
                <w:rFonts w:ascii="宋体" w:hAnsi="宋体"/>
                <w:color w:val="auto"/>
                <w:sz w:val="24"/>
                <w:u w:val="none"/>
              </w:rPr>
              <w:t>燃烧过程会产生颗粒物、</w:t>
            </w:r>
            <w:r>
              <w:rPr>
                <w:color w:val="auto"/>
                <w:sz w:val="24"/>
                <w:u w:val="none"/>
              </w:rPr>
              <w:t>SO</w:t>
            </w:r>
            <w:r>
              <w:rPr>
                <w:color w:val="auto"/>
                <w:sz w:val="24"/>
                <w:u w:val="none"/>
                <w:vertAlign w:val="subscript"/>
              </w:rPr>
              <w:t>2</w:t>
            </w:r>
            <w:r>
              <w:rPr>
                <w:rFonts w:ascii="宋体" w:hAnsi="宋体"/>
                <w:color w:val="auto"/>
                <w:sz w:val="24"/>
                <w:u w:val="none"/>
              </w:rPr>
              <w:t>、</w:t>
            </w:r>
            <w:r>
              <w:rPr>
                <w:color w:val="auto"/>
                <w:sz w:val="24"/>
                <w:u w:val="none"/>
              </w:rPr>
              <w:t>NOx</w:t>
            </w:r>
            <w:r>
              <w:rPr>
                <w:rFonts w:ascii="宋体" w:hAnsi="宋体"/>
                <w:color w:val="auto"/>
                <w:sz w:val="24"/>
                <w:u w:val="none"/>
              </w:rPr>
              <w:t>，</w:t>
            </w:r>
            <w:r>
              <w:rPr>
                <w:rFonts w:hint="eastAsia" w:ascii="宋体" w:hAnsi="宋体"/>
                <w:color w:val="auto"/>
                <w:sz w:val="24"/>
                <w:u w:val="none"/>
                <w:lang w:val="en-US" w:eastAsia="zh-CN"/>
              </w:rPr>
              <w:t>设备</w:t>
            </w:r>
            <w:r>
              <w:rPr>
                <w:rFonts w:ascii="宋体" w:hAnsi="宋体"/>
                <w:color w:val="auto"/>
                <w:sz w:val="24"/>
                <w:u w:val="none"/>
              </w:rPr>
              <w:t>采用低氮燃烧技术。</w:t>
            </w:r>
            <w:r>
              <w:rPr>
                <w:rFonts w:ascii="宋体" w:hAnsi="宋体"/>
                <w:color w:val="auto"/>
                <w:sz w:val="24"/>
                <w:u w:val="none"/>
              </w:rPr>
              <w:t>颗粒物、</w:t>
            </w:r>
            <w:r>
              <w:rPr>
                <w:color w:val="auto"/>
                <w:sz w:val="24"/>
                <w:u w:val="none"/>
              </w:rPr>
              <w:t>SO</w:t>
            </w:r>
            <w:r>
              <w:rPr>
                <w:color w:val="auto"/>
                <w:sz w:val="24"/>
                <w:u w:val="none"/>
                <w:vertAlign w:val="subscript"/>
              </w:rPr>
              <w:t>2</w:t>
            </w:r>
            <w:r>
              <w:rPr>
                <w:rFonts w:ascii="宋体" w:hAnsi="宋体"/>
                <w:color w:val="auto"/>
                <w:sz w:val="24"/>
                <w:u w:val="none"/>
              </w:rPr>
              <w:t>、</w:t>
            </w:r>
            <w:r>
              <w:rPr>
                <w:rFonts w:hint="eastAsia" w:ascii="宋体" w:hAnsi="宋体"/>
                <w:color w:val="auto"/>
                <w:sz w:val="24"/>
                <w:u w:val="none"/>
                <w:lang w:val="en-US" w:eastAsia="zh-CN"/>
              </w:rPr>
              <w:t>烟气量</w:t>
            </w:r>
            <w:r>
              <w:rPr>
                <w:rFonts w:hint="eastAsia"/>
                <w:color w:val="auto"/>
                <w:spacing w:val="4"/>
                <w:sz w:val="24"/>
                <w:u w:val="none"/>
              </w:rPr>
              <w:t>参照《排污许可证申请与核发技术规范锅炉》（HJ953-2018）“表F.3燃气工业锅炉的废气排污系数”以及</w:t>
            </w:r>
            <w:r>
              <w:rPr>
                <w:rFonts w:hint="eastAsia"/>
                <w:color w:val="auto"/>
                <w:spacing w:val="4"/>
                <w:sz w:val="24"/>
                <w:u w:val="none"/>
                <w:lang w:eastAsia="zh-CN"/>
              </w:rPr>
              <w:t>“</w:t>
            </w:r>
            <w:r>
              <w:rPr>
                <w:rFonts w:hint="eastAsia"/>
                <w:color w:val="auto"/>
                <w:spacing w:val="4"/>
                <w:sz w:val="24"/>
                <w:u w:val="none"/>
              </w:rPr>
              <w:t>表5基准烟气量取值表</w:t>
            </w:r>
            <w:r>
              <w:rPr>
                <w:rFonts w:hint="eastAsia"/>
                <w:color w:val="auto"/>
                <w:spacing w:val="4"/>
                <w:sz w:val="24"/>
                <w:u w:val="none"/>
                <w:lang w:eastAsia="zh-CN"/>
              </w:rPr>
              <w:t>”</w:t>
            </w:r>
            <w:r>
              <w:rPr>
                <w:rFonts w:hint="eastAsia"/>
                <w:color w:val="auto"/>
                <w:spacing w:val="4"/>
                <w:sz w:val="24"/>
                <w:u w:val="none"/>
              </w:rPr>
              <w:t>进行核算</w:t>
            </w:r>
            <w:r>
              <w:rPr>
                <w:rFonts w:hint="eastAsia"/>
                <w:color w:val="auto"/>
                <w:spacing w:val="4"/>
                <w:sz w:val="24"/>
                <w:u w:val="none"/>
                <w:lang w:eastAsia="zh-CN"/>
              </w:rPr>
              <w:t>，</w:t>
            </w:r>
            <w:r>
              <w:rPr>
                <w:color w:val="auto"/>
                <w:sz w:val="24"/>
                <w:u w:val="none"/>
              </w:rPr>
              <w:t>NOx</w:t>
            </w:r>
            <w:r>
              <w:rPr>
                <w:rFonts w:hint="eastAsia"/>
                <w:color w:val="auto"/>
                <w:sz w:val="24"/>
                <w:u w:val="none"/>
                <w:lang w:val="en-US" w:eastAsia="zh-CN"/>
              </w:rPr>
              <w:t>参照《排放源统计调查产排污核算方法和系数手册》中的“工业锅炉（热力供应）行业系数手册”进行核算</w:t>
            </w:r>
            <w:r>
              <w:rPr>
                <w:rFonts w:ascii="宋体" w:hAnsi="宋体"/>
                <w:color w:val="auto"/>
                <w:kern w:val="0"/>
                <w:sz w:val="24"/>
                <w:u w:val="none"/>
              </w:rPr>
              <w:t>，具体产</w:t>
            </w:r>
            <w:r>
              <w:rPr>
                <w:rFonts w:hint="eastAsia" w:ascii="宋体" w:hAnsi="宋体"/>
                <w:color w:val="auto"/>
                <w:kern w:val="0"/>
                <w:sz w:val="24"/>
                <w:u w:val="none"/>
              </w:rPr>
              <w:t>排</w:t>
            </w:r>
            <w:r>
              <w:rPr>
                <w:rFonts w:ascii="宋体" w:hAnsi="宋体"/>
                <w:color w:val="auto"/>
                <w:kern w:val="0"/>
                <w:sz w:val="24"/>
                <w:u w:val="none"/>
              </w:rPr>
              <w:t>污系数详见表</w:t>
            </w:r>
            <w:r>
              <w:rPr>
                <w:color w:val="auto"/>
                <w:kern w:val="0"/>
                <w:sz w:val="24"/>
                <w:u w:val="none"/>
              </w:rPr>
              <w:t>4.</w:t>
            </w:r>
            <w:r>
              <w:rPr>
                <w:rFonts w:hint="eastAsia"/>
                <w:color w:val="auto"/>
                <w:kern w:val="0"/>
                <w:sz w:val="24"/>
                <w:u w:val="none"/>
              </w:rPr>
              <w:t>2</w:t>
            </w:r>
            <w:r>
              <w:rPr>
                <w:color w:val="auto"/>
                <w:kern w:val="0"/>
                <w:sz w:val="24"/>
                <w:u w:val="none"/>
              </w:rPr>
              <w:t>-1</w:t>
            </w:r>
            <w:r>
              <w:rPr>
                <w:rFonts w:ascii="宋体" w:hAnsi="宋体"/>
                <w:color w:val="auto"/>
                <w:kern w:val="0"/>
                <w:sz w:val="24"/>
                <w:u w:val="none"/>
              </w:rPr>
              <w:t>。</w:t>
            </w:r>
          </w:p>
          <w:p>
            <w:pPr>
              <w:jc w:val="center"/>
              <w:rPr>
                <w:color w:val="auto"/>
                <w:u w:val="none"/>
              </w:rPr>
            </w:pPr>
            <w:r>
              <w:rPr>
                <w:b/>
                <w:color w:val="auto"/>
                <w:spacing w:val="4"/>
                <w:sz w:val="24"/>
                <w:u w:val="none"/>
              </w:rPr>
              <w:t>表</w:t>
            </w:r>
            <w:r>
              <w:rPr>
                <w:rFonts w:hint="eastAsia"/>
                <w:b/>
                <w:color w:val="auto"/>
                <w:spacing w:val="4"/>
                <w:sz w:val="24"/>
                <w:u w:val="none"/>
              </w:rPr>
              <w:t>4.2-1</w:t>
            </w:r>
            <w:r>
              <w:rPr>
                <w:b/>
                <w:color w:val="auto"/>
                <w:spacing w:val="4"/>
                <w:sz w:val="24"/>
                <w:u w:val="none"/>
              </w:rPr>
              <w:t xml:space="preserve">   燃气工业锅炉的废气产排污系数</w:t>
            </w:r>
            <w:r>
              <w:rPr>
                <w:rFonts w:hint="eastAsia"/>
                <w:b/>
                <w:color w:val="auto"/>
                <w:spacing w:val="4"/>
                <w:sz w:val="24"/>
                <w:u w:val="none"/>
              </w:rPr>
              <w:t>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1047"/>
              <w:gridCol w:w="1047"/>
              <w:gridCol w:w="1047"/>
              <w:gridCol w:w="1186"/>
              <w:gridCol w:w="1530"/>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8" w:type="pct"/>
                  <w:vAlign w:val="center"/>
                </w:tcPr>
                <w:p>
                  <w:pPr>
                    <w:contextualSpacing/>
                    <w:jc w:val="center"/>
                    <w:rPr>
                      <w:b/>
                      <w:bCs/>
                      <w:color w:val="auto"/>
                      <w:spacing w:val="4"/>
                      <w:szCs w:val="21"/>
                      <w:u w:val="none"/>
                    </w:rPr>
                  </w:pPr>
                  <w:r>
                    <w:rPr>
                      <w:rFonts w:hint="eastAsia"/>
                      <w:b/>
                      <w:bCs/>
                      <w:color w:val="auto"/>
                      <w:spacing w:val="4"/>
                      <w:szCs w:val="21"/>
                      <w:u w:val="none"/>
                    </w:rPr>
                    <w:t>产品名称</w:t>
                  </w:r>
                </w:p>
              </w:tc>
              <w:tc>
                <w:tcPr>
                  <w:tcW w:w="628" w:type="pct"/>
                  <w:vAlign w:val="center"/>
                </w:tcPr>
                <w:p>
                  <w:pPr>
                    <w:contextualSpacing/>
                    <w:jc w:val="center"/>
                    <w:rPr>
                      <w:b/>
                      <w:bCs/>
                      <w:color w:val="auto"/>
                      <w:spacing w:val="4"/>
                      <w:szCs w:val="21"/>
                      <w:u w:val="none"/>
                    </w:rPr>
                  </w:pPr>
                  <w:r>
                    <w:rPr>
                      <w:rFonts w:hint="eastAsia"/>
                      <w:b/>
                      <w:bCs/>
                      <w:color w:val="auto"/>
                      <w:spacing w:val="4"/>
                      <w:szCs w:val="21"/>
                      <w:u w:val="none"/>
                    </w:rPr>
                    <w:t>原料名</w:t>
                  </w:r>
                </w:p>
                <w:p>
                  <w:pPr>
                    <w:contextualSpacing/>
                    <w:jc w:val="center"/>
                    <w:rPr>
                      <w:b/>
                      <w:bCs/>
                      <w:color w:val="auto"/>
                      <w:spacing w:val="4"/>
                      <w:szCs w:val="21"/>
                      <w:u w:val="none"/>
                    </w:rPr>
                  </w:pPr>
                  <w:r>
                    <w:rPr>
                      <w:rFonts w:hint="eastAsia"/>
                      <w:b/>
                      <w:bCs/>
                      <w:color w:val="auto"/>
                      <w:spacing w:val="4"/>
                      <w:szCs w:val="21"/>
                      <w:u w:val="none"/>
                    </w:rPr>
                    <w:t>称</w:t>
                  </w:r>
                </w:p>
              </w:tc>
              <w:tc>
                <w:tcPr>
                  <w:tcW w:w="628" w:type="pct"/>
                  <w:vAlign w:val="center"/>
                </w:tcPr>
                <w:p>
                  <w:pPr>
                    <w:contextualSpacing/>
                    <w:jc w:val="center"/>
                    <w:rPr>
                      <w:b/>
                      <w:bCs/>
                      <w:color w:val="auto"/>
                      <w:spacing w:val="4"/>
                      <w:szCs w:val="21"/>
                      <w:u w:val="none"/>
                    </w:rPr>
                  </w:pPr>
                  <w:r>
                    <w:rPr>
                      <w:rFonts w:hint="eastAsia"/>
                      <w:b/>
                      <w:bCs/>
                      <w:color w:val="auto"/>
                      <w:spacing w:val="4"/>
                      <w:szCs w:val="21"/>
                      <w:u w:val="none"/>
                    </w:rPr>
                    <w:t>污染物指标</w:t>
                  </w:r>
                </w:p>
              </w:tc>
              <w:tc>
                <w:tcPr>
                  <w:tcW w:w="628" w:type="pct"/>
                  <w:vAlign w:val="center"/>
                </w:tcPr>
                <w:p>
                  <w:pPr>
                    <w:contextualSpacing/>
                    <w:jc w:val="center"/>
                    <w:rPr>
                      <w:b/>
                      <w:bCs/>
                      <w:color w:val="auto"/>
                      <w:spacing w:val="4"/>
                      <w:szCs w:val="21"/>
                      <w:u w:val="none"/>
                    </w:rPr>
                  </w:pPr>
                  <w:r>
                    <w:rPr>
                      <w:rFonts w:hint="eastAsia"/>
                      <w:b/>
                      <w:bCs/>
                      <w:color w:val="auto"/>
                      <w:spacing w:val="4"/>
                      <w:szCs w:val="21"/>
                      <w:u w:val="none"/>
                    </w:rPr>
                    <w:t>单位</w:t>
                  </w:r>
                </w:p>
              </w:tc>
              <w:tc>
                <w:tcPr>
                  <w:tcW w:w="711" w:type="pct"/>
                  <w:vAlign w:val="center"/>
                </w:tcPr>
                <w:p>
                  <w:pPr>
                    <w:contextualSpacing/>
                    <w:jc w:val="center"/>
                    <w:rPr>
                      <w:b/>
                      <w:bCs/>
                      <w:color w:val="auto"/>
                      <w:spacing w:val="4"/>
                      <w:szCs w:val="21"/>
                      <w:u w:val="none"/>
                    </w:rPr>
                  </w:pPr>
                  <w:r>
                    <w:rPr>
                      <w:rFonts w:hint="eastAsia"/>
                      <w:b/>
                      <w:bCs/>
                      <w:color w:val="auto"/>
                      <w:spacing w:val="4"/>
                      <w:szCs w:val="21"/>
                      <w:u w:val="none"/>
                    </w:rPr>
                    <w:t>产污系数</w:t>
                  </w:r>
                </w:p>
              </w:tc>
              <w:tc>
                <w:tcPr>
                  <w:tcW w:w="917" w:type="pct"/>
                  <w:vAlign w:val="center"/>
                </w:tcPr>
                <w:p>
                  <w:pPr>
                    <w:contextualSpacing/>
                    <w:jc w:val="center"/>
                    <w:rPr>
                      <w:b/>
                      <w:bCs/>
                      <w:color w:val="auto"/>
                      <w:spacing w:val="4"/>
                      <w:szCs w:val="21"/>
                      <w:u w:val="none"/>
                    </w:rPr>
                  </w:pPr>
                  <w:r>
                    <w:rPr>
                      <w:rFonts w:hint="eastAsia"/>
                      <w:b/>
                      <w:bCs/>
                      <w:color w:val="auto"/>
                      <w:spacing w:val="4"/>
                      <w:szCs w:val="21"/>
                      <w:u w:val="none"/>
                    </w:rPr>
                    <w:t>末端治理技术</w:t>
                  </w:r>
                </w:p>
              </w:tc>
              <w:tc>
                <w:tcPr>
                  <w:tcW w:w="860" w:type="pct"/>
                  <w:vAlign w:val="center"/>
                </w:tcPr>
                <w:p>
                  <w:pPr>
                    <w:contextualSpacing/>
                    <w:jc w:val="center"/>
                    <w:rPr>
                      <w:b/>
                      <w:bCs/>
                      <w:color w:val="auto"/>
                      <w:spacing w:val="4"/>
                      <w:szCs w:val="21"/>
                      <w:u w:val="none"/>
                    </w:rPr>
                  </w:pPr>
                  <w:r>
                    <w:rPr>
                      <w:rFonts w:hint="eastAsia"/>
                      <w:b/>
                      <w:bCs/>
                      <w:color w:val="auto"/>
                      <w:spacing w:val="4"/>
                      <w:szCs w:val="21"/>
                      <w:u w:val="none"/>
                    </w:rPr>
                    <w:t>排污系数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8" w:type="pct"/>
                  <w:vMerge w:val="restart"/>
                  <w:vAlign w:val="center"/>
                </w:tcPr>
                <w:p>
                  <w:pPr>
                    <w:contextualSpacing/>
                    <w:jc w:val="center"/>
                    <w:rPr>
                      <w:color w:val="auto"/>
                      <w:spacing w:val="4"/>
                      <w:szCs w:val="21"/>
                      <w:u w:val="none"/>
                    </w:rPr>
                  </w:pPr>
                  <w:r>
                    <w:rPr>
                      <w:rFonts w:hint="eastAsia"/>
                      <w:color w:val="auto"/>
                      <w:spacing w:val="4"/>
                      <w:szCs w:val="21"/>
                      <w:u w:val="none"/>
                    </w:rPr>
                    <w:t>蒸气/热水/其他</w:t>
                  </w:r>
                </w:p>
              </w:tc>
              <w:tc>
                <w:tcPr>
                  <w:tcW w:w="628" w:type="pct"/>
                  <w:vMerge w:val="restart"/>
                  <w:vAlign w:val="center"/>
                </w:tcPr>
                <w:p>
                  <w:pPr>
                    <w:contextualSpacing/>
                    <w:jc w:val="center"/>
                    <w:rPr>
                      <w:color w:val="auto"/>
                      <w:spacing w:val="4"/>
                      <w:szCs w:val="21"/>
                      <w:u w:val="none"/>
                    </w:rPr>
                  </w:pPr>
                  <w:r>
                    <w:rPr>
                      <w:color w:val="auto"/>
                      <w:spacing w:val="4"/>
                      <w:szCs w:val="21"/>
                      <w:u w:val="none"/>
                    </w:rPr>
                    <w:t>天然气</w:t>
                  </w:r>
                </w:p>
              </w:tc>
              <w:tc>
                <w:tcPr>
                  <w:tcW w:w="628" w:type="pct"/>
                  <w:vAlign w:val="center"/>
                </w:tcPr>
                <w:p>
                  <w:pPr>
                    <w:contextualSpacing/>
                    <w:jc w:val="center"/>
                    <w:rPr>
                      <w:color w:val="auto"/>
                      <w:spacing w:val="4"/>
                      <w:szCs w:val="21"/>
                      <w:u w:val="none"/>
                    </w:rPr>
                  </w:pPr>
                  <w:r>
                    <w:rPr>
                      <w:rFonts w:hint="eastAsia"/>
                      <w:color w:val="auto"/>
                      <w:spacing w:val="4"/>
                      <w:szCs w:val="21"/>
                      <w:u w:val="none"/>
                    </w:rPr>
                    <w:t>基准烟气量</w:t>
                  </w:r>
                </w:p>
              </w:tc>
              <w:tc>
                <w:tcPr>
                  <w:tcW w:w="628" w:type="pct"/>
                  <w:vAlign w:val="center"/>
                </w:tcPr>
                <w:p>
                  <w:pPr>
                    <w:contextualSpacing/>
                    <w:jc w:val="center"/>
                    <w:rPr>
                      <w:color w:val="auto"/>
                      <w:spacing w:val="4"/>
                      <w:szCs w:val="21"/>
                      <w:u w:val="none"/>
                      <w:vertAlign w:val="superscript"/>
                    </w:rPr>
                  </w:pPr>
                  <w:r>
                    <w:rPr>
                      <w:color w:val="auto"/>
                      <w:spacing w:val="4"/>
                      <w:szCs w:val="21"/>
                      <w:u w:val="none"/>
                    </w:rPr>
                    <w:t>Nm</w:t>
                  </w:r>
                  <w:r>
                    <w:rPr>
                      <w:color w:val="auto"/>
                      <w:spacing w:val="4"/>
                      <w:szCs w:val="21"/>
                      <w:u w:val="none"/>
                      <w:vertAlign w:val="superscript"/>
                    </w:rPr>
                    <w:t>3</w:t>
                  </w:r>
                  <w:r>
                    <w:rPr>
                      <w:color w:val="auto"/>
                      <w:spacing w:val="4"/>
                      <w:szCs w:val="21"/>
                      <w:u w:val="none"/>
                    </w:rPr>
                    <w:t>/m</w:t>
                  </w:r>
                  <w:r>
                    <w:rPr>
                      <w:rFonts w:hint="eastAsia"/>
                      <w:color w:val="auto"/>
                      <w:spacing w:val="4"/>
                      <w:szCs w:val="21"/>
                      <w:u w:val="none"/>
                      <w:vertAlign w:val="superscript"/>
                    </w:rPr>
                    <w:t>3</w:t>
                  </w:r>
                </w:p>
              </w:tc>
              <w:tc>
                <w:tcPr>
                  <w:tcW w:w="711" w:type="pct"/>
                  <w:vAlign w:val="center"/>
                </w:tcPr>
                <w:p>
                  <w:pPr>
                    <w:contextualSpacing/>
                    <w:jc w:val="center"/>
                    <w:rPr>
                      <w:color w:val="auto"/>
                      <w:spacing w:val="4"/>
                      <w:szCs w:val="21"/>
                      <w:u w:val="none"/>
                    </w:rPr>
                  </w:pPr>
                  <w:r>
                    <w:rPr>
                      <w:rFonts w:hint="eastAsia"/>
                      <w:color w:val="auto"/>
                      <w:spacing w:val="4"/>
                      <w:szCs w:val="21"/>
                      <w:u w:val="none"/>
                    </w:rPr>
                    <w:t>11.74</w:t>
                  </w:r>
                </w:p>
              </w:tc>
              <w:tc>
                <w:tcPr>
                  <w:tcW w:w="917" w:type="pct"/>
                  <w:vAlign w:val="center"/>
                </w:tcPr>
                <w:p>
                  <w:pPr>
                    <w:contextualSpacing/>
                    <w:jc w:val="center"/>
                    <w:rPr>
                      <w:color w:val="auto"/>
                      <w:spacing w:val="4"/>
                      <w:szCs w:val="21"/>
                      <w:u w:val="none"/>
                    </w:rPr>
                  </w:pPr>
                  <w:r>
                    <w:rPr>
                      <w:rFonts w:hint="eastAsia"/>
                      <w:color w:val="auto"/>
                      <w:spacing w:val="4"/>
                      <w:szCs w:val="21"/>
                      <w:u w:val="none"/>
                    </w:rPr>
                    <w:t>/</w:t>
                  </w:r>
                </w:p>
              </w:tc>
              <w:tc>
                <w:tcPr>
                  <w:tcW w:w="860" w:type="pct"/>
                  <w:vAlign w:val="center"/>
                </w:tcPr>
                <w:p>
                  <w:pPr>
                    <w:contextualSpacing/>
                    <w:jc w:val="center"/>
                    <w:rPr>
                      <w:color w:val="auto"/>
                      <w:spacing w:val="4"/>
                      <w:szCs w:val="21"/>
                      <w:u w:val="none"/>
                    </w:rPr>
                  </w:pPr>
                  <w:r>
                    <w:rPr>
                      <w:rFonts w:hint="eastAsia"/>
                      <w:color w:val="auto"/>
                      <w:spacing w:val="4"/>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8" w:type="pct"/>
                  <w:vMerge w:val="continue"/>
                  <w:vAlign w:val="center"/>
                </w:tcPr>
                <w:p>
                  <w:pPr>
                    <w:contextualSpacing/>
                    <w:jc w:val="center"/>
                    <w:rPr>
                      <w:color w:val="auto"/>
                      <w:spacing w:val="4"/>
                      <w:szCs w:val="21"/>
                      <w:u w:val="none"/>
                    </w:rPr>
                  </w:pPr>
                </w:p>
              </w:tc>
              <w:tc>
                <w:tcPr>
                  <w:tcW w:w="628" w:type="pct"/>
                  <w:vMerge w:val="continue"/>
                  <w:vAlign w:val="center"/>
                </w:tcPr>
                <w:p>
                  <w:pPr>
                    <w:contextualSpacing/>
                    <w:jc w:val="center"/>
                    <w:rPr>
                      <w:color w:val="auto"/>
                      <w:spacing w:val="4"/>
                      <w:szCs w:val="21"/>
                      <w:u w:val="none"/>
                    </w:rPr>
                  </w:pPr>
                </w:p>
              </w:tc>
              <w:tc>
                <w:tcPr>
                  <w:tcW w:w="628" w:type="pct"/>
                  <w:vAlign w:val="center"/>
                </w:tcPr>
                <w:p>
                  <w:pPr>
                    <w:contextualSpacing/>
                    <w:jc w:val="center"/>
                    <w:rPr>
                      <w:color w:val="auto"/>
                      <w:spacing w:val="4"/>
                      <w:szCs w:val="21"/>
                      <w:u w:val="none"/>
                    </w:rPr>
                  </w:pPr>
                  <w:r>
                    <w:rPr>
                      <w:rFonts w:hint="eastAsia"/>
                      <w:color w:val="auto"/>
                      <w:spacing w:val="4"/>
                      <w:szCs w:val="21"/>
                      <w:u w:val="none"/>
                    </w:rPr>
                    <w:t>二氧化硫</w:t>
                  </w:r>
                </w:p>
              </w:tc>
              <w:tc>
                <w:tcPr>
                  <w:tcW w:w="628" w:type="pct"/>
                  <w:vAlign w:val="center"/>
                </w:tcPr>
                <w:p>
                  <w:pPr>
                    <w:contextualSpacing/>
                    <w:jc w:val="center"/>
                    <w:rPr>
                      <w:color w:val="auto"/>
                      <w:spacing w:val="4"/>
                      <w:szCs w:val="21"/>
                      <w:u w:val="none"/>
                    </w:rPr>
                  </w:pPr>
                  <w:r>
                    <w:rPr>
                      <w:rFonts w:hint="eastAsia"/>
                      <w:color w:val="auto"/>
                      <w:spacing w:val="4"/>
                      <w:szCs w:val="21"/>
                      <w:u w:val="none"/>
                    </w:rPr>
                    <w:t>kg/万m</w:t>
                  </w:r>
                  <w:r>
                    <w:rPr>
                      <w:rFonts w:hint="eastAsia"/>
                      <w:color w:val="auto"/>
                      <w:spacing w:val="4"/>
                      <w:szCs w:val="21"/>
                      <w:u w:val="none"/>
                      <w:vertAlign w:val="superscript"/>
                    </w:rPr>
                    <w:t>3</w:t>
                  </w:r>
                  <w:r>
                    <w:rPr>
                      <w:rFonts w:hint="eastAsia"/>
                      <w:color w:val="auto"/>
                      <w:spacing w:val="4"/>
                      <w:szCs w:val="21"/>
                      <w:u w:val="none"/>
                    </w:rPr>
                    <w:t>-燃料</w:t>
                  </w:r>
                </w:p>
              </w:tc>
              <w:tc>
                <w:tcPr>
                  <w:tcW w:w="711" w:type="pct"/>
                  <w:vAlign w:val="center"/>
                </w:tcPr>
                <w:p>
                  <w:pPr>
                    <w:contextualSpacing/>
                    <w:jc w:val="center"/>
                    <w:rPr>
                      <w:color w:val="auto"/>
                      <w:spacing w:val="4"/>
                      <w:szCs w:val="21"/>
                      <w:u w:val="none"/>
                    </w:rPr>
                  </w:pPr>
                  <w:r>
                    <w:rPr>
                      <w:rFonts w:hint="eastAsia"/>
                      <w:color w:val="auto"/>
                      <w:spacing w:val="4"/>
                      <w:szCs w:val="21"/>
                      <w:u w:val="none"/>
                    </w:rPr>
                    <w:t>0.02</w:t>
                  </w:r>
                  <w:r>
                    <w:rPr>
                      <w:color w:val="auto"/>
                      <w:spacing w:val="4"/>
                      <w:szCs w:val="21"/>
                      <w:u w:val="none"/>
                    </w:rPr>
                    <w:t>S</w:t>
                  </w:r>
                </w:p>
              </w:tc>
              <w:tc>
                <w:tcPr>
                  <w:tcW w:w="917" w:type="pct"/>
                  <w:vAlign w:val="center"/>
                </w:tcPr>
                <w:p>
                  <w:pPr>
                    <w:contextualSpacing/>
                    <w:jc w:val="center"/>
                    <w:rPr>
                      <w:color w:val="auto"/>
                      <w:spacing w:val="4"/>
                      <w:szCs w:val="21"/>
                      <w:u w:val="none"/>
                    </w:rPr>
                  </w:pPr>
                  <w:r>
                    <w:rPr>
                      <w:rFonts w:hint="eastAsia"/>
                      <w:color w:val="auto"/>
                      <w:spacing w:val="4"/>
                      <w:szCs w:val="21"/>
                      <w:u w:val="none"/>
                    </w:rPr>
                    <w:t>直排</w:t>
                  </w:r>
                </w:p>
              </w:tc>
              <w:tc>
                <w:tcPr>
                  <w:tcW w:w="860" w:type="pct"/>
                  <w:vAlign w:val="center"/>
                </w:tcPr>
                <w:p>
                  <w:pPr>
                    <w:contextualSpacing/>
                    <w:jc w:val="center"/>
                    <w:rPr>
                      <w:color w:val="auto"/>
                      <w:spacing w:val="4"/>
                      <w:szCs w:val="21"/>
                      <w:u w:val="none"/>
                    </w:rPr>
                  </w:pPr>
                  <w:r>
                    <w:rPr>
                      <w:rFonts w:hint="eastAsia"/>
                      <w:color w:val="auto"/>
                      <w:spacing w:val="4"/>
                      <w:szCs w:val="21"/>
                      <w:u w:val="none"/>
                    </w:rPr>
                    <w:t>0.02</w:t>
                  </w:r>
                  <w:r>
                    <w:rPr>
                      <w:color w:val="auto"/>
                      <w:spacing w:val="4"/>
                      <w:szCs w:val="21"/>
                      <w:u w:val="none"/>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8" w:type="pct"/>
                  <w:vMerge w:val="continue"/>
                  <w:vAlign w:val="center"/>
                </w:tcPr>
                <w:p>
                  <w:pPr>
                    <w:contextualSpacing/>
                    <w:jc w:val="center"/>
                    <w:rPr>
                      <w:color w:val="auto"/>
                      <w:spacing w:val="4"/>
                      <w:szCs w:val="21"/>
                      <w:u w:val="none"/>
                    </w:rPr>
                  </w:pPr>
                </w:p>
              </w:tc>
              <w:tc>
                <w:tcPr>
                  <w:tcW w:w="628" w:type="pct"/>
                  <w:vMerge w:val="continue"/>
                  <w:vAlign w:val="center"/>
                </w:tcPr>
                <w:p>
                  <w:pPr>
                    <w:contextualSpacing/>
                    <w:jc w:val="center"/>
                    <w:rPr>
                      <w:color w:val="auto"/>
                      <w:spacing w:val="4"/>
                      <w:szCs w:val="21"/>
                      <w:u w:val="none"/>
                    </w:rPr>
                  </w:pPr>
                </w:p>
              </w:tc>
              <w:tc>
                <w:tcPr>
                  <w:tcW w:w="628" w:type="pct"/>
                  <w:vAlign w:val="center"/>
                </w:tcPr>
                <w:p>
                  <w:pPr>
                    <w:contextualSpacing/>
                    <w:jc w:val="center"/>
                    <w:rPr>
                      <w:color w:val="auto"/>
                      <w:spacing w:val="4"/>
                      <w:szCs w:val="21"/>
                      <w:u w:val="none"/>
                    </w:rPr>
                  </w:pPr>
                  <w:r>
                    <w:rPr>
                      <w:rFonts w:hint="eastAsia"/>
                      <w:color w:val="auto"/>
                      <w:spacing w:val="4"/>
                      <w:szCs w:val="21"/>
                      <w:u w:val="none"/>
                    </w:rPr>
                    <w:t>颗粒物</w:t>
                  </w:r>
                </w:p>
              </w:tc>
              <w:tc>
                <w:tcPr>
                  <w:tcW w:w="628" w:type="pct"/>
                  <w:vAlign w:val="center"/>
                </w:tcPr>
                <w:p>
                  <w:pPr>
                    <w:contextualSpacing/>
                    <w:jc w:val="center"/>
                    <w:rPr>
                      <w:color w:val="auto"/>
                      <w:spacing w:val="4"/>
                      <w:szCs w:val="21"/>
                      <w:u w:val="none"/>
                    </w:rPr>
                  </w:pPr>
                  <w:r>
                    <w:rPr>
                      <w:rFonts w:hint="eastAsia"/>
                      <w:color w:val="auto"/>
                      <w:spacing w:val="4"/>
                      <w:szCs w:val="21"/>
                      <w:u w:val="none"/>
                    </w:rPr>
                    <w:t>kg/万m</w:t>
                  </w:r>
                  <w:r>
                    <w:rPr>
                      <w:rFonts w:hint="eastAsia"/>
                      <w:color w:val="auto"/>
                      <w:spacing w:val="4"/>
                      <w:szCs w:val="21"/>
                      <w:u w:val="none"/>
                      <w:vertAlign w:val="superscript"/>
                    </w:rPr>
                    <w:t>3</w:t>
                  </w:r>
                  <w:r>
                    <w:rPr>
                      <w:rFonts w:hint="eastAsia"/>
                      <w:color w:val="auto"/>
                      <w:spacing w:val="4"/>
                      <w:szCs w:val="21"/>
                      <w:u w:val="none"/>
                    </w:rPr>
                    <w:t>-燃料</w:t>
                  </w:r>
                </w:p>
              </w:tc>
              <w:tc>
                <w:tcPr>
                  <w:tcW w:w="711" w:type="pct"/>
                  <w:vAlign w:val="center"/>
                </w:tcPr>
                <w:p>
                  <w:pPr>
                    <w:contextualSpacing/>
                    <w:jc w:val="center"/>
                    <w:rPr>
                      <w:color w:val="auto"/>
                      <w:spacing w:val="4"/>
                      <w:szCs w:val="21"/>
                      <w:u w:val="none"/>
                    </w:rPr>
                  </w:pPr>
                  <w:r>
                    <w:rPr>
                      <w:rFonts w:hint="eastAsia"/>
                      <w:color w:val="auto"/>
                      <w:spacing w:val="4"/>
                      <w:szCs w:val="21"/>
                      <w:u w:val="none"/>
                    </w:rPr>
                    <w:t>2.86</w:t>
                  </w:r>
                </w:p>
              </w:tc>
              <w:tc>
                <w:tcPr>
                  <w:tcW w:w="917" w:type="pct"/>
                  <w:vAlign w:val="center"/>
                </w:tcPr>
                <w:p>
                  <w:pPr>
                    <w:contextualSpacing/>
                    <w:jc w:val="center"/>
                    <w:rPr>
                      <w:color w:val="auto"/>
                      <w:spacing w:val="4"/>
                      <w:szCs w:val="21"/>
                      <w:u w:val="none"/>
                    </w:rPr>
                  </w:pPr>
                  <w:r>
                    <w:rPr>
                      <w:rFonts w:hint="eastAsia"/>
                      <w:color w:val="auto"/>
                      <w:spacing w:val="4"/>
                      <w:szCs w:val="21"/>
                      <w:u w:val="none"/>
                    </w:rPr>
                    <w:t>直排</w:t>
                  </w:r>
                </w:p>
              </w:tc>
              <w:tc>
                <w:tcPr>
                  <w:tcW w:w="860" w:type="pct"/>
                  <w:vAlign w:val="center"/>
                </w:tcPr>
                <w:p>
                  <w:pPr>
                    <w:contextualSpacing/>
                    <w:jc w:val="center"/>
                    <w:rPr>
                      <w:color w:val="auto"/>
                      <w:spacing w:val="4"/>
                      <w:szCs w:val="21"/>
                      <w:u w:val="none"/>
                    </w:rPr>
                  </w:pPr>
                  <w:r>
                    <w:rPr>
                      <w:rFonts w:hint="eastAsia"/>
                      <w:color w:val="auto"/>
                      <w:spacing w:val="4"/>
                      <w:szCs w:val="21"/>
                      <w:u w:val="none"/>
                    </w:rPr>
                    <w:t>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8" w:type="pct"/>
                  <w:vMerge w:val="continue"/>
                  <w:vAlign w:val="center"/>
                </w:tcPr>
                <w:p>
                  <w:pPr>
                    <w:contextualSpacing/>
                    <w:jc w:val="center"/>
                    <w:rPr>
                      <w:color w:val="auto"/>
                      <w:spacing w:val="4"/>
                      <w:szCs w:val="21"/>
                      <w:u w:val="none"/>
                    </w:rPr>
                  </w:pPr>
                </w:p>
              </w:tc>
              <w:tc>
                <w:tcPr>
                  <w:tcW w:w="628" w:type="pct"/>
                  <w:vMerge w:val="continue"/>
                  <w:vAlign w:val="center"/>
                </w:tcPr>
                <w:p>
                  <w:pPr>
                    <w:contextualSpacing/>
                    <w:jc w:val="center"/>
                    <w:rPr>
                      <w:color w:val="auto"/>
                      <w:spacing w:val="4"/>
                      <w:szCs w:val="21"/>
                      <w:u w:val="none"/>
                    </w:rPr>
                  </w:pPr>
                </w:p>
              </w:tc>
              <w:tc>
                <w:tcPr>
                  <w:tcW w:w="628" w:type="pct"/>
                  <w:vAlign w:val="center"/>
                </w:tcPr>
                <w:p>
                  <w:pPr>
                    <w:contextualSpacing/>
                    <w:jc w:val="center"/>
                    <w:rPr>
                      <w:color w:val="auto"/>
                      <w:spacing w:val="4"/>
                      <w:szCs w:val="21"/>
                      <w:u w:val="none"/>
                    </w:rPr>
                  </w:pPr>
                  <w:r>
                    <w:rPr>
                      <w:rFonts w:hint="eastAsia"/>
                      <w:color w:val="auto"/>
                      <w:spacing w:val="4"/>
                      <w:szCs w:val="21"/>
                      <w:u w:val="none"/>
                    </w:rPr>
                    <w:t>氮氧化物</w:t>
                  </w:r>
                  <w:r>
                    <w:rPr>
                      <w:rFonts w:hint="eastAsia"/>
                      <w:bCs/>
                      <w:snapToGrid w:val="0"/>
                      <w:color w:val="auto"/>
                      <w:spacing w:val="-2"/>
                      <w:szCs w:val="20"/>
                      <w:u w:val="none"/>
                    </w:rPr>
                    <w:t>（低氮燃烧-国际领先）</w:t>
                  </w:r>
                </w:p>
              </w:tc>
              <w:tc>
                <w:tcPr>
                  <w:tcW w:w="628" w:type="pct"/>
                  <w:vAlign w:val="center"/>
                </w:tcPr>
                <w:p>
                  <w:pPr>
                    <w:contextualSpacing/>
                    <w:jc w:val="center"/>
                    <w:rPr>
                      <w:color w:val="auto"/>
                      <w:spacing w:val="4"/>
                      <w:szCs w:val="21"/>
                      <w:u w:val="none"/>
                    </w:rPr>
                  </w:pPr>
                  <w:r>
                    <w:rPr>
                      <w:rFonts w:hint="eastAsia"/>
                      <w:color w:val="auto"/>
                      <w:spacing w:val="4"/>
                      <w:szCs w:val="21"/>
                      <w:u w:val="none"/>
                    </w:rPr>
                    <w:t>kg/万m</w:t>
                  </w:r>
                  <w:r>
                    <w:rPr>
                      <w:rFonts w:hint="eastAsia"/>
                      <w:color w:val="auto"/>
                      <w:spacing w:val="4"/>
                      <w:szCs w:val="21"/>
                      <w:u w:val="none"/>
                      <w:vertAlign w:val="superscript"/>
                    </w:rPr>
                    <w:t>3</w:t>
                  </w:r>
                  <w:r>
                    <w:rPr>
                      <w:rFonts w:hint="eastAsia"/>
                      <w:color w:val="auto"/>
                      <w:spacing w:val="4"/>
                      <w:szCs w:val="21"/>
                      <w:u w:val="none"/>
                    </w:rPr>
                    <w:t>-燃料</w:t>
                  </w:r>
                </w:p>
              </w:tc>
              <w:tc>
                <w:tcPr>
                  <w:tcW w:w="711" w:type="pct"/>
                  <w:vAlign w:val="center"/>
                </w:tcPr>
                <w:p>
                  <w:pPr>
                    <w:contextualSpacing/>
                    <w:jc w:val="center"/>
                    <w:rPr>
                      <w:rFonts w:hint="default" w:eastAsia="宋体"/>
                      <w:color w:val="auto"/>
                      <w:spacing w:val="4"/>
                      <w:szCs w:val="21"/>
                      <w:u w:val="none"/>
                      <w:lang w:val="en-US" w:eastAsia="zh-CN"/>
                    </w:rPr>
                  </w:pPr>
                  <w:r>
                    <w:rPr>
                      <w:rFonts w:hint="eastAsia"/>
                      <w:color w:val="auto"/>
                      <w:spacing w:val="4"/>
                      <w:szCs w:val="21"/>
                      <w:u w:val="none"/>
                      <w:lang w:val="en-US" w:eastAsia="zh-CN"/>
                    </w:rPr>
                    <w:t>3.03</w:t>
                  </w:r>
                </w:p>
              </w:tc>
              <w:tc>
                <w:tcPr>
                  <w:tcW w:w="917" w:type="pct"/>
                  <w:vAlign w:val="center"/>
                </w:tcPr>
                <w:p>
                  <w:pPr>
                    <w:contextualSpacing/>
                    <w:jc w:val="center"/>
                    <w:rPr>
                      <w:color w:val="auto"/>
                      <w:spacing w:val="4"/>
                      <w:szCs w:val="21"/>
                      <w:u w:val="none"/>
                    </w:rPr>
                  </w:pPr>
                  <w:r>
                    <w:rPr>
                      <w:rFonts w:hint="eastAsia"/>
                      <w:color w:val="auto"/>
                      <w:spacing w:val="4"/>
                      <w:szCs w:val="21"/>
                      <w:u w:val="none"/>
                    </w:rPr>
                    <w:t>低氮燃烧</w:t>
                  </w:r>
                </w:p>
              </w:tc>
              <w:tc>
                <w:tcPr>
                  <w:tcW w:w="860" w:type="pct"/>
                  <w:vAlign w:val="center"/>
                </w:tcPr>
                <w:p>
                  <w:pPr>
                    <w:contextualSpacing/>
                    <w:jc w:val="center"/>
                    <w:rPr>
                      <w:rFonts w:hint="default" w:eastAsia="宋体"/>
                      <w:color w:val="auto"/>
                      <w:spacing w:val="4"/>
                      <w:szCs w:val="21"/>
                      <w:u w:val="none"/>
                      <w:lang w:val="en-US" w:eastAsia="zh-CN"/>
                    </w:rPr>
                  </w:pPr>
                  <w:r>
                    <w:rPr>
                      <w:rFonts w:hint="eastAsia"/>
                      <w:color w:val="auto"/>
                      <w:spacing w:val="4"/>
                      <w:szCs w:val="21"/>
                      <w:u w:val="none"/>
                      <w:lang w:val="en-US" w:eastAsia="zh-CN"/>
                    </w:rPr>
                    <w:t>3.03</w:t>
                  </w:r>
                </w:p>
              </w:tc>
            </w:tr>
          </w:tbl>
          <w:p>
            <w:pPr>
              <w:spacing w:line="360" w:lineRule="auto"/>
              <w:ind w:firstLine="422" w:firstLineChars="200"/>
              <w:jc w:val="left"/>
              <w:rPr>
                <w:b/>
                <w:bCs/>
                <w:color w:val="auto"/>
                <w:szCs w:val="21"/>
                <w:u w:val="none"/>
              </w:rPr>
            </w:pPr>
            <w:r>
              <w:rPr>
                <w:b/>
                <w:bCs/>
                <w:color w:val="auto"/>
                <w:szCs w:val="21"/>
                <w:u w:val="none"/>
              </w:rPr>
              <w:t>注：</w:t>
            </w:r>
            <w:r>
              <w:rPr>
                <w:rFonts w:ascii="Cambria Math" w:hAnsi="Cambria Math" w:cs="Cambria Math"/>
                <w:b/>
                <w:bCs/>
                <w:color w:val="auto"/>
                <w:szCs w:val="21"/>
                <w:u w:val="none"/>
              </w:rPr>
              <w:t>①</w:t>
            </w:r>
            <w:r>
              <w:rPr>
                <w:b/>
                <w:bCs/>
                <w:color w:val="auto"/>
                <w:szCs w:val="21"/>
                <w:u w:val="none"/>
              </w:rPr>
              <w:t>基准烟气量根据天然气基准烟气量公式进行计算，V</w:t>
            </w:r>
            <w:r>
              <w:rPr>
                <w:b/>
                <w:bCs/>
                <w:color w:val="auto"/>
                <w:szCs w:val="21"/>
                <w:u w:val="none"/>
                <w:vertAlign w:val="subscript"/>
              </w:rPr>
              <w:t>gy</w:t>
            </w:r>
            <w:r>
              <w:rPr>
                <w:b/>
                <w:bCs/>
                <w:color w:val="auto"/>
                <w:szCs w:val="21"/>
                <w:u w:val="none"/>
              </w:rPr>
              <w:t>=0.285Q</w:t>
            </w:r>
            <w:r>
              <w:rPr>
                <w:b/>
                <w:bCs/>
                <w:color w:val="auto"/>
                <w:szCs w:val="21"/>
                <w:u w:val="none"/>
                <w:vertAlign w:val="subscript"/>
              </w:rPr>
              <w:t>net</w:t>
            </w:r>
            <w:r>
              <w:rPr>
                <w:b/>
                <w:bCs/>
                <w:color w:val="auto"/>
                <w:szCs w:val="21"/>
                <w:u w:val="none"/>
              </w:rPr>
              <w:t>+0.343，Q</w:t>
            </w:r>
            <w:r>
              <w:rPr>
                <w:b/>
                <w:bCs/>
                <w:color w:val="auto"/>
                <w:szCs w:val="21"/>
                <w:u w:val="none"/>
                <w:vertAlign w:val="subscript"/>
              </w:rPr>
              <w:t>net</w:t>
            </w:r>
            <w:r>
              <w:rPr>
                <w:rFonts w:hint="eastAsia"/>
                <w:b/>
                <w:bCs/>
                <w:color w:val="auto"/>
                <w:szCs w:val="21"/>
                <w:u w:val="none"/>
              </w:rPr>
              <w:t>：</w:t>
            </w:r>
            <w:r>
              <w:rPr>
                <w:b/>
                <w:bCs/>
                <w:color w:val="auto"/>
                <w:szCs w:val="21"/>
                <w:u w:val="none"/>
              </w:rPr>
              <w:t>气体燃料低位发热量（MJ/m</w:t>
            </w:r>
            <w:r>
              <w:rPr>
                <w:b/>
                <w:bCs/>
                <w:color w:val="auto"/>
                <w:szCs w:val="21"/>
                <w:u w:val="none"/>
                <w:vertAlign w:val="subscript"/>
              </w:rPr>
              <w:t>3</w:t>
            </w:r>
            <w:r>
              <w:rPr>
                <w:b/>
                <w:bCs/>
                <w:color w:val="auto"/>
                <w:szCs w:val="21"/>
                <w:u w:val="none"/>
              </w:rPr>
              <w:t>），天然气低位发热量约为33.47~46.02MJ/m</w:t>
            </w:r>
            <w:r>
              <w:rPr>
                <w:b/>
                <w:bCs/>
                <w:color w:val="auto"/>
                <w:szCs w:val="21"/>
                <w:u w:val="none"/>
                <w:vertAlign w:val="subscript"/>
              </w:rPr>
              <w:t>3</w:t>
            </w:r>
            <w:r>
              <w:rPr>
                <w:b/>
                <w:bCs/>
                <w:color w:val="auto"/>
                <w:szCs w:val="21"/>
                <w:u w:val="none"/>
              </w:rPr>
              <w:t>，按</w:t>
            </w:r>
            <w:r>
              <w:rPr>
                <w:rFonts w:hint="eastAsia"/>
                <w:b/>
                <w:bCs/>
                <w:color w:val="auto"/>
                <w:szCs w:val="21"/>
                <w:u w:val="none"/>
              </w:rPr>
              <w:t>中间值40</w:t>
            </w:r>
            <w:r>
              <w:rPr>
                <w:b/>
                <w:bCs/>
                <w:color w:val="auto"/>
                <w:szCs w:val="21"/>
                <w:u w:val="none"/>
              </w:rPr>
              <w:t>MJ/m</w:t>
            </w:r>
            <w:r>
              <w:rPr>
                <w:b/>
                <w:bCs/>
                <w:color w:val="auto"/>
                <w:szCs w:val="21"/>
                <w:u w:val="none"/>
                <w:vertAlign w:val="subscript"/>
              </w:rPr>
              <w:t>3</w:t>
            </w:r>
            <w:r>
              <w:rPr>
                <w:b/>
                <w:bCs/>
                <w:color w:val="auto"/>
                <w:szCs w:val="21"/>
                <w:u w:val="none"/>
              </w:rPr>
              <w:t>进行核算，基准烟气量为</w:t>
            </w:r>
            <w:r>
              <w:rPr>
                <w:rFonts w:hint="eastAsia"/>
                <w:b/>
                <w:bCs/>
                <w:color w:val="auto"/>
                <w:szCs w:val="21"/>
                <w:u w:val="none"/>
              </w:rPr>
              <w:t>11.74</w:t>
            </w:r>
            <w:r>
              <w:rPr>
                <w:b/>
                <w:bCs/>
                <w:color w:val="auto"/>
                <w:szCs w:val="21"/>
                <w:u w:val="none"/>
              </w:rPr>
              <w:t>Nm</w:t>
            </w:r>
            <w:r>
              <w:rPr>
                <w:b/>
                <w:bCs/>
                <w:color w:val="auto"/>
                <w:szCs w:val="21"/>
                <w:u w:val="none"/>
                <w:vertAlign w:val="superscript"/>
              </w:rPr>
              <w:t>3</w:t>
            </w:r>
            <w:r>
              <w:rPr>
                <w:b/>
                <w:bCs/>
                <w:color w:val="auto"/>
                <w:szCs w:val="21"/>
                <w:u w:val="none"/>
              </w:rPr>
              <w:t>/m</w:t>
            </w:r>
            <w:r>
              <w:rPr>
                <w:b/>
                <w:bCs/>
                <w:color w:val="auto"/>
                <w:szCs w:val="21"/>
                <w:u w:val="none"/>
                <w:vertAlign w:val="superscript"/>
              </w:rPr>
              <w:t>3</w:t>
            </w:r>
            <w:r>
              <w:rPr>
                <w:b/>
                <w:bCs/>
                <w:color w:val="auto"/>
                <w:szCs w:val="21"/>
                <w:u w:val="none"/>
              </w:rPr>
              <w:t>；</w:t>
            </w:r>
            <w:r>
              <w:rPr>
                <w:rFonts w:ascii="Cambria Math" w:hAnsi="Cambria Math" w:cs="Cambria Math"/>
                <w:b/>
                <w:bCs/>
                <w:color w:val="auto"/>
                <w:szCs w:val="21"/>
                <w:u w:val="none"/>
              </w:rPr>
              <w:t>②</w:t>
            </w:r>
            <w:r>
              <w:rPr>
                <w:b/>
                <w:bCs/>
                <w:color w:val="auto"/>
                <w:szCs w:val="21"/>
                <w:u w:val="none"/>
              </w:rPr>
              <w:t>天然气的含硫量参考《天然气》（GB17820-2020）中二类商品天然气的最低技术要求100mg/m</w:t>
            </w:r>
            <w:r>
              <w:rPr>
                <w:b/>
                <w:bCs/>
                <w:color w:val="auto"/>
                <w:szCs w:val="21"/>
                <w:u w:val="none"/>
                <w:vertAlign w:val="superscript"/>
              </w:rPr>
              <w:t>3</w:t>
            </w:r>
            <w:r>
              <w:rPr>
                <w:b/>
                <w:bCs/>
                <w:color w:val="auto"/>
                <w:szCs w:val="21"/>
                <w:u w:val="none"/>
              </w:rPr>
              <w:t>计。</w:t>
            </w:r>
          </w:p>
          <w:p>
            <w:pPr>
              <w:spacing w:line="360" w:lineRule="auto"/>
              <w:ind w:firstLine="480" w:firstLineChars="200"/>
              <w:jc w:val="left"/>
              <w:rPr>
                <w:color w:val="auto"/>
                <w:sz w:val="24"/>
                <w:u w:val="none"/>
              </w:rPr>
            </w:pPr>
            <w:r>
              <w:rPr>
                <w:rFonts w:hint="eastAsia" w:ascii="宋体" w:hAnsi="宋体"/>
                <w:color w:val="auto"/>
                <w:sz w:val="24"/>
                <w:u w:val="none"/>
              </w:rPr>
              <w:t>经计算，蒸汽发生器废气</w:t>
            </w:r>
            <w:r>
              <w:rPr>
                <w:rFonts w:ascii="宋体" w:hAnsi="宋体"/>
                <w:color w:val="auto"/>
                <w:kern w:val="0"/>
                <w:sz w:val="24"/>
                <w:u w:val="none"/>
              </w:rPr>
              <w:t>排放情况见下表。</w:t>
            </w:r>
          </w:p>
          <w:p>
            <w:pPr>
              <w:widowControl/>
              <w:autoSpaceDE w:val="0"/>
              <w:spacing w:line="360" w:lineRule="auto"/>
              <w:ind w:firstLine="422" w:firstLineChars="200"/>
              <w:jc w:val="center"/>
              <w:rPr>
                <w:b/>
                <w:bCs/>
                <w:color w:val="auto"/>
                <w:kern w:val="0"/>
                <w:szCs w:val="21"/>
                <w:u w:val="none"/>
              </w:rPr>
            </w:pPr>
            <w:r>
              <w:rPr>
                <w:rFonts w:ascii="宋体" w:hAnsi="宋体"/>
                <w:b/>
                <w:bCs/>
                <w:color w:val="auto"/>
                <w:kern w:val="0"/>
                <w:szCs w:val="21"/>
                <w:u w:val="none"/>
              </w:rPr>
              <w:t>表</w:t>
            </w:r>
            <w:r>
              <w:rPr>
                <w:b/>
                <w:bCs/>
                <w:color w:val="auto"/>
                <w:kern w:val="0"/>
                <w:szCs w:val="21"/>
                <w:u w:val="none"/>
              </w:rPr>
              <w:t>4.</w:t>
            </w:r>
            <w:r>
              <w:rPr>
                <w:rFonts w:hint="eastAsia"/>
                <w:b/>
                <w:bCs/>
                <w:color w:val="auto"/>
                <w:kern w:val="0"/>
                <w:szCs w:val="21"/>
                <w:u w:val="none"/>
              </w:rPr>
              <w:t>2</w:t>
            </w:r>
            <w:r>
              <w:rPr>
                <w:b/>
                <w:bCs/>
                <w:color w:val="auto"/>
                <w:kern w:val="0"/>
                <w:szCs w:val="21"/>
                <w:u w:val="none"/>
              </w:rPr>
              <w:t xml:space="preserve">-2  </w:t>
            </w:r>
            <w:r>
              <w:rPr>
                <w:rFonts w:hint="eastAsia" w:ascii="宋体" w:hAnsi="宋体"/>
                <w:b/>
                <w:bCs/>
                <w:color w:val="auto"/>
                <w:kern w:val="0"/>
                <w:szCs w:val="21"/>
                <w:u w:val="none"/>
              </w:rPr>
              <w:t>蒸汽发生器</w:t>
            </w:r>
            <w:r>
              <w:rPr>
                <w:rFonts w:ascii="宋体" w:hAnsi="宋体"/>
                <w:b/>
                <w:bCs/>
                <w:color w:val="auto"/>
                <w:kern w:val="0"/>
                <w:szCs w:val="21"/>
                <w:u w:val="none"/>
              </w:rPr>
              <w:t>废气</w:t>
            </w:r>
            <w:r>
              <w:rPr>
                <w:rFonts w:hint="eastAsia" w:ascii="宋体" w:hAnsi="宋体"/>
                <w:b/>
                <w:bCs/>
                <w:color w:val="auto"/>
                <w:kern w:val="0"/>
                <w:szCs w:val="21"/>
                <w:u w:val="none"/>
              </w:rPr>
              <w:t>污染物排放</w:t>
            </w:r>
            <w:r>
              <w:rPr>
                <w:rFonts w:ascii="宋体" w:hAnsi="宋体"/>
                <w:b/>
                <w:bCs/>
                <w:color w:val="auto"/>
                <w:kern w:val="0"/>
                <w:szCs w:val="21"/>
                <w:u w:val="none"/>
              </w:rPr>
              <w:t>情况一览表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1633"/>
              <w:gridCol w:w="2055"/>
              <w:gridCol w:w="1333"/>
              <w:gridCol w:w="1328"/>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kern w:val="0"/>
                      <w:sz w:val="21"/>
                      <w:szCs w:val="21"/>
                      <w:u w:val="none"/>
                    </w:rPr>
                  </w:pPr>
                  <w:r>
                    <w:rPr>
                      <w:b/>
                      <w:bCs/>
                      <w:color w:val="auto"/>
                      <w:kern w:val="0"/>
                      <w:sz w:val="21"/>
                      <w:szCs w:val="21"/>
                      <w:u w:val="none"/>
                    </w:rPr>
                    <w:t>污染物</w:t>
                  </w:r>
                </w:p>
              </w:tc>
              <w:tc>
                <w:tcPr>
                  <w:tcW w:w="979"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b/>
                      <w:bCs/>
                      <w:color w:val="auto"/>
                      <w:kern w:val="0"/>
                      <w:sz w:val="21"/>
                      <w:szCs w:val="21"/>
                      <w:u w:val="none"/>
                    </w:rPr>
                  </w:pPr>
                  <w:r>
                    <w:rPr>
                      <w:rFonts w:hint="eastAsia" w:ascii="宋体" w:hAnsi="宋体" w:cs="宋体"/>
                      <w:b/>
                      <w:bCs/>
                      <w:color w:val="auto"/>
                      <w:kern w:val="0"/>
                      <w:sz w:val="21"/>
                      <w:szCs w:val="21"/>
                      <w:u w:val="none"/>
                    </w:rPr>
                    <w:t>排放量</w:t>
                  </w:r>
                  <w:r>
                    <w:rPr>
                      <w:b/>
                      <w:bCs/>
                      <w:color w:val="auto"/>
                      <w:kern w:val="0"/>
                      <w:sz w:val="21"/>
                      <w:szCs w:val="21"/>
                      <w:u w:val="none"/>
                    </w:rPr>
                    <w:t>（</w:t>
                  </w:r>
                  <w:r>
                    <w:rPr>
                      <w:rFonts w:eastAsia="Times New Roman"/>
                      <w:b/>
                      <w:bCs/>
                      <w:color w:val="auto"/>
                      <w:kern w:val="0"/>
                      <w:sz w:val="21"/>
                      <w:szCs w:val="21"/>
                      <w:u w:val="none"/>
                    </w:rPr>
                    <w:t xml:space="preserve"> t/a</w:t>
                  </w:r>
                  <w:r>
                    <w:rPr>
                      <w:b/>
                      <w:bCs/>
                      <w:color w:val="auto"/>
                      <w:kern w:val="0"/>
                      <w:sz w:val="21"/>
                      <w:szCs w:val="21"/>
                      <w:u w:val="none"/>
                    </w:rPr>
                    <w:t>）</w:t>
                  </w:r>
                </w:p>
              </w:tc>
              <w:tc>
                <w:tcPr>
                  <w:tcW w:w="123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b/>
                      <w:bCs/>
                      <w:color w:val="auto"/>
                      <w:kern w:val="0"/>
                      <w:sz w:val="21"/>
                      <w:szCs w:val="21"/>
                      <w:u w:val="none"/>
                    </w:rPr>
                  </w:pPr>
                  <w:r>
                    <w:rPr>
                      <w:b/>
                      <w:bCs/>
                      <w:color w:val="auto"/>
                      <w:kern w:val="0"/>
                      <w:sz w:val="21"/>
                      <w:szCs w:val="21"/>
                      <w:u w:val="none"/>
                    </w:rPr>
                    <w:t>排放速率（kg/h）</w:t>
                  </w:r>
                </w:p>
              </w:tc>
              <w:tc>
                <w:tcPr>
                  <w:tcW w:w="799"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宋体" w:hAnsi="宋体" w:cs="宋体"/>
                      <w:b/>
                      <w:bCs/>
                      <w:color w:val="auto"/>
                      <w:kern w:val="0"/>
                      <w:sz w:val="21"/>
                      <w:szCs w:val="21"/>
                      <w:u w:val="none"/>
                    </w:rPr>
                  </w:pPr>
                  <w:r>
                    <w:rPr>
                      <w:rFonts w:hint="eastAsia" w:ascii="宋体" w:hAnsi="宋体" w:cs="宋体"/>
                      <w:b/>
                      <w:bCs/>
                      <w:color w:val="auto"/>
                      <w:kern w:val="0"/>
                      <w:sz w:val="21"/>
                      <w:szCs w:val="21"/>
                      <w:u w:val="none"/>
                    </w:rPr>
                    <w:t>排放浓度</w:t>
                  </w:r>
                </w:p>
                <w:p>
                  <w:pPr>
                    <w:widowControl/>
                    <w:tabs>
                      <w:tab w:val="left" w:pos="1050"/>
                    </w:tabs>
                    <w:autoSpaceDE w:val="0"/>
                    <w:jc w:val="center"/>
                    <w:rPr>
                      <w:rFonts w:eastAsia="Times New Roman"/>
                      <w:b/>
                      <w:bCs/>
                      <w:color w:val="auto"/>
                      <w:kern w:val="0"/>
                      <w:sz w:val="21"/>
                      <w:szCs w:val="21"/>
                      <w:u w:val="none"/>
                    </w:rPr>
                  </w:pPr>
                  <w:r>
                    <w:rPr>
                      <w:b/>
                      <w:bCs/>
                      <w:color w:val="auto"/>
                      <w:kern w:val="0"/>
                      <w:sz w:val="21"/>
                      <w:szCs w:val="21"/>
                      <w:u w:val="none"/>
                    </w:rPr>
                    <w:t>（</w:t>
                  </w:r>
                  <w:r>
                    <w:rPr>
                      <w:rFonts w:eastAsia="Times New Roman"/>
                      <w:b/>
                      <w:bCs/>
                      <w:color w:val="auto"/>
                      <w:kern w:val="0"/>
                      <w:sz w:val="21"/>
                      <w:szCs w:val="21"/>
                      <w:u w:val="none"/>
                    </w:rPr>
                    <w:t>mg/m</w:t>
                  </w:r>
                  <w:r>
                    <w:rPr>
                      <w:rFonts w:eastAsia="Times New Roman"/>
                      <w:b/>
                      <w:bCs/>
                      <w:color w:val="auto"/>
                      <w:kern w:val="0"/>
                      <w:sz w:val="21"/>
                      <w:szCs w:val="21"/>
                      <w:u w:val="none"/>
                      <w:vertAlign w:val="superscript"/>
                    </w:rPr>
                    <w:t>3</w:t>
                  </w:r>
                  <w:r>
                    <w:rPr>
                      <w:b/>
                      <w:bCs/>
                      <w:color w:val="auto"/>
                      <w:kern w:val="0"/>
                      <w:sz w:val="21"/>
                      <w:szCs w:val="21"/>
                      <w:u w:val="none"/>
                    </w:rPr>
                    <w:t>）</w:t>
                  </w:r>
                </w:p>
              </w:tc>
              <w:tc>
                <w:tcPr>
                  <w:tcW w:w="79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b/>
                      <w:bCs/>
                      <w:color w:val="auto"/>
                      <w:kern w:val="0"/>
                      <w:sz w:val="21"/>
                      <w:szCs w:val="21"/>
                      <w:u w:val="none"/>
                    </w:rPr>
                  </w:pPr>
                  <w:r>
                    <w:rPr>
                      <w:b/>
                      <w:bCs/>
                      <w:color w:val="auto"/>
                      <w:kern w:val="0"/>
                      <w:sz w:val="21"/>
                      <w:szCs w:val="21"/>
                      <w:u w:val="none"/>
                    </w:rPr>
                    <w:t>排放标准</w:t>
                  </w:r>
                </w:p>
                <w:p>
                  <w:pPr>
                    <w:widowControl/>
                    <w:tabs>
                      <w:tab w:val="left" w:pos="1050"/>
                    </w:tabs>
                    <w:autoSpaceDE w:val="0"/>
                    <w:jc w:val="center"/>
                    <w:rPr>
                      <w:b/>
                      <w:bCs/>
                      <w:color w:val="auto"/>
                      <w:kern w:val="0"/>
                      <w:sz w:val="21"/>
                      <w:szCs w:val="21"/>
                      <w:u w:val="none"/>
                    </w:rPr>
                  </w:pPr>
                  <w:r>
                    <w:rPr>
                      <w:b/>
                      <w:bCs/>
                      <w:color w:val="auto"/>
                      <w:kern w:val="0"/>
                      <w:sz w:val="21"/>
                      <w:szCs w:val="21"/>
                      <w:u w:val="none"/>
                    </w:rPr>
                    <w:t>（</w:t>
                  </w:r>
                  <w:r>
                    <w:rPr>
                      <w:rFonts w:eastAsia="Times New Roman"/>
                      <w:b/>
                      <w:bCs/>
                      <w:color w:val="auto"/>
                      <w:kern w:val="0"/>
                      <w:sz w:val="21"/>
                      <w:szCs w:val="21"/>
                      <w:u w:val="none"/>
                    </w:rPr>
                    <w:t>mg/m</w:t>
                  </w:r>
                  <w:r>
                    <w:rPr>
                      <w:rFonts w:eastAsia="Times New Roman"/>
                      <w:b/>
                      <w:bCs/>
                      <w:color w:val="auto"/>
                      <w:kern w:val="0"/>
                      <w:sz w:val="21"/>
                      <w:szCs w:val="21"/>
                      <w:u w:val="none"/>
                      <w:vertAlign w:val="superscript"/>
                    </w:rPr>
                    <w:t>3</w:t>
                  </w:r>
                  <w:r>
                    <w:rPr>
                      <w:b/>
                      <w:bCs/>
                      <w:color w:val="auto"/>
                      <w:kern w:val="0"/>
                      <w:sz w:val="21"/>
                      <w:szCs w:val="21"/>
                      <w:u w:val="none"/>
                    </w:rPr>
                    <w:t>）</w:t>
                  </w:r>
                </w:p>
              </w:tc>
              <w:tc>
                <w:tcPr>
                  <w:tcW w:w="652" w:type="pct"/>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kern w:val="0"/>
                      <w:sz w:val="21"/>
                      <w:szCs w:val="21"/>
                      <w:u w:val="none"/>
                    </w:rPr>
                  </w:pPr>
                  <w:r>
                    <w:rPr>
                      <w:b/>
                      <w:bCs/>
                      <w:color w:val="auto"/>
                      <w:kern w:val="0"/>
                      <w:sz w:val="21"/>
                      <w:szCs w:val="21"/>
                      <w:u w:val="none"/>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color w:val="auto"/>
                      <w:kern w:val="0"/>
                      <w:sz w:val="21"/>
                      <w:szCs w:val="21"/>
                      <w:u w:val="none"/>
                    </w:rPr>
                    <w:t>烟气量</w:t>
                  </w:r>
                </w:p>
              </w:tc>
              <w:tc>
                <w:tcPr>
                  <w:tcW w:w="979"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eastAsia="Times New Roman"/>
                      <w:color w:val="auto"/>
                      <w:kern w:val="0"/>
                      <w:sz w:val="21"/>
                      <w:szCs w:val="21"/>
                      <w:u w:val="none"/>
                    </w:rPr>
                  </w:pPr>
                  <w:r>
                    <w:rPr>
                      <w:rFonts w:hint="eastAsia"/>
                      <w:color w:val="auto"/>
                      <w:sz w:val="21"/>
                      <w:szCs w:val="21"/>
                      <w:u w:val="none"/>
                    </w:rPr>
                    <w:t>704.4万m</w:t>
                  </w:r>
                  <w:r>
                    <w:rPr>
                      <w:rFonts w:hint="eastAsia"/>
                      <w:color w:val="auto"/>
                      <w:sz w:val="21"/>
                      <w:szCs w:val="21"/>
                      <w:u w:val="none"/>
                      <w:vertAlign w:val="superscript"/>
                    </w:rPr>
                    <w:t>3</w:t>
                  </w:r>
                  <w:r>
                    <w:rPr>
                      <w:rFonts w:hint="eastAsia"/>
                      <w:color w:val="auto"/>
                      <w:sz w:val="21"/>
                      <w:szCs w:val="21"/>
                      <w:u w:val="none"/>
                    </w:rPr>
                    <w:t>/a</w:t>
                  </w:r>
                </w:p>
              </w:tc>
              <w:tc>
                <w:tcPr>
                  <w:tcW w:w="123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color w:val="auto"/>
                      <w:sz w:val="21"/>
                      <w:szCs w:val="21"/>
                      <w:u w:val="none"/>
                    </w:rPr>
                    <w:t>3522m</w:t>
                  </w:r>
                  <w:r>
                    <w:rPr>
                      <w:rFonts w:hint="eastAsia"/>
                      <w:color w:val="auto"/>
                      <w:sz w:val="21"/>
                      <w:szCs w:val="21"/>
                      <w:u w:val="none"/>
                      <w:vertAlign w:val="superscript"/>
                    </w:rPr>
                    <w:t>3</w:t>
                  </w:r>
                  <w:r>
                    <w:rPr>
                      <w:rFonts w:hint="eastAsia"/>
                      <w:color w:val="auto"/>
                      <w:sz w:val="21"/>
                      <w:szCs w:val="21"/>
                      <w:u w:val="none"/>
                    </w:rPr>
                    <w:t>/h</w:t>
                  </w:r>
                </w:p>
              </w:tc>
              <w:tc>
                <w:tcPr>
                  <w:tcW w:w="799"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heme="minorEastAsia"/>
                      <w:color w:val="auto"/>
                      <w:kern w:val="0"/>
                      <w:sz w:val="21"/>
                      <w:szCs w:val="21"/>
                      <w:u w:val="none"/>
                    </w:rPr>
                  </w:pPr>
                  <w:r>
                    <w:rPr>
                      <w:rFonts w:hint="eastAsia" w:eastAsiaTheme="minorEastAsia"/>
                      <w:color w:val="auto"/>
                      <w:kern w:val="0"/>
                      <w:sz w:val="21"/>
                      <w:szCs w:val="21"/>
                      <w:u w:val="none"/>
                    </w:rPr>
                    <w:t>/</w:t>
                  </w:r>
                </w:p>
              </w:tc>
              <w:tc>
                <w:tcPr>
                  <w:tcW w:w="79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heme="minorEastAsia"/>
                      <w:color w:val="auto"/>
                      <w:kern w:val="0"/>
                      <w:sz w:val="21"/>
                      <w:szCs w:val="21"/>
                      <w:u w:val="none"/>
                    </w:rPr>
                  </w:pPr>
                  <w:r>
                    <w:rPr>
                      <w:rFonts w:hint="eastAsia" w:eastAsiaTheme="minorEastAsia"/>
                      <w:color w:val="auto"/>
                      <w:kern w:val="0"/>
                      <w:sz w:val="21"/>
                      <w:szCs w:val="21"/>
                      <w:u w:val="none"/>
                    </w:rPr>
                    <w:t>/</w:t>
                  </w:r>
                </w:p>
              </w:tc>
              <w:tc>
                <w:tcPr>
                  <w:tcW w:w="65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heme="minorEastAsia"/>
                      <w:color w:val="auto"/>
                      <w:kern w:val="0"/>
                      <w:sz w:val="21"/>
                      <w:szCs w:val="21"/>
                      <w:u w:val="none"/>
                    </w:rPr>
                  </w:pPr>
                  <w:r>
                    <w:rPr>
                      <w:rFonts w:hint="eastAsia" w:eastAsiaTheme="minorEastAsia"/>
                      <w:color w:val="auto"/>
                      <w:kern w:val="0"/>
                      <w:sz w:val="21"/>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ascii="宋体" w:hAnsi="宋体" w:cs="宋体"/>
                      <w:color w:val="auto"/>
                      <w:kern w:val="0"/>
                      <w:sz w:val="21"/>
                      <w:szCs w:val="21"/>
                      <w:u w:val="none"/>
                    </w:rPr>
                    <w:t>颗粒物</w:t>
                  </w:r>
                </w:p>
              </w:tc>
              <w:tc>
                <w:tcPr>
                  <w:tcW w:w="979"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eastAsia="Times New Roman"/>
                      <w:color w:val="auto"/>
                      <w:kern w:val="0"/>
                      <w:sz w:val="21"/>
                      <w:szCs w:val="21"/>
                      <w:u w:val="none"/>
                    </w:rPr>
                  </w:pPr>
                  <w:r>
                    <w:rPr>
                      <w:rFonts w:hint="eastAsia"/>
                      <w:color w:val="auto"/>
                      <w:sz w:val="21"/>
                      <w:szCs w:val="21"/>
                      <w:u w:val="none"/>
                    </w:rPr>
                    <w:t>0.12</w:t>
                  </w:r>
                </w:p>
              </w:tc>
              <w:tc>
                <w:tcPr>
                  <w:tcW w:w="123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color w:val="auto"/>
                      <w:sz w:val="21"/>
                      <w:szCs w:val="21"/>
                      <w:u w:val="none"/>
                    </w:rPr>
                    <w:t>0.060</w:t>
                  </w:r>
                </w:p>
              </w:tc>
              <w:tc>
                <w:tcPr>
                  <w:tcW w:w="799"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color w:val="auto"/>
                      <w:sz w:val="21"/>
                      <w:szCs w:val="21"/>
                      <w:u w:val="none"/>
                    </w:rPr>
                    <w:t>17.04</w:t>
                  </w:r>
                </w:p>
              </w:tc>
              <w:tc>
                <w:tcPr>
                  <w:tcW w:w="79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heme="minorEastAsia"/>
                      <w:color w:val="auto"/>
                      <w:kern w:val="0"/>
                      <w:sz w:val="21"/>
                      <w:szCs w:val="21"/>
                      <w:u w:val="none"/>
                    </w:rPr>
                  </w:pPr>
                  <w:r>
                    <w:rPr>
                      <w:rFonts w:hint="eastAsia" w:eastAsiaTheme="minorEastAsia"/>
                      <w:color w:val="auto"/>
                      <w:kern w:val="0"/>
                      <w:sz w:val="21"/>
                      <w:szCs w:val="21"/>
                      <w:u w:val="none"/>
                    </w:rPr>
                    <w:t>20</w:t>
                  </w:r>
                </w:p>
              </w:tc>
              <w:tc>
                <w:tcPr>
                  <w:tcW w:w="65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ascii="宋体" w:hAnsi="宋体" w:cs="宋体"/>
                      <w:color w:val="auto"/>
                      <w:kern w:val="0"/>
                      <w:sz w:val="21"/>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eastAsia="Times New Roman"/>
                      <w:color w:val="auto"/>
                      <w:kern w:val="0"/>
                      <w:sz w:val="21"/>
                      <w:szCs w:val="21"/>
                      <w:u w:val="none"/>
                    </w:rPr>
                    <w:t>SO</w:t>
                  </w:r>
                  <w:r>
                    <w:rPr>
                      <w:rFonts w:eastAsia="Times New Roman"/>
                      <w:color w:val="auto"/>
                      <w:kern w:val="0"/>
                      <w:sz w:val="21"/>
                      <w:szCs w:val="21"/>
                      <w:u w:val="none"/>
                      <w:vertAlign w:val="subscript"/>
                    </w:rPr>
                    <w:t>2</w:t>
                  </w:r>
                </w:p>
              </w:tc>
              <w:tc>
                <w:tcPr>
                  <w:tcW w:w="979"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eastAsia="Times New Roman"/>
                      <w:color w:val="auto"/>
                      <w:kern w:val="0"/>
                      <w:sz w:val="21"/>
                      <w:szCs w:val="21"/>
                      <w:u w:val="none"/>
                    </w:rPr>
                  </w:pPr>
                  <w:r>
                    <w:rPr>
                      <w:rFonts w:hint="eastAsia"/>
                      <w:color w:val="auto"/>
                      <w:sz w:val="21"/>
                      <w:szCs w:val="21"/>
                      <w:u w:val="none"/>
                    </w:rPr>
                    <w:t>0.17</w:t>
                  </w:r>
                </w:p>
              </w:tc>
              <w:tc>
                <w:tcPr>
                  <w:tcW w:w="123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color w:val="auto"/>
                      <w:sz w:val="21"/>
                      <w:szCs w:val="21"/>
                      <w:u w:val="none"/>
                    </w:rPr>
                    <w:t>0.086</w:t>
                  </w:r>
                </w:p>
              </w:tc>
              <w:tc>
                <w:tcPr>
                  <w:tcW w:w="799"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color w:val="auto"/>
                      <w:sz w:val="21"/>
                      <w:szCs w:val="21"/>
                      <w:u w:val="none"/>
                    </w:rPr>
                    <w:t>24.36</w:t>
                  </w:r>
                </w:p>
              </w:tc>
              <w:tc>
                <w:tcPr>
                  <w:tcW w:w="79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heme="minorEastAsia"/>
                      <w:color w:val="auto"/>
                      <w:kern w:val="0"/>
                      <w:sz w:val="21"/>
                      <w:szCs w:val="21"/>
                      <w:u w:val="none"/>
                    </w:rPr>
                  </w:pPr>
                  <w:r>
                    <w:rPr>
                      <w:rFonts w:hint="eastAsia" w:eastAsiaTheme="minorEastAsia"/>
                      <w:color w:val="auto"/>
                      <w:kern w:val="0"/>
                      <w:sz w:val="21"/>
                      <w:szCs w:val="21"/>
                      <w:u w:val="none"/>
                    </w:rPr>
                    <w:t>50</w:t>
                  </w:r>
                </w:p>
              </w:tc>
              <w:tc>
                <w:tcPr>
                  <w:tcW w:w="65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ascii="宋体" w:hAnsi="宋体" w:cs="宋体"/>
                      <w:color w:val="auto"/>
                      <w:kern w:val="0"/>
                      <w:sz w:val="21"/>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eastAsia="Times New Roman"/>
                      <w:color w:val="auto"/>
                      <w:kern w:val="0"/>
                      <w:sz w:val="21"/>
                      <w:szCs w:val="21"/>
                      <w:u w:val="none"/>
                    </w:rPr>
                    <w:t>NOx</w:t>
                  </w:r>
                </w:p>
              </w:tc>
              <w:tc>
                <w:tcPr>
                  <w:tcW w:w="979"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eastAsia="宋体"/>
                      <w:color w:val="auto"/>
                      <w:kern w:val="0"/>
                      <w:sz w:val="21"/>
                      <w:szCs w:val="21"/>
                      <w:u w:val="none"/>
                      <w:lang w:val="en-US" w:eastAsia="zh-CN"/>
                    </w:rPr>
                  </w:pPr>
                  <w:r>
                    <w:rPr>
                      <w:rFonts w:hint="eastAsia" w:eastAsia="宋体"/>
                      <w:color w:val="auto"/>
                      <w:sz w:val="21"/>
                      <w:szCs w:val="21"/>
                      <w:u w:val="none"/>
                      <w:lang w:val="en-US" w:eastAsia="zh-CN"/>
                    </w:rPr>
                    <w:t>0.18</w:t>
                  </w:r>
                </w:p>
              </w:tc>
              <w:tc>
                <w:tcPr>
                  <w:tcW w:w="123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color w:val="auto"/>
                      <w:sz w:val="21"/>
                      <w:szCs w:val="21"/>
                      <w:u w:val="none"/>
                      <w:lang w:val="en-US" w:eastAsia="zh-CN"/>
                    </w:rPr>
                    <w:t>0.091</w:t>
                  </w:r>
                </w:p>
              </w:tc>
              <w:tc>
                <w:tcPr>
                  <w:tcW w:w="799"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color w:val="auto"/>
                      <w:sz w:val="21"/>
                      <w:szCs w:val="21"/>
                      <w:u w:val="none"/>
                      <w:lang w:val="en-US" w:eastAsia="zh-CN"/>
                    </w:rPr>
                    <w:t>25.81</w:t>
                  </w:r>
                </w:p>
              </w:tc>
              <w:tc>
                <w:tcPr>
                  <w:tcW w:w="79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heme="minorEastAsia"/>
                      <w:color w:val="auto"/>
                      <w:kern w:val="0"/>
                      <w:sz w:val="21"/>
                      <w:szCs w:val="21"/>
                      <w:u w:val="none"/>
                    </w:rPr>
                  </w:pPr>
                  <w:r>
                    <w:rPr>
                      <w:rFonts w:hint="eastAsia" w:eastAsiaTheme="minorEastAsia"/>
                      <w:color w:val="auto"/>
                      <w:kern w:val="0"/>
                      <w:sz w:val="21"/>
                      <w:szCs w:val="21"/>
                      <w:u w:val="none"/>
                    </w:rPr>
                    <w:t>150</w:t>
                  </w:r>
                </w:p>
              </w:tc>
              <w:tc>
                <w:tcPr>
                  <w:tcW w:w="652"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eastAsia="Times New Roman"/>
                      <w:color w:val="auto"/>
                      <w:kern w:val="0"/>
                      <w:sz w:val="21"/>
                      <w:szCs w:val="21"/>
                      <w:u w:val="none"/>
                    </w:rPr>
                  </w:pPr>
                  <w:r>
                    <w:rPr>
                      <w:rFonts w:hint="eastAsia" w:ascii="宋体" w:hAnsi="宋体" w:cs="宋体"/>
                      <w:color w:val="auto"/>
                      <w:kern w:val="0"/>
                      <w:sz w:val="21"/>
                      <w:szCs w:val="21"/>
                      <w:u w:val="none"/>
                    </w:rPr>
                    <w:t>达标</w:t>
                  </w:r>
                </w:p>
              </w:tc>
            </w:tr>
          </w:tbl>
          <w:p>
            <w:pPr>
              <w:spacing w:line="360" w:lineRule="auto"/>
              <w:ind w:firstLine="496" w:firstLineChars="200"/>
              <w:contextualSpacing/>
              <w:rPr>
                <w:color w:val="auto"/>
                <w:spacing w:val="4"/>
                <w:sz w:val="24"/>
                <w:u w:val="none"/>
              </w:rPr>
            </w:pPr>
            <w:r>
              <w:rPr>
                <w:rFonts w:hint="eastAsia"/>
                <w:color w:val="auto"/>
                <w:spacing w:val="4"/>
                <w:sz w:val="24"/>
                <w:u w:val="none"/>
              </w:rPr>
              <w:t>本项目蒸汽发生器采用低氮燃烧技术，</w:t>
            </w:r>
            <w:r>
              <w:rPr>
                <w:rFonts w:hint="eastAsia"/>
                <w:color w:val="auto"/>
                <w:spacing w:val="4"/>
                <w:sz w:val="24"/>
                <w:u w:val="none"/>
              </w:rPr>
              <w:t>2台蒸汽发生器废气经1根21m高的排气筒排放，颗粒物、S</w:t>
            </w:r>
            <w:r>
              <w:rPr>
                <w:color w:val="auto"/>
                <w:spacing w:val="4"/>
                <w:sz w:val="24"/>
                <w:u w:val="none"/>
              </w:rPr>
              <w:t>O</w:t>
            </w:r>
            <w:r>
              <w:rPr>
                <w:color w:val="auto"/>
                <w:spacing w:val="4"/>
                <w:sz w:val="24"/>
                <w:u w:val="none"/>
                <w:vertAlign w:val="subscript"/>
              </w:rPr>
              <w:t>2</w:t>
            </w:r>
            <w:r>
              <w:rPr>
                <w:rFonts w:hint="eastAsia"/>
                <w:color w:val="auto"/>
                <w:spacing w:val="4"/>
                <w:sz w:val="24"/>
                <w:u w:val="none"/>
              </w:rPr>
              <w:t>、N</w:t>
            </w:r>
            <w:r>
              <w:rPr>
                <w:color w:val="auto"/>
                <w:spacing w:val="4"/>
                <w:sz w:val="24"/>
                <w:u w:val="none"/>
              </w:rPr>
              <w:t>O</w:t>
            </w:r>
            <w:r>
              <w:rPr>
                <w:color w:val="auto"/>
                <w:spacing w:val="4"/>
                <w:sz w:val="24"/>
                <w:u w:val="none"/>
                <w:vertAlign w:val="subscript"/>
              </w:rPr>
              <w:t>X</w:t>
            </w:r>
            <w:r>
              <w:rPr>
                <w:rFonts w:hint="eastAsia"/>
                <w:color w:val="auto"/>
                <w:spacing w:val="4"/>
                <w:sz w:val="24"/>
                <w:u w:val="none"/>
              </w:rPr>
              <w:t>排放浓度均能够达到《锅炉大气污染物排放标准》（GB13271-2014）中表3燃气锅炉特别排放限值</w:t>
            </w:r>
            <w:r>
              <w:rPr>
                <w:rFonts w:hint="eastAsia"/>
                <w:color w:val="auto"/>
                <w:spacing w:val="4"/>
                <w:sz w:val="24"/>
                <w:u w:val="none"/>
                <w:lang w:eastAsia="zh-CN"/>
              </w:rPr>
              <w:t>，</w:t>
            </w:r>
            <w:r>
              <w:rPr>
                <w:rFonts w:hint="eastAsia"/>
                <w:color w:val="auto"/>
                <w:spacing w:val="4"/>
                <w:sz w:val="24"/>
                <w:u w:val="none"/>
              </w:rPr>
              <w:t>N</w:t>
            </w:r>
            <w:r>
              <w:rPr>
                <w:color w:val="auto"/>
                <w:spacing w:val="4"/>
                <w:sz w:val="24"/>
                <w:u w:val="none"/>
              </w:rPr>
              <w:t>O</w:t>
            </w:r>
            <w:r>
              <w:rPr>
                <w:color w:val="auto"/>
                <w:spacing w:val="4"/>
                <w:sz w:val="24"/>
                <w:u w:val="none"/>
                <w:vertAlign w:val="subscript"/>
              </w:rPr>
              <w:t>X</w:t>
            </w:r>
            <w:r>
              <w:rPr>
                <w:rFonts w:hint="eastAsia"/>
                <w:color w:val="auto"/>
                <w:spacing w:val="4"/>
                <w:sz w:val="24"/>
                <w:u w:val="none"/>
              </w:rPr>
              <w:t>排放浓度</w:t>
            </w:r>
            <w:r>
              <w:rPr>
                <w:rFonts w:hint="eastAsia"/>
                <w:color w:val="auto"/>
                <w:spacing w:val="4"/>
                <w:sz w:val="24"/>
                <w:u w:val="none"/>
                <w:lang w:val="en-US" w:eastAsia="zh-CN"/>
              </w:rPr>
              <w:t>可同时满足《湖南省工业治理领域大气污染防治攻坚实施方案》（湘环发〔2023〕63号）中城区燃气锅炉“NOx排放浓度控制在50mg/m</w:t>
            </w:r>
            <w:r>
              <w:rPr>
                <w:rFonts w:hint="eastAsia"/>
                <w:color w:val="auto"/>
                <w:spacing w:val="4"/>
                <w:sz w:val="24"/>
                <w:u w:val="none"/>
                <w:vertAlign w:val="superscript"/>
                <w:lang w:val="en-US" w:eastAsia="zh-CN"/>
              </w:rPr>
              <w:t>3</w:t>
            </w:r>
            <w:r>
              <w:rPr>
                <w:rFonts w:hint="eastAsia"/>
                <w:color w:val="auto"/>
                <w:spacing w:val="4"/>
                <w:sz w:val="24"/>
                <w:u w:val="none"/>
                <w:lang w:val="en-US" w:eastAsia="zh-CN"/>
              </w:rPr>
              <w:t>以内”的要求</w:t>
            </w:r>
            <w:r>
              <w:rPr>
                <w:rFonts w:hint="eastAsia"/>
                <w:color w:val="auto"/>
                <w:spacing w:val="4"/>
                <w:sz w:val="24"/>
                <w:u w:val="none"/>
              </w:rPr>
              <w:t>。</w:t>
            </w:r>
          </w:p>
          <w:p>
            <w:pPr>
              <w:spacing w:line="360" w:lineRule="auto"/>
              <w:ind w:firstLine="498" w:firstLineChars="200"/>
              <w:contextualSpacing/>
              <w:rPr>
                <w:b/>
                <w:bCs/>
                <w:color w:val="auto"/>
                <w:spacing w:val="4"/>
                <w:sz w:val="24"/>
                <w:u w:val="none"/>
              </w:rPr>
            </w:pPr>
            <w:r>
              <w:rPr>
                <w:rFonts w:hint="eastAsia"/>
                <w:b/>
                <w:bCs/>
                <w:color w:val="auto"/>
                <w:spacing w:val="4"/>
                <w:sz w:val="24"/>
                <w:u w:val="none"/>
              </w:rPr>
              <w:t>（2）炒制油烟</w:t>
            </w:r>
          </w:p>
          <w:p>
            <w:pPr>
              <w:spacing w:line="360" w:lineRule="auto"/>
              <w:ind w:firstLine="496" w:firstLineChars="200"/>
              <w:contextualSpacing/>
              <w:rPr>
                <w:color w:val="auto"/>
                <w:spacing w:val="4"/>
                <w:sz w:val="24"/>
                <w:u w:val="none"/>
              </w:rPr>
            </w:pPr>
            <w:r>
              <w:rPr>
                <w:rFonts w:hint="eastAsia"/>
                <w:color w:val="auto"/>
                <w:spacing w:val="4"/>
                <w:sz w:val="24"/>
                <w:u w:val="none"/>
              </w:rPr>
              <w:t>本项目炒制调味间内共设8个炒锅，用于油辣椒、下饭菜炒制，使用的食用油为植物油，炒制时会产生油烟废气。根据建设单位提供的资料，油辣椒、下饭菜炒制工序年耗油量约为</w:t>
            </w:r>
            <w:r>
              <w:rPr>
                <w:rFonts w:hint="eastAsia"/>
                <w:color w:val="auto"/>
                <w:spacing w:val="4"/>
                <w:sz w:val="24"/>
                <w:u w:val="none"/>
                <w:lang w:val="en-US" w:eastAsia="zh-CN"/>
              </w:rPr>
              <w:t>255</w:t>
            </w:r>
            <w:r>
              <w:rPr>
                <w:rFonts w:hint="eastAsia"/>
                <w:color w:val="auto"/>
                <w:spacing w:val="4"/>
                <w:sz w:val="24"/>
                <w:u w:val="none"/>
              </w:rPr>
              <w:t>t</w:t>
            </w:r>
            <w:r>
              <w:rPr>
                <w:color w:val="auto"/>
                <w:spacing w:val="4"/>
                <w:sz w:val="24"/>
                <w:u w:val="none"/>
              </w:rPr>
              <w:t>/a</w:t>
            </w:r>
            <w:r>
              <w:rPr>
                <w:rFonts w:hint="eastAsia"/>
                <w:color w:val="auto"/>
                <w:spacing w:val="4"/>
                <w:sz w:val="24"/>
                <w:u w:val="none"/>
              </w:rPr>
              <w:t>，一般油烟产生量约占总耗油量的2%~4%，</w:t>
            </w:r>
            <w:r>
              <w:rPr>
                <w:rFonts w:hint="eastAsia"/>
                <w:color w:val="auto"/>
                <w:spacing w:val="4"/>
                <w:sz w:val="24"/>
                <w:u w:val="none"/>
                <w:lang w:val="en-US" w:eastAsia="zh-CN"/>
              </w:rPr>
              <w:t>本项目炒制温度低于180℃，非猛火爆炒</w:t>
            </w:r>
            <w:r>
              <w:rPr>
                <w:rFonts w:hint="eastAsia"/>
                <w:color w:val="auto"/>
                <w:spacing w:val="4"/>
                <w:sz w:val="24"/>
                <w:u w:val="none"/>
                <w:lang w:eastAsia="zh-CN"/>
              </w:rPr>
              <w:t>，</w:t>
            </w:r>
            <w:r>
              <w:rPr>
                <w:rFonts w:hint="eastAsia"/>
                <w:color w:val="auto"/>
                <w:spacing w:val="4"/>
                <w:sz w:val="24"/>
                <w:u w:val="none"/>
                <w:lang w:val="en-US" w:eastAsia="zh-CN"/>
              </w:rPr>
              <w:t>因此</w:t>
            </w:r>
            <w:r>
              <w:rPr>
                <w:rFonts w:hint="eastAsia"/>
                <w:color w:val="auto"/>
                <w:spacing w:val="4"/>
                <w:sz w:val="24"/>
                <w:u w:val="none"/>
              </w:rPr>
              <w:t>取</w:t>
            </w:r>
            <w:r>
              <w:rPr>
                <w:rFonts w:hint="eastAsia"/>
                <w:color w:val="auto"/>
                <w:spacing w:val="4"/>
                <w:sz w:val="24"/>
                <w:u w:val="none"/>
                <w:lang w:val="en-US" w:eastAsia="zh-CN"/>
              </w:rPr>
              <w:t>2</w:t>
            </w:r>
            <w:r>
              <w:rPr>
                <w:rFonts w:hint="eastAsia"/>
                <w:color w:val="auto"/>
                <w:spacing w:val="4"/>
                <w:sz w:val="24"/>
                <w:u w:val="none"/>
              </w:rPr>
              <w:t>%进行计算，则本项目炒制工序产生的油烟废气量为</w:t>
            </w:r>
            <w:r>
              <w:rPr>
                <w:rFonts w:hint="eastAsia"/>
                <w:color w:val="auto"/>
                <w:spacing w:val="4"/>
                <w:sz w:val="24"/>
                <w:u w:val="none"/>
                <w:lang w:val="en-US" w:eastAsia="zh-CN"/>
              </w:rPr>
              <w:t>5.1</w:t>
            </w:r>
            <w:r>
              <w:rPr>
                <w:rFonts w:hint="eastAsia"/>
                <w:color w:val="auto"/>
                <w:spacing w:val="4"/>
                <w:sz w:val="24"/>
                <w:u w:val="none"/>
              </w:rPr>
              <w:t>t</w:t>
            </w:r>
            <w:r>
              <w:rPr>
                <w:color w:val="auto"/>
                <w:spacing w:val="4"/>
                <w:sz w:val="24"/>
                <w:u w:val="none"/>
              </w:rPr>
              <w:t>/a</w:t>
            </w:r>
            <w:r>
              <w:rPr>
                <w:rFonts w:hint="eastAsia"/>
                <w:color w:val="auto"/>
                <w:spacing w:val="4"/>
                <w:sz w:val="24"/>
                <w:u w:val="none"/>
              </w:rPr>
              <w:t>，产生速率为</w:t>
            </w:r>
            <w:r>
              <w:rPr>
                <w:rFonts w:hint="eastAsia"/>
                <w:color w:val="auto"/>
                <w:spacing w:val="4"/>
                <w:sz w:val="24"/>
                <w:u w:val="none"/>
                <w:lang w:val="en-US" w:eastAsia="zh-CN"/>
              </w:rPr>
              <w:t>2.55</w:t>
            </w:r>
            <w:r>
              <w:rPr>
                <w:color w:val="auto"/>
                <w:spacing w:val="4"/>
                <w:sz w:val="24"/>
                <w:u w:val="none"/>
              </w:rPr>
              <w:t>kg/h</w:t>
            </w:r>
            <w:r>
              <w:rPr>
                <w:rFonts w:hint="eastAsia"/>
                <w:color w:val="auto"/>
                <w:spacing w:val="4"/>
                <w:sz w:val="24"/>
                <w:u w:val="none"/>
              </w:rPr>
              <w:t>。4#车间屋顶设置两级高效静电式油烟净化器，</w:t>
            </w:r>
            <w:r>
              <w:rPr>
                <w:color w:val="auto"/>
                <w:spacing w:val="4"/>
                <w:sz w:val="24"/>
                <w:u w:val="none"/>
              </w:rPr>
              <w:t>油烟废气经集气罩收集</w:t>
            </w:r>
            <w:r>
              <w:rPr>
                <w:rFonts w:hint="eastAsia"/>
                <w:color w:val="auto"/>
                <w:spacing w:val="4"/>
                <w:sz w:val="24"/>
                <w:u w:val="none"/>
              </w:rPr>
              <w:t>至</w:t>
            </w:r>
            <w:r>
              <w:rPr>
                <w:color w:val="auto"/>
                <w:spacing w:val="4"/>
                <w:sz w:val="24"/>
                <w:u w:val="none"/>
              </w:rPr>
              <w:t>油烟净化器处理</w:t>
            </w:r>
            <w:r>
              <w:rPr>
                <w:rFonts w:hint="eastAsia"/>
                <w:color w:val="auto"/>
                <w:spacing w:val="4"/>
                <w:sz w:val="24"/>
                <w:u w:val="none"/>
              </w:rPr>
              <w:t>后由屋顶</w:t>
            </w:r>
            <w:r>
              <w:rPr>
                <w:color w:val="auto"/>
                <w:spacing w:val="4"/>
                <w:sz w:val="24"/>
                <w:u w:val="none"/>
              </w:rPr>
              <w:t>排气筒（DA002）</w:t>
            </w:r>
            <w:r>
              <w:rPr>
                <w:rFonts w:hint="eastAsia"/>
                <w:color w:val="auto"/>
                <w:spacing w:val="4"/>
                <w:sz w:val="24"/>
                <w:u w:val="none"/>
              </w:rPr>
              <w:t>排放，排放高度1</w:t>
            </w:r>
            <w:r>
              <w:rPr>
                <w:rFonts w:hint="eastAsia"/>
                <w:color w:val="auto"/>
                <w:spacing w:val="4"/>
                <w:sz w:val="24"/>
                <w:u w:val="none"/>
                <w:lang w:val="en-US" w:eastAsia="zh-CN"/>
              </w:rPr>
              <w:t>5</w:t>
            </w:r>
            <w:r>
              <w:rPr>
                <w:rFonts w:hint="eastAsia"/>
                <w:color w:val="auto"/>
                <w:spacing w:val="4"/>
                <w:sz w:val="24"/>
                <w:u w:val="none"/>
              </w:rPr>
              <w:t>m。车间内共设8个炒锅，单个灶头基准风量为2000m</w:t>
            </w:r>
            <w:r>
              <w:rPr>
                <w:rFonts w:hint="eastAsia"/>
                <w:color w:val="auto"/>
                <w:spacing w:val="4"/>
                <w:sz w:val="24"/>
                <w:u w:val="none"/>
                <w:vertAlign w:val="superscript"/>
              </w:rPr>
              <w:t>3</w:t>
            </w:r>
            <w:r>
              <w:rPr>
                <w:rFonts w:hint="eastAsia"/>
                <w:color w:val="auto"/>
                <w:spacing w:val="4"/>
                <w:sz w:val="24"/>
                <w:u w:val="none"/>
              </w:rPr>
              <w:t>/h，总风量为16000 m</w:t>
            </w:r>
            <w:r>
              <w:rPr>
                <w:rFonts w:hint="eastAsia"/>
                <w:color w:val="auto"/>
                <w:spacing w:val="4"/>
                <w:sz w:val="24"/>
                <w:u w:val="none"/>
                <w:vertAlign w:val="superscript"/>
              </w:rPr>
              <w:t>3</w:t>
            </w:r>
            <w:r>
              <w:rPr>
                <w:rFonts w:hint="eastAsia"/>
                <w:color w:val="auto"/>
                <w:spacing w:val="4"/>
                <w:sz w:val="24"/>
                <w:u w:val="none"/>
              </w:rPr>
              <w:t>/h，油烟产生浓度为</w:t>
            </w:r>
            <w:r>
              <w:rPr>
                <w:rFonts w:hint="eastAsia"/>
                <w:color w:val="auto"/>
                <w:spacing w:val="4"/>
                <w:sz w:val="24"/>
                <w:u w:val="none"/>
                <w:lang w:val="en-US" w:eastAsia="zh-CN"/>
              </w:rPr>
              <w:t>159.4</w:t>
            </w:r>
            <w:r>
              <w:rPr>
                <w:rFonts w:hint="eastAsia"/>
                <w:color w:val="auto"/>
                <w:spacing w:val="4"/>
                <w:sz w:val="24"/>
                <w:u w:val="none"/>
              </w:rPr>
              <w:t>mg/m</w:t>
            </w:r>
            <w:r>
              <w:rPr>
                <w:rFonts w:hint="eastAsia"/>
                <w:color w:val="auto"/>
                <w:spacing w:val="4"/>
                <w:sz w:val="24"/>
                <w:u w:val="none"/>
                <w:vertAlign w:val="superscript"/>
              </w:rPr>
              <w:t>3</w:t>
            </w:r>
            <w:r>
              <w:rPr>
                <w:rFonts w:hint="eastAsia"/>
                <w:color w:val="auto"/>
                <w:spacing w:val="4"/>
                <w:sz w:val="24"/>
                <w:u w:val="none"/>
              </w:rPr>
              <w:t>。参照广州市标准化促进会团体标准《</w:t>
            </w:r>
            <w:r>
              <w:rPr>
                <w:color w:val="auto"/>
                <w:spacing w:val="4"/>
                <w:sz w:val="24"/>
                <w:u w:val="none"/>
              </w:rPr>
              <w:t>高效稳定餐饮油烟净化系统第2部分:净化设备技术要求及检测规范</w:t>
            </w:r>
            <w:r>
              <w:rPr>
                <w:rFonts w:hint="eastAsia"/>
                <w:color w:val="auto"/>
                <w:spacing w:val="4"/>
                <w:sz w:val="24"/>
                <w:u w:val="none"/>
              </w:rPr>
              <w:t>》（</w:t>
            </w:r>
            <w:r>
              <w:rPr>
                <w:color w:val="auto"/>
                <w:spacing w:val="4"/>
                <w:sz w:val="24"/>
                <w:u w:val="none"/>
              </w:rPr>
              <w:t>T/GZBC 45.2-2021</w:t>
            </w:r>
            <w:r>
              <w:rPr>
                <w:rFonts w:hint="eastAsia"/>
                <w:color w:val="auto"/>
                <w:spacing w:val="4"/>
                <w:sz w:val="24"/>
                <w:u w:val="none"/>
              </w:rPr>
              <w:t>），</w:t>
            </w:r>
            <w:r>
              <w:rPr>
                <w:color w:val="auto"/>
                <w:spacing w:val="4"/>
                <w:sz w:val="24"/>
                <w:u w:val="none"/>
              </w:rPr>
              <w:t>高效稳定静电式餐饮油烟净化设备</w:t>
            </w:r>
            <w:r>
              <w:rPr>
                <w:rFonts w:hint="eastAsia"/>
                <w:color w:val="auto"/>
                <w:spacing w:val="4"/>
                <w:sz w:val="24"/>
                <w:u w:val="none"/>
              </w:rPr>
              <w:t>油烟去除效率≥95%，本项目设置两级高效静电式油烟净化器，</w:t>
            </w:r>
            <w:r>
              <w:rPr>
                <w:rFonts w:hint="eastAsia"/>
                <w:color w:val="auto"/>
                <w:spacing w:val="4"/>
                <w:sz w:val="24"/>
                <w:u w:val="none"/>
                <w:lang w:val="en-US" w:eastAsia="zh-CN"/>
              </w:rPr>
              <w:t>保守估计</w:t>
            </w:r>
            <w:r>
              <w:rPr>
                <w:rFonts w:hint="eastAsia"/>
                <w:color w:val="auto"/>
                <w:spacing w:val="4"/>
                <w:sz w:val="24"/>
                <w:u w:val="none"/>
              </w:rPr>
              <w:t>总去除效率为9</w:t>
            </w:r>
            <w:r>
              <w:rPr>
                <w:rFonts w:hint="eastAsia"/>
                <w:color w:val="auto"/>
                <w:spacing w:val="4"/>
                <w:sz w:val="24"/>
                <w:u w:val="none"/>
                <w:lang w:val="en-US" w:eastAsia="zh-CN"/>
              </w:rPr>
              <w:t>9</w:t>
            </w:r>
            <w:r>
              <w:rPr>
                <w:rFonts w:hint="eastAsia"/>
                <w:color w:val="auto"/>
                <w:spacing w:val="4"/>
                <w:sz w:val="24"/>
                <w:u w:val="none"/>
              </w:rPr>
              <w:t>%，则炒制油烟排放量为0.0</w:t>
            </w:r>
            <w:r>
              <w:rPr>
                <w:rFonts w:hint="eastAsia"/>
                <w:color w:val="auto"/>
                <w:spacing w:val="4"/>
                <w:sz w:val="24"/>
                <w:u w:val="none"/>
                <w:lang w:val="en-US" w:eastAsia="zh-CN"/>
              </w:rPr>
              <w:t>51</w:t>
            </w:r>
            <w:r>
              <w:rPr>
                <w:color w:val="auto"/>
                <w:spacing w:val="4"/>
                <w:sz w:val="24"/>
                <w:u w:val="none"/>
              </w:rPr>
              <w:t>t/a</w:t>
            </w:r>
            <w:r>
              <w:rPr>
                <w:rFonts w:hint="eastAsia"/>
                <w:color w:val="auto"/>
                <w:spacing w:val="4"/>
                <w:sz w:val="24"/>
                <w:u w:val="none"/>
              </w:rPr>
              <w:t>，排放速率为0</w:t>
            </w:r>
            <w:r>
              <w:rPr>
                <w:color w:val="auto"/>
                <w:spacing w:val="4"/>
                <w:sz w:val="24"/>
                <w:u w:val="none"/>
              </w:rPr>
              <w:t>.0</w:t>
            </w:r>
            <w:r>
              <w:rPr>
                <w:rFonts w:hint="eastAsia"/>
                <w:color w:val="auto"/>
                <w:spacing w:val="4"/>
                <w:sz w:val="24"/>
                <w:u w:val="none"/>
                <w:lang w:val="en-US" w:eastAsia="zh-CN"/>
              </w:rPr>
              <w:t>26</w:t>
            </w:r>
            <w:r>
              <w:rPr>
                <w:color w:val="auto"/>
                <w:spacing w:val="4"/>
                <w:sz w:val="24"/>
                <w:u w:val="none"/>
              </w:rPr>
              <w:t>kg/h</w:t>
            </w:r>
            <w:r>
              <w:rPr>
                <w:rFonts w:hint="eastAsia"/>
                <w:color w:val="auto"/>
                <w:spacing w:val="4"/>
                <w:sz w:val="24"/>
                <w:u w:val="none"/>
              </w:rPr>
              <w:t>，排放浓度为1.</w:t>
            </w:r>
            <w:r>
              <w:rPr>
                <w:rFonts w:hint="eastAsia"/>
                <w:color w:val="auto"/>
                <w:spacing w:val="4"/>
                <w:sz w:val="24"/>
                <w:u w:val="none"/>
                <w:lang w:val="en-US" w:eastAsia="zh-CN"/>
              </w:rPr>
              <w:t>59</w:t>
            </w:r>
            <w:r>
              <w:rPr>
                <w:rFonts w:hint="eastAsia"/>
                <w:color w:val="auto"/>
                <w:spacing w:val="4"/>
                <w:sz w:val="24"/>
                <w:u w:val="none"/>
              </w:rPr>
              <w:t>mg/m</w:t>
            </w:r>
            <w:r>
              <w:rPr>
                <w:rFonts w:hint="eastAsia"/>
                <w:color w:val="auto"/>
                <w:spacing w:val="4"/>
                <w:sz w:val="24"/>
                <w:u w:val="none"/>
                <w:vertAlign w:val="superscript"/>
              </w:rPr>
              <w:t>3</w:t>
            </w:r>
            <w:r>
              <w:rPr>
                <w:rFonts w:hint="eastAsia"/>
                <w:color w:val="auto"/>
                <w:spacing w:val="4"/>
                <w:sz w:val="24"/>
                <w:u w:val="none"/>
              </w:rPr>
              <w:t>。油烟废气排放浓度满足《饮食业油烟排放标准》（试行）（GB18483-2001）浓度限值要求。</w:t>
            </w:r>
          </w:p>
          <w:p>
            <w:pPr>
              <w:spacing w:line="360" w:lineRule="auto"/>
              <w:ind w:firstLine="498" w:firstLineChars="200"/>
              <w:contextualSpacing/>
              <w:rPr>
                <w:b/>
                <w:bCs/>
                <w:color w:val="auto"/>
                <w:spacing w:val="4"/>
                <w:sz w:val="24"/>
                <w:u w:val="none"/>
              </w:rPr>
            </w:pPr>
            <w:r>
              <w:rPr>
                <w:rFonts w:hint="eastAsia"/>
                <w:b/>
                <w:bCs/>
                <w:color w:val="auto"/>
                <w:spacing w:val="4"/>
                <w:sz w:val="24"/>
                <w:u w:val="none"/>
              </w:rPr>
              <w:t>（3）食堂油烟</w:t>
            </w:r>
          </w:p>
          <w:p>
            <w:pPr>
              <w:spacing w:line="360" w:lineRule="auto"/>
              <w:ind w:firstLine="496" w:firstLineChars="200"/>
              <w:contextualSpacing/>
              <w:rPr>
                <w:color w:val="auto"/>
                <w:spacing w:val="4"/>
                <w:sz w:val="24"/>
                <w:u w:val="none"/>
              </w:rPr>
            </w:pPr>
            <w:r>
              <w:rPr>
                <w:color w:val="auto"/>
                <w:spacing w:val="4"/>
                <w:sz w:val="24"/>
                <w:u w:val="none"/>
              </w:rPr>
              <w:t>项目运营后劳动定员为</w:t>
            </w:r>
            <w:r>
              <w:rPr>
                <w:rFonts w:hint="eastAsia"/>
                <w:color w:val="auto"/>
                <w:spacing w:val="4"/>
                <w:sz w:val="24"/>
                <w:u w:val="none"/>
              </w:rPr>
              <w:t>120</w:t>
            </w:r>
            <w:r>
              <w:rPr>
                <w:color w:val="auto"/>
                <w:spacing w:val="4"/>
                <w:sz w:val="24"/>
                <w:u w:val="none"/>
              </w:rPr>
              <w:t>人，均在厂区就餐。食堂产生一定的油烟，根据《排放源统计调查产排污核算方法和系数手册》中的“生活源产排污核算系数手册”，</w:t>
            </w:r>
            <w:r>
              <w:rPr>
                <w:rFonts w:hint="eastAsia"/>
                <w:color w:val="auto"/>
                <w:spacing w:val="4"/>
                <w:sz w:val="24"/>
                <w:u w:val="none"/>
              </w:rPr>
              <w:t>湖南省属于三区，餐饮油烟产污系数为301</w:t>
            </w:r>
            <w:r>
              <w:rPr>
                <w:color w:val="auto"/>
                <w:spacing w:val="4"/>
                <w:sz w:val="24"/>
                <w:u w:val="none"/>
              </w:rPr>
              <w:t>克/（人·年）</w:t>
            </w:r>
            <w:r>
              <w:rPr>
                <w:rFonts w:hint="eastAsia"/>
                <w:color w:val="auto"/>
                <w:spacing w:val="4"/>
                <w:sz w:val="24"/>
                <w:u w:val="none"/>
              </w:rPr>
              <w:t>，则食堂油烟产生量为0.036t/a。食堂烹调时间约为3h/d，750h/a，油烟产生速率为0.048kg/h；设4个灶头，单个灶头基准风量为2000m</w:t>
            </w:r>
            <w:r>
              <w:rPr>
                <w:rFonts w:hint="eastAsia"/>
                <w:color w:val="auto"/>
                <w:spacing w:val="4"/>
                <w:sz w:val="24"/>
                <w:u w:val="none"/>
                <w:vertAlign w:val="superscript"/>
              </w:rPr>
              <w:t>3</w:t>
            </w:r>
            <w:r>
              <w:rPr>
                <w:rFonts w:hint="eastAsia"/>
                <w:color w:val="auto"/>
                <w:spacing w:val="4"/>
                <w:sz w:val="24"/>
                <w:u w:val="none"/>
              </w:rPr>
              <w:t>/h，总风量为8000 m</w:t>
            </w:r>
            <w:r>
              <w:rPr>
                <w:rFonts w:hint="eastAsia"/>
                <w:color w:val="auto"/>
                <w:spacing w:val="4"/>
                <w:sz w:val="24"/>
                <w:u w:val="none"/>
                <w:vertAlign w:val="superscript"/>
              </w:rPr>
              <w:t>3</w:t>
            </w:r>
            <w:r>
              <w:rPr>
                <w:rFonts w:hint="eastAsia"/>
                <w:color w:val="auto"/>
                <w:spacing w:val="4"/>
                <w:sz w:val="24"/>
                <w:u w:val="none"/>
              </w:rPr>
              <w:t>/h，油烟产生浓度为6mg/m</w:t>
            </w:r>
            <w:r>
              <w:rPr>
                <w:rFonts w:hint="eastAsia"/>
                <w:color w:val="auto"/>
                <w:spacing w:val="4"/>
                <w:sz w:val="24"/>
                <w:u w:val="none"/>
                <w:vertAlign w:val="superscript"/>
              </w:rPr>
              <w:t>3</w:t>
            </w:r>
            <w:r>
              <w:rPr>
                <w:rFonts w:hint="eastAsia"/>
                <w:color w:val="auto"/>
                <w:spacing w:val="4"/>
                <w:sz w:val="24"/>
                <w:u w:val="none"/>
              </w:rPr>
              <w:t>。食堂油烟经静电油烟净化器处理后屋顶排放，排放高度为</w:t>
            </w:r>
            <w:r>
              <w:rPr>
                <w:rFonts w:hint="eastAsia"/>
                <w:color w:val="auto"/>
                <w:spacing w:val="4"/>
                <w:sz w:val="24"/>
                <w:u w:val="none"/>
                <w:lang w:val="en-US" w:eastAsia="zh-CN"/>
              </w:rPr>
              <w:t>9</w:t>
            </w:r>
            <w:r>
              <w:rPr>
                <w:rFonts w:hint="eastAsia"/>
                <w:color w:val="auto"/>
                <w:spacing w:val="4"/>
                <w:sz w:val="24"/>
                <w:u w:val="none"/>
              </w:rPr>
              <w:t>m，净化设施最低去除效率为75%，则食堂油烟排放量为0.009t/a，排放速率0.012kg/h，排放浓度1.5 mg/m</w:t>
            </w:r>
            <w:r>
              <w:rPr>
                <w:rFonts w:hint="eastAsia"/>
                <w:color w:val="auto"/>
                <w:spacing w:val="4"/>
                <w:sz w:val="24"/>
                <w:u w:val="none"/>
                <w:vertAlign w:val="superscript"/>
              </w:rPr>
              <w:t>3</w:t>
            </w:r>
            <w:r>
              <w:rPr>
                <w:rFonts w:hint="eastAsia"/>
                <w:color w:val="auto"/>
                <w:spacing w:val="4"/>
                <w:sz w:val="24"/>
                <w:u w:val="none"/>
              </w:rPr>
              <w:t>，满足《饮食业油烟排放标准》（试行）（GB18483-2001）浓度限值要求。</w:t>
            </w:r>
          </w:p>
          <w:p>
            <w:pPr>
              <w:spacing w:line="360" w:lineRule="auto"/>
              <w:ind w:firstLine="498" w:firstLineChars="200"/>
              <w:contextualSpacing/>
              <w:rPr>
                <w:b/>
                <w:bCs/>
                <w:color w:val="auto"/>
                <w:spacing w:val="4"/>
                <w:sz w:val="24"/>
                <w:u w:val="none"/>
              </w:rPr>
            </w:pPr>
            <w:r>
              <w:rPr>
                <w:rFonts w:hint="eastAsia"/>
                <w:b/>
                <w:bCs/>
                <w:color w:val="auto"/>
                <w:spacing w:val="4"/>
                <w:sz w:val="24"/>
                <w:u w:val="none"/>
              </w:rPr>
              <w:t>（4）废水处理站产生的恶臭</w:t>
            </w:r>
          </w:p>
          <w:p>
            <w:pPr>
              <w:spacing w:line="360" w:lineRule="auto"/>
              <w:ind w:firstLine="496" w:firstLineChars="200"/>
              <w:contextualSpacing/>
              <w:rPr>
                <w:color w:val="auto"/>
                <w:spacing w:val="4"/>
                <w:sz w:val="24"/>
                <w:u w:val="none"/>
              </w:rPr>
            </w:pPr>
            <w:r>
              <w:rPr>
                <w:rFonts w:hint="eastAsia"/>
                <w:color w:val="auto"/>
                <w:spacing w:val="4"/>
                <w:sz w:val="24"/>
                <w:u w:val="none"/>
              </w:rPr>
              <w:t>项目废水处理过程中会产生恶臭气体，主要为H</w:t>
            </w:r>
            <w:r>
              <w:rPr>
                <w:rFonts w:hint="eastAsia"/>
                <w:color w:val="auto"/>
                <w:spacing w:val="4"/>
                <w:sz w:val="24"/>
                <w:u w:val="none"/>
                <w:vertAlign w:val="subscript"/>
              </w:rPr>
              <w:t>2</w:t>
            </w:r>
            <w:r>
              <w:rPr>
                <w:rFonts w:hint="eastAsia"/>
                <w:color w:val="auto"/>
                <w:spacing w:val="4"/>
                <w:sz w:val="24"/>
                <w:u w:val="none"/>
              </w:rPr>
              <w:t>S、NH</w:t>
            </w:r>
            <w:r>
              <w:rPr>
                <w:rFonts w:hint="eastAsia"/>
                <w:color w:val="auto"/>
                <w:spacing w:val="4"/>
                <w:sz w:val="24"/>
                <w:u w:val="none"/>
                <w:vertAlign w:val="subscript"/>
              </w:rPr>
              <w:t>3</w:t>
            </w:r>
            <w:r>
              <w:rPr>
                <w:rFonts w:hint="eastAsia"/>
                <w:color w:val="auto"/>
                <w:spacing w:val="4"/>
                <w:sz w:val="24"/>
                <w:u w:val="none"/>
              </w:rPr>
              <w:t>气体，各污水池均有臭气产生。根据美国E</w:t>
            </w:r>
            <w:r>
              <w:rPr>
                <w:color w:val="auto"/>
                <w:spacing w:val="4"/>
                <w:sz w:val="24"/>
                <w:u w:val="none"/>
              </w:rPr>
              <w:t>PA</w:t>
            </w:r>
            <w:r>
              <w:rPr>
                <w:rFonts w:hint="eastAsia"/>
                <w:color w:val="auto"/>
                <w:spacing w:val="4"/>
                <w:sz w:val="24"/>
                <w:u w:val="none"/>
              </w:rPr>
              <w:t>对城市污水处理厂恶臭污染物产生情况的研究，每处理1g</w:t>
            </w:r>
            <w:r>
              <w:rPr>
                <w:color w:val="auto"/>
                <w:spacing w:val="4"/>
                <w:sz w:val="24"/>
                <w:u w:val="none"/>
              </w:rPr>
              <w:t>BOD</w:t>
            </w:r>
            <w:r>
              <w:rPr>
                <w:color w:val="auto"/>
                <w:spacing w:val="4"/>
                <w:sz w:val="24"/>
                <w:u w:val="none"/>
                <w:vertAlign w:val="subscript"/>
              </w:rPr>
              <w:t>5</w:t>
            </w:r>
            <w:r>
              <w:rPr>
                <w:rFonts w:hint="eastAsia"/>
                <w:color w:val="auto"/>
                <w:spacing w:val="4"/>
                <w:sz w:val="24"/>
                <w:u w:val="none"/>
              </w:rPr>
              <w:t>可产生0</w:t>
            </w:r>
            <w:r>
              <w:rPr>
                <w:color w:val="auto"/>
                <w:spacing w:val="4"/>
                <w:sz w:val="24"/>
                <w:u w:val="none"/>
              </w:rPr>
              <w:t>.0031gNH</w:t>
            </w:r>
            <w:r>
              <w:rPr>
                <w:color w:val="auto"/>
                <w:spacing w:val="4"/>
                <w:sz w:val="24"/>
                <w:u w:val="none"/>
                <w:vertAlign w:val="subscript"/>
              </w:rPr>
              <w:t>3</w:t>
            </w:r>
            <w:r>
              <w:rPr>
                <w:rFonts w:hint="eastAsia"/>
                <w:color w:val="auto"/>
                <w:spacing w:val="4"/>
                <w:sz w:val="24"/>
                <w:u w:val="none"/>
              </w:rPr>
              <w:t>和0</w:t>
            </w:r>
            <w:r>
              <w:rPr>
                <w:color w:val="auto"/>
                <w:spacing w:val="4"/>
                <w:sz w:val="24"/>
                <w:u w:val="none"/>
              </w:rPr>
              <w:t>.00012gH</w:t>
            </w:r>
            <w:r>
              <w:rPr>
                <w:color w:val="auto"/>
                <w:spacing w:val="4"/>
                <w:sz w:val="24"/>
                <w:u w:val="none"/>
                <w:vertAlign w:val="subscript"/>
              </w:rPr>
              <w:t>2</w:t>
            </w:r>
            <w:r>
              <w:rPr>
                <w:color w:val="auto"/>
                <w:spacing w:val="4"/>
                <w:sz w:val="24"/>
                <w:u w:val="none"/>
              </w:rPr>
              <w:t>S</w:t>
            </w:r>
            <w:r>
              <w:rPr>
                <w:rFonts w:hint="eastAsia"/>
                <w:color w:val="auto"/>
                <w:spacing w:val="4"/>
                <w:sz w:val="24"/>
                <w:u w:val="none"/>
              </w:rPr>
              <w:t>。由本环评“</w:t>
            </w:r>
            <w:r>
              <w:rPr>
                <w:color w:val="auto"/>
                <w:spacing w:val="4"/>
                <w:sz w:val="24"/>
                <w:u w:val="none"/>
              </w:rPr>
              <w:t>表4.3-10 污水处理站处理前后水质及达标情况</w:t>
            </w:r>
            <w:r>
              <w:rPr>
                <w:rFonts w:hint="eastAsia"/>
                <w:color w:val="auto"/>
                <w:spacing w:val="4"/>
                <w:sz w:val="24"/>
                <w:u w:val="none"/>
              </w:rPr>
              <w:t>”可知，</w:t>
            </w:r>
            <w:r>
              <w:rPr>
                <w:rFonts w:hint="eastAsia"/>
                <w:color w:val="auto"/>
                <w:spacing w:val="4"/>
                <w:sz w:val="24"/>
                <w:u w:val="none"/>
              </w:rPr>
              <w:t>污水处理站BOD</w:t>
            </w:r>
            <w:r>
              <w:rPr>
                <w:rFonts w:hint="eastAsia"/>
                <w:color w:val="auto"/>
                <w:spacing w:val="4"/>
                <w:sz w:val="24"/>
                <w:u w:val="none"/>
                <w:vertAlign w:val="subscript"/>
              </w:rPr>
              <w:t>5</w:t>
            </w:r>
            <w:r>
              <w:rPr>
                <w:rFonts w:hint="eastAsia"/>
                <w:color w:val="auto"/>
                <w:spacing w:val="4"/>
                <w:sz w:val="24"/>
                <w:u w:val="none"/>
              </w:rPr>
              <w:t>处理量为</w:t>
            </w:r>
            <w:r>
              <w:rPr>
                <w:rFonts w:hint="eastAsia"/>
                <w:color w:val="auto"/>
                <w:spacing w:val="4"/>
                <w:sz w:val="24"/>
                <w:u w:val="none"/>
                <w:lang w:val="en-US" w:eastAsia="zh-CN"/>
              </w:rPr>
              <w:t>114.18</w:t>
            </w:r>
            <w:r>
              <w:rPr>
                <w:color w:val="auto"/>
                <w:spacing w:val="4"/>
                <w:sz w:val="24"/>
                <w:u w:val="none"/>
              </w:rPr>
              <w:t>t/a</w:t>
            </w:r>
            <w:r>
              <w:rPr>
                <w:rFonts w:hint="eastAsia"/>
                <w:color w:val="auto"/>
                <w:spacing w:val="4"/>
                <w:sz w:val="24"/>
                <w:u w:val="none"/>
              </w:rPr>
              <w:t>，因此计算可知N</w:t>
            </w:r>
            <w:r>
              <w:rPr>
                <w:color w:val="auto"/>
                <w:spacing w:val="4"/>
                <w:sz w:val="24"/>
                <w:u w:val="none"/>
              </w:rPr>
              <w:t>H</w:t>
            </w:r>
            <w:r>
              <w:rPr>
                <w:color w:val="auto"/>
                <w:spacing w:val="4"/>
                <w:sz w:val="24"/>
                <w:u w:val="none"/>
                <w:vertAlign w:val="subscript"/>
              </w:rPr>
              <w:t>3</w:t>
            </w:r>
            <w:r>
              <w:rPr>
                <w:rFonts w:hint="eastAsia"/>
                <w:color w:val="auto"/>
                <w:spacing w:val="4"/>
                <w:sz w:val="24"/>
                <w:u w:val="none"/>
              </w:rPr>
              <w:t>产生量约0.3</w:t>
            </w:r>
            <w:r>
              <w:rPr>
                <w:rFonts w:hint="eastAsia"/>
                <w:color w:val="auto"/>
                <w:spacing w:val="4"/>
                <w:sz w:val="24"/>
                <w:u w:val="none"/>
                <w:lang w:val="en-US" w:eastAsia="zh-CN"/>
              </w:rPr>
              <w:t>54</w:t>
            </w:r>
            <w:r>
              <w:rPr>
                <w:rFonts w:hint="eastAsia"/>
                <w:color w:val="auto"/>
                <w:spacing w:val="4"/>
                <w:sz w:val="24"/>
                <w:u w:val="none"/>
              </w:rPr>
              <w:t>t</w:t>
            </w:r>
            <w:r>
              <w:rPr>
                <w:color w:val="auto"/>
                <w:spacing w:val="4"/>
                <w:sz w:val="24"/>
                <w:u w:val="none"/>
              </w:rPr>
              <w:t>/a</w:t>
            </w:r>
            <w:r>
              <w:rPr>
                <w:rFonts w:hint="eastAsia"/>
                <w:color w:val="auto"/>
                <w:spacing w:val="4"/>
                <w:sz w:val="24"/>
                <w:u w:val="none"/>
              </w:rPr>
              <w:t>，</w:t>
            </w:r>
            <w:r>
              <w:rPr>
                <w:color w:val="auto"/>
                <w:spacing w:val="4"/>
                <w:sz w:val="24"/>
                <w:u w:val="none"/>
              </w:rPr>
              <w:t>H</w:t>
            </w:r>
            <w:r>
              <w:rPr>
                <w:color w:val="auto"/>
                <w:spacing w:val="4"/>
                <w:sz w:val="24"/>
                <w:u w:val="none"/>
                <w:vertAlign w:val="subscript"/>
              </w:rPr>
              <w:t>2</w:t>
            </w:r>
            <w:r>
              <w:rPr>
                <w:color w:val="auto"/>
                <w:spacing w:val="4"/>
                <w:sz w:val="24"/>
                <w:u w:val="none"/>
              </w:rPr>
              <w:t>S</w:t>
            </w:r>
            <w:r>
              <w:rPr>
                <w:rFonts w:hint="eastAsia"/>
                <w:color w:val="auto"/>
                <w:spacing w:val="4"/>
                <w:sz w:val="24"/>
                <w:u w:val="none"/>
              </w:rPr>
              <w:t>产生量约0.01</w:t>
            </w:r>
            <w:r>
              <w:rPr>
                <w:rFonts w:hint="eastAsia"/>
                <w:color w:val="auto"/>
                <w:spacing w:val="4"/>
                <w:sz w:val="24"/>
                <w:u w:val="none"/>
                <w:lang w:val="en-US" w:eastAsia="zh-CN"/>
              </w:rPr>
              <w:t>4</w:t>
            </w:r>
            <w:r>
              <w:rPr>
                <w:rFonts w:hint="eastAsia"/>
                <w:color w:val="auto"/>
                <w:spacing w:val="4"/>
                <w:sz w:val="24"/>
                <w:u w:val="none"/>
              </w:rPr>
              <w:t>t</w:t>
            </w:r>
            <w:r>
              <w:rPr>
                <w:color w:val="auto"/>
                <w:spacing w:val="4"/>
                <w:sz w:val="24"/>
                <w:u w:val="none"/>
              </w:rPr>
              <w:t>/a</w:t>
            </w:r>
            <w:r>
              <w:rPr>
                <w:rFonts w:hint="eastAsia"/>
                <w:color w:val="auto"/>
                <w:spacing w:val="4"/>
                <w:sz w:val="24"/>
                <w:u w:val="none"/>
              </w:rPr>
              <w:t>。</w:t>
            </w:r>
          </w:p>
          <w:p>
            <w:pPr>
              <w:spacing w:line="360" w:lineRule="auto"/>
              <w:ind w:firstLine="496" w:firstLineChars="200"/>
              <w:contextualSpacing/>
              <w:rPr>
                <w:rFonts w:hint="eastAsia"/>
                <w:color w:val="auto"/>
                <w:spacing w:val="4"/>
                <w:sz w:val="24"/>
                <w:u w:val="none"/>
              </w:rPr>
            </w:pPr>
            <w:r>
              <w:rPr>
                <w:rFonts w:hint="eastAsia"/>
                <w:color w:val="auto"/>
                <w:spacing w:val="4"/>
                <w:sz w:val="24"/>
                <w:u w:val="none"/>
              </w:rPr>
              <w:t>污水处理站位于4#车间外北面，距离西北面新华二组居民约140m，为减少及控制污水处理站臭气对该敏感点及周边大气环境的影响，本次要求建设单位对各污水池加盖密闭，将臭气负压收集至“二级喷淋+生物滤池”处理后由15m排气筒排放，设计风量为5000m</w:t>
            </w:r>
            <w:r>
              <w:rPr>
                <w:rFonts w:hint="eastAsia"/>
                <w:color w:val="auto"/>
                <w:spacing w:val="4"/>
                <w:sz w:val="24"/>
                <w:u w:val="none"/>
                <w:vertAlign w:val="superscript"/>
              </w:rPr>
              <w:t>3</w:t>
            </w:r>
            <w:r>
              <w:rPr>
                <w:rFonts w:hint="eastAsia"/>
                <w:color w:val="auto"/>
                <w:spacing w:val="4"/>
                <w:sz w:val="24"/>
                <w:u w:val="none"/>
              </w:rPr>
              <w:t>/h。</w:t>
            </w:r>
            <w:r>
              <w:rPr>
                <w:rFonts w:hint="eastAsia"/>
                <w:color w:val="auto"/>
                <w:spacing w:val="4"/>
                <w:sz w:val="24"/>
                <w:u w:val="none"/>
              </w:rPr>
              <w:t>参照《</w:t>
            </w:r>
            <w:r>
              <w:rPr>
                <w:color w:val="auto"/>
                <w:spacing w:val="4"/>
                <w:sz w:val="24"/>
                <w:u w:val="none"/>
              </w:rPr>
              <w:t>主要污染物总量减排核算技术指南（2022 年修订）</w:t>
            </w:r>
            <w:r>
              <w:rPr>
                <w:rFonts w:hint="eastAsia"/>
                <w:color w:val="auto"/>
                <w:spacing w:val="4"/>
                <w:sz w:val="24"/>
                <w:u w:val="none"/>
              </w:rPr>
              <w:t>》，密闭</w:t>
            </w:r>
            <w:r>
              <w:rPr>
                <w:rFonts w:hint="eastAsia"/>
                <w:color w:val="auto"/>
                <w:spacing w:val="4"/>
                <w:sz w:val="24"/>
                <w:u w:val="none"/>
                <w:lang w:val="en-US" w:eastAsia="zh-CN"/>
              </w:rPr>
              <w:t>空间</w:t>
            </w:r>
            <w:r>
              <w:rPr>
                <w:rFonts w:hint="eastAsia"/>
                <w:color w:val="auto"/>
                <w:spacing w:val="4"/>
                <w:sz w:val="24"/>
                <w:u w:val="none"/>
              </w:rPr>
              <w:t>负压收集效率为9</w:t>
            </w:r>
            <w:r>
              <w:rPr>
                <w:rFonts w:hint="eastAsia"/>
                <w:color w:val="auto"/>
                <w:spacing w:val="4"/>
                <w:sz w:val="24"/>
                <w:u w:val="none"/>
                <w:lang w:val="en-US" w:eastAsia="zh-CN"/>
              </w:rPr>
              <w:t>0</w:t>
            </w:r>
            <w:r>
              <w:rPr>
                <w:rFonts w:hint="eastAsia"/>
                <w:color w:val="auto"/>
                <w:spacing w:val="4"/>
                <w:sz w:val="24"/>
                <w:u w:val="none"/>
              </w:rPr>
              <w:t>%，未收集部分以无组织方式排放，可喷洒除臭剂及加强绿化加以控制。根据</w:t>
            </w:r>
            <w:r>
              <w:rPr>
                <w:rFonts w:hint="eastAsia"/>
                <w:color w:val="auto"/>
                <w:spacing w:val="4"/>
                <w:sz w:val="24"/>
                <w:u w:val="none"/>
                <w:lang w:eastAsia="zh-CN"/>
              </w:rPr>
              <w:t>《调味品、发酵制品制造工业污染防治可行技术指南》（HJ 1303—2023）</w:t>
            </w:r>
            <w:r>
              <w:rPr>
                <w:rFonts w:hint="eastAsia"/>
                <w:color w:val="auto"/>
                <w:spacing w:val="4"/>
                <w:sz w:val="24"/>
                <w:u w:val="none"/>
              </w:rPr>
              <w:t>吸收法对</w:t>
            </w:r>
            <w:r>
              <w:rPr>
                <w:color w:val="auto"/>
                <w:spacing w:val="4"/>
                <w:sz w:val="24"/>
                <w:u w:val="none"/>
              </w:rPr>
              <w:t>恶臭污染物的处理效率为60%～90%</w:t>
            </w:r>
            <w:r>
              <w:rPr>
                <w:rFonts w:hint="eastAsia"/>
                <w:color w:val="auto"/>
                <w:spacing w:val="4"/>
                <w:sz w:val="24"/>
                <w:u w:val="none"/>
              </w:rPr>
              <w:t>，生物处理对恶臭污染物的处理效率为70%～90%，本环评</w:t>
            </w:r>
            <w:r>
              <w:rPr>
                <w:rFonts w:hint="eastAsia"/>
                <w:color w:val="auto"/>
                <w:spacing w:val="4"/>
                <w:sz w:val="24"/>
                <w:u w:val="none"/>
                <w:lang w:val="en-US" w:eastAsia="zh-CN"/>
              </w:rPr>
              <w:t>分别取60</w:t>
            </w:r>
            <w:r>
              <w:rPr>
                <w:rFonts w:hint="eastAsia"/>
                <w:color w:val="auto"/>
                <w:spacing w:val="4"/>
                <w:sz w:val="24"/>
                <w:u w:val="none"/>
              </w:rPr>
              <w:t>%及</w:t>
            </w:r>
            <w:r>
              <w:rPr>
                <w:rFonts w:hint="eastAsia"/>
                <w:color w:val="auto"/>
                <w:spacing w:val="4"/>
                <w:sz w:val="24"/>
                <w:u w:val="none"/>
                <w:lang w:val="en-US" w:eastAsia="zh-CN"/>
              </w:rPr>
              <w:t>7</w:t>
            </w:r>
            <w:r>
              <w:rPr>
                <w:rFonts w:hint="eastAsia"/>
                <w:color w:val="auto"/>
                <w:spacing w:val="4"/>
                <w:sz w:val="24"/>
                <w:u w:val="none"/>
              </w:rPr>
              <w:t>0%，“二级喷淋+生物滤池”组合工艺总处理效率为</w:t>
            </w:r>
            <w:r>
              <w:rPr>
                <w:rFonts w:hint="eastAsia"/>
                <w:color w:val="auto"/>
                <w:spacing w:val="4"/>
                <w:sz w:val="24"/>
                <w:u w:val="none"/>
                <w:lang w:val="en-US" w:eastAsia="zh-CN"/>
              </w:rPr>
              <w:t>88</w:t>
            </w:r>
            <w:r>
              <w:rPr>
                <w:rFonts w:hint="eastAsia"/>
                <w:color w:val="auto"/>
                <w:spacing w:val="4"/>
                <w:sz w:val="24"/>
                <w:u w:val="none"/>
              </w:rPr>
              <w:t>%</w:t>
            </w:r>
            <w:r>
              <w:rPr>
                <w:color w:val="auto"/>
                <w:spacing w:val="4"/>
                <w:sz w:val="24"/>
                <w:u w:val="none"/>
              </w:rPr>
              <w:t>。</w:t>
            </w:r>
            <w:r>
              <w:rPr>
                <w:rFonts w:hint="eastAsia"/>
                <w:color w:val="auto"/>
                <w:spacing w:val="4"/>
                <w:sz w:val="24"/>
                <w:u w:val="none"/>
              </w:rPr>
              <w:t>污水处理站全天24h运行，臭气产生及排放情况如下：</w:t>
            </w:r>
          </w:p>
          <w:p>
            <w:pPr>
              <w:spacing w:line="360" w:lineRule="auto"/>
              <w:ind w:firstLine="496" w:firstLineChars="200"/>
              <w:contextualSpacing/>
              <w:rPr>
                <w:rFonts w:hint="eastAsia"/>
                <w:color w:val="auto"/>
                <w:spacing w:val="4"/>
                <w:sz w:val="24"/>
                <w:u w:val="none"/>
              </w:rPr>
            </w:pPr>
          </w:p>
          <w:p>
            <w:pPr>
              <w:spacing w:line="360" w:lineRule="auto"/>
              <w:ind w:firstLine="496" w:firstLineChars="200"/>
              <w:contextualSpacing/>
              <w:rPr>
                <w:rFonts w:hint="eastAsia"/>
                <w:color w:val="auto"/>
                <w:spacing w:val="4"/>
                <w:sz w:val="24"/>
                <w:u w:val="none"/>
              </w:rPr>
            </w:pPr>
          </w:p>
          <w:p>
            <w:pPr>
              <w:spacing w:line="360" w:lineRule="auto"/>
              <w:ind w:firstLine="496" w:firstLineChars="200"/>
              <w:contextualSpacing/>
              <w:rPr>
                <w:rFonts w:hint="eastAsia"/>
                <w:color w:val="auto"/>
                <w:spacing w:val="4"/>
                <w:sz w:val="24"/>
                <w:u w:val="none"/>
              </w:rPr>
            </w:pPr>
          </w:p>
          <w:p>
            <w:pPr>
              <w:spacing w:line="360" w:lineRule="auto"/>
              <w:ind w:firstLine="496" w:firstLineChars="200"/>
              <w:contextualSpacing/>
              <w:rPr>
                <w:rFonts w:hint="eastAsia"/>
                <w:color w:val="auto"/>
                <w:spacing w:val="4"/>
                <w:sz w:val="24"/>
                <w:u w:val="none"/>
              </w:rPr>
            </w:pPr>
          </w:p>
          <w:p>
            <w:pPr>
              <w:spacing w:line="360" w:lineRule="auto"/>
              <w:contextualSpacing/>
              <w:jc w:val="center"/>
              <w:rPr>
                <w:rFonts w:hint="eastAsia"/>
                <w:b/>
                <w:bCs/>
                <w:color w:val="auto"/>
                <w:spacing w:val="4"/>
                <w:sz w:val="24"/>
                <w:u w:val="none"/>
              </w:rPr>
            </w:pPr>
            <w:r>
              <w:rPr>
                <w:rFonts w:hint="eastAsia"/>
                <w:b/>
                <w:bCs/>
                <w:color w:val="auto"/>
                <w:spacing w:val="4"/>
                <w:sz w:val="24"/>
                <w:u w:val="none"/>
              </w:rPr>
              <w:t>表4.2-3 污水处理站臭气产生及排放情况</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
              <w:gridCol w:w="639"/>
              <w:gridCol w:w="769"/>
              <w:gridCol w:w="770"/>
              <w:gridCol w:w="834"/>
              <w:gridCol w:w="998"/>
              <w:gridCol w:w="758"/>
              <w:gridCol w:w="711"/>
              <w:gridCol w:w="711"/>
              <w:gridCol w:w="834"/>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38" w:type="pct"/>
                  <w:vMerge w:val="restart"/>
                  <w:tcBorders>
                    <w:top w:val="single" w:color="auto" w:sz="4" w:space="0"/>
                    <w:left w:val="single" w:color="auto" w:sz="4" w:space="0"/>
                    <w:right w:val="single" w:color="auto" w:sz="4" w:space="0"/>
                  </w:tcBorders>
                  <w:vAlign w:val="center"/>
                </w:tcPr>
                <w:p>
                  <w:pPr>
                    <w:widowControl/>
                    <w:jc w:val="center"/>
                    <w:rPr>
                      <w:b/>
                      <w:bCs/>
                      <w:color w:val="auto"/>
                      <w:kern w:val="0"/>
                      <w:sz w:val="18"/>
                      <w:szCs w:val="18"/>
                      <w:u w:val="none"/>
                    </w:rPr>
                  </w:pPr>
                  <w:r>
                    <w:rPr>
                      <w:b/>
                      <w:bCs/>
                      <w:color w:val="auto"/>
                      <w:kern w:val="0"/>
                      <w:sz w:val="18"/>
                      <w:szCs w:val="18"/>
                      <w:u w:val="none"/>
                    </w:rPr>
                    <w:t>排放方式</w:t>
                  </w:r>
                </w:p>
              </w:tc>
              <w:tc>
                <w:tcPr>
                  <w:tcW w:w="398" w:type="pct"/>
                  <w:vMerge w:val="restart"/>
                  <w:tcBorders>
                    <w:top w:val="single" w:color="auto" w:sz="4" w:space="0"/>
                    <w:left w:val="single" w:color="auto" w:sz="4" w:space="0"/>
                    <w:right w:val="single" w:color="auto" w:sz="4" w:space="0"/>
                  </w:tcBorders>
                  <w:vAlign w:val="center"/>
                </w:tcPr>
                <w:p>
                  <w:pPr>
                    <w:widowControl/>
                    <w:jc w:val="center"/>
                    <w:rPr>
                      <w:b/>
                      <w:bCs/>
                      <w:color w:val="auto"/>
                      <w:kern w:val="0"/>
                      <w:sz w:val="18"/>
                      <w:szCs w:val="18"/>
                      <w:u w:val="none"/>
                    </w:rPr>
                  </w:pPr>
                  <w:r>
                    <w:rPr>
                      <w:b/>
                      <w:bCs/>
                      <w:color w:val="auto"/>
                      <w:kern w:val="0"/>
                      <w:sz w:val="18"/>
                      <w:szCs w:val="18"/>
                      <w:u w:val="none"/>
                    </w:rPr>
                    <w:t>污染物</w:t>
                  </w:r>
                </w:p>
              </w:tc>
              <w:tc>
                <w:tcPr>
                  <w:tcW w:w="1452" w:type="pct"/>
                  <w:gridSpan w:val="3"/>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b/>
                      <w:bCs/>
                      <w:color w:val="auto"/>
                      <w:kern w:val="0"/>
                      <w:sz w:val="18"/>
                      <w:szCs w:val="18"/>
                      <w:u w:val="none"/>
                    </w:rPr>
                  </w:pPr>
                  <w:r>
                    <w:rPr>
                      <w:b/>
                      <w:bCs/>
                      <w:color w:val="auto"/>
                      <w:kern w:val="0"/>
                      <w:sz w:val="18"/>
                      <w:szCs w:val="18"/>
                      <w:u w:val="none"/>
                    </w:rPr>
                    <w:t>产生情况</w:t>
                  </w:r>
                </w:p>
              </w:tc>
              <w:tc>
                <w:tcPr>
                  <w:tcW w:w="551" w:type="pct"/>
                  <w:vMerge w:val="restart"/>
                  <w:tcBorders>
                    <w:top w:val="single" w:color="auto" w:sz="4" w:space="0"/>
                    <w:left w:val="single" w:color="auto" w:sz="4" w:space="0"/>
                    <w:right w:val="single" w:color="auto" w:sz="4" w:space="0"/>
                  </w:tcBorders>
                  <w:vAlign w:val="center"/>
                </w:tcPr>
                <w:p>
                  <w:pPr>
                    <w:widowControl/>
                    <w:tabs>
                      <w:tab w:val="left" w:pos="1050"/>
                    </w:tabs>
                    <w:autoSpaceDE w:val="0"/>
                    <w:jc w:val="center"/>
                    <w:rPr>
                      <w:b/>
                      <w:bCs/>
                      <w:color w:val="auto"/>
                      <w:kern w:val="0"/>
                      <w:sz w:val="18"/>
                      <w:szCs w:val="18"/>
                      <w:u w:val="none"/>
                    </w:rPr>
                  </w:pPr>
                  <w:r>
                    <w:rPr>
                      <w:b/>
                      <w:bCs/>
                      <w:color w:val="auto"/>
                      <w:kern w:val="0"/>
                      <w:sz w:val="18"/>
                      <w:szCs w:val="18"/>
                      <w:u w:val="none"/>
                    </w:rPr>
                    <w:t>处理措施</w:t>
                  </w:r>
                </w:p>
              </w:tc>
              <w:tc>
                <w:tcPr>
                  <w:tcW w:w="455" w:type="pct"/>
                  <w:vMerge w:val="restart"/>
                  <w:tcBorders>
                    <w:top w:val="single" w:color="auto" w:sz="4" w:space="0"/>
                    <w:left w:val="single" w:color="auto" w:sz="4" w:space="0"/>
                    <w:right w:val="single" w:color="auto" w:sz="4" w:space="0"/>
                  </w:tcBorders>
                  <w:vAlign w:val="center"/>
                </w:tcPr>
                <w:p>
                  <w:pPr>
                    <w:widowControl/>
                    <w:jc w:val="center"/>
                    <w:rPr>
                      <w:b/>
                      <w:bCs/>
                      <w:color w:val="auto"/>
                      <w:kern w:val="0"/>
                      <w:sz w:val="18"/>
                      <w:szCs w:val="18"/>
                      <w:u w:val="none"/>
                    </w:rPr>
                  </w:pPr>
                  <w:r>
                    <w:rPr>
                      <w:b/>
                      <w:bCs/>
                      <w:color w:val="auto"/>
                      <w:kern w:val="0"/>
                      <w:sz w:val="18"/>
                      <w:szCs w:val="18"/>
                      <w:u w:val="none"/>
                    </w:rPr>
                    <w:t>处理效率（%）</w:t>
                  </w:r>
                </w:p>
              </w:tc>
              <w:tc>
                <w:tcPr>
                  <w:tcW w:w="1354" w:type="pct"/>
                  <w:gridSpan w:val="3"/>
                  <w:tcBorders>
                    <w:top w:val="single" w:color="auto" w:sz="4" w:space="0"/>
                    <w:left w:val="single" w:color="auto" w:sz="4" w:space="0"/>
                    <w:right w:val="single" w:color="auto" w:sz="4" w:space="0"/>
                  </w:tcBorders>
                  <w:vAlign w:val="center"/>
                </w:tcPr>
                <w:p>
                  <w:pPr>
                    <w:widowControl/>
                    <w:jc w:val="center"/>
                    <w:rPr>
                      <w:b/>
                      <w:bCs/>
                      <w:color w:val="auto"/>
                      <w:kern w:val="0"/>
                      <w:sz w:val="18"/>
                      <w:szCs w:val="18"/>
                      <w:u w:val="none"/>
                    </w:rPr>
                  </w:pPr>
                  <w:r>
                    <w:rPr>
                      <w:b/>
                      <w:bCs/>
                      <w:color w:val="auto"/>
                      <w:kern w:val="0"/>
                      <w:sz w:val="18"/>
                      <w:szCs w:val="18"/>
                      <w:u w:val="none"/>
                    </w:rPr>
                    <w:t>排放情况</w:t>
                  </w:r>
                </w:p>
              </w:tc>
              <w:tc>
                <w:tcPr>
                  <w:tcW w:w="551" w:type="pct"/>
                  <w:vMerge w:val="restart"/>
                  <w:tcBorders>
                    <w:top w:val="single" w:color="auto" w:sz="4" w:space="0"/>
                    <w:left w:val="single" w:color="auto" w:sz="4" w:space="0"/>
                    <w:right w:val="single" w:color="auto" w:sz="4" w:space="0"/>
                  </w:tcBorders>
                  <w:vAlign w:val="center"/>
                </w:tcPr>
                <w:p>
                  <w:pPr>
                    <w:widowControl/>
                    <w:jc w:val="center"/>
                    <w:rPr>
                      <w:b/>
                      <w:bCs/>
                      <w:color w:val="auto"/>
                      <w:kern w:val="0"/>
                      <w:sz w:val="18"/>
                      <w:szCs w:val="18"/>
                      <w:u w:val="none"/>
                    </w:rPr>
                  </w:pPr>
                  <w:r>
                    <w:rPr>
                      <w:b/>
                      <w:bCs/>
                      <w:color w:val="auto"/>
                      <w:kern w:val="0"/>
                      <w:sz w:val="18"/>
                      <w:szCs w:val="18"/>
                      <w:u w:val="none"/>
                    </w:rPr>
                    <w:t>排放标准（kg/h）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8" w:type="pct"/>
                  <w:vMerge w:val="continue"/>
                  <w:tcBorders>
                    <w:left w:val="single" w:color="auto" w:sz="4" w:space="0"/>
                    <w:bottom w:val="single" w:color="auto" w:sz="4" w:space="0"/>
                    <w:right w:val="single" w:color="auto" w:sz="4" w:space="0"/>
                  </w:tcBorders>
                  <w:vAlign w:val="center"/>
                </w:tcPr>
                <w:p>
                  <w:pPr>
                    <w:widowControl/>
                    <w:jc w:val="center"/>
                    <w:rPr>
                      <w:b/>
                      <w:bCs/>
                      <w:color w:val="auto"/>
                      <w:kern w:val="0"/>
                      <w:sz w:val="18"/>
                      <w:szCs w:val="18"/>
                      <w:u w:val="none"/>
                    </w:rPr>
                  </w:pPr>
                </w:p>
              </w:tc>
              <w:tc>
                <w:tcPr>
                  <w:tcW w:w="398" w:type="pct"/>
                  <w:vMerge w:val="continue"/>
                  <w:tcBorders>
                    <w:left w:val="single" w:color="auto" w:sz="4" w:space="0"/>
                    <w:bottom w:val="single" w:color="auto" w:sz="4" w:space="0"/>
                    <w:right w:val="single" w:color="auto" w:sz="4" w:space="0"/>
                  </w:tcBorders>
                  <w:vAlign w:val="center"/>
                </w:tcPr>
                <w:p>
                  <w:pPr>
                    <w:widowControl/>
                    <w:jc w:val="center"/>
                    <w:rPr>
                      <w:b/>
                      <w:bCs/>
                      <w:color w:val="auto"/>
                      <w:kern w:val="0"/>
                      <w:sz w:val="18"/>
                      <w:szCs w:val="18"/>
                      <w:u w:val="none"/>
                    </w:rPr>
                  </w:pPr>
                </w:p>
              </w:tc>
              <w:tc>
                <w:tcPr>
                  <w:tcW w:w="47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b/>
                      <w:bCs/>
                      <w:color w:val="auto"/>
                      <w:kern w:val="0"/>
                      <w:sz w:val="18"/>
                      <w:szCs w:val="18"/>
                      <w:u w:val="none"/>
                    </w:rPr>
                  </w:pPr>
                  <w:r>
                    <w:rPr>
                      <w:b/>
                      <w:bCs/>
                      <w:color w:val="auto"/>
                      <w:kern w:val="0"/>
                      <w:sz w:val="18"/>
                      <w:szCs w:val="18"/>
                      <w:u w:val="none"/>
                    </w:rPr>
                    <w:t>产生量(t/a)</w:t>
                  </w:r>
                </w:p>
              </w:tc>
              <w:tc>
                <w:tcPr>
                  <w:tcW w:w="47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b/>
                      <w:bCs/>
                      <w:color w:val="auto"/>
                      <w:kern w:val="0"/>
                      <w:sz w:val="18"/>
                      <w:szCs w:val="18"/>
                      <w:u w:val="none"/>
                    </w:rPr>
                  </w:pPr>
                  <w:r>
                    <w:rPr>
                      <w:b/>
                      <w:bCs/>
                      <w:color w:val="auto"/>
                      <w:kern w:val="0"/>
                      <w:sz w:val="18"/>
                      <w:szCs w:val="18"/>
                      <w:u w:val="none"/>
                    </w:rPr>
                    <w:t>产生速率(kg/h)</w:t>
                  </w:r>
                </w:p>
              </w:tc>
              <w:tc>
                <w:tcPr>
                  <w:tcW w:w="500" w:type="pct"/>
                  <w:tcBorders>
                    <w:left w:val="single" w:color="auto" w:sz="4" w:space="0"/>
                    <w:bottom w:val="single" w:color="auto" w:sz="4" w:space="0"/>
                    <w:right w:val="single" w:color="auto" w:sz="4" w:space="0"/>
                  </w:tcBorders>
                </w:tcPr>
                <w:p>
                  <w:pPr>
                    <w:widowControl/>
                    <w:tabs>
                      <w:tab w:val="left" w:pos="1050"/>
                    </w:tabs>
                    <w:autoSpaceDE w:val="0"/>
                    <w:jc w:val="center"/>
                    <w:rPr>
                      <w:b/>
                      <w:bCs/>
                      <w:color w:val="auto"/>
                      <w:kern w:val="0"/>
                      <w:sz w:val="18"/>
                      <w:szCs w:val="18"/>
                      <w:u w:val="none"/>
                    </w:rPr>
                  </w:pPr>
                  <w:r>
                    <w:rPr>
                      <w:rFonts w:hint="eastAsia"/>
                      <w:b/>
                      <w:bCs/>
                      <w:color w:val="auto"/>
                      <w:kern w:val="0"/>
                      <w:sz w:val="18"/>
                      <w:szCs w:val="18"/>
                      <w:u w:val="none"/>
                    </w:rPr>
                    <w:t>产生浓度(mg/m</w:t>
                  </w:r>
                  <w:r>
                    <w:rPr>
                      <w:rFonts w:hint="eastAsia"/>
                      <w:b/>
                      <w:bCs/>
                      <w:color w:val="auto"/>
                      <w:kern w:val="0"/>
                      <w:sz w:val="18"/>
                      <w:szCs w:val="18"/>
                      <w:u w:val="none"/>
                      <w:vertAlign w:val="superscript"/>
                    </w:rPr>
                    <w:t>3</w:t>
                  </w:r>
                  <w:r>
                    <w:rPr>
                      <w:rFonts w:hint="eastAsia"/>
                      <w:b/>
                      <w:bCs/>
                      <w:color w:val="auto"/>
                      <w:kern w:val="0"/>
                      <w:sz w:val="18"/>
                      <w:szCs w:val="18"/>
                      <w:u w:val="none"/>
                    </w:rPr>
                    <w:t>)</w:t>
                  </w:r>
                </w:p>
              </w:tc>
              <w:tc>
                <w:tcPr>
                  <w:tcW w:w="551" w:type="pct"/>
                  <w:vMerge w:val="continue"/>
                  <w:tcBorders>
                    <w:left w:val="single" w:color="auto" w:sz="4" w:space="0"/>
                    <w:bottom w:val="single" w:color="auto" w:sz="4" w:space="0"/>
                    <w:right w:val="single" w:color="auto" w:sz="4" w:space="0"/>
                  </w:tcBorders>
                  <w:vAlign w:val="center"/>
                </w:tcPr>
                <w:p>
                  <w:pPr>
                    <w:widowControl/>
                    <w:tabs>
                      <w:tab w:val="left" w:pos="1050"/>
                    </w:tabs>
                    <w:autoSpaceDE w:val="0"/>
                    <w:jc w:val="center"/>
                    <w:rPr>
                      <w:b/>
                      <w:bCs/>
                      <w:color w:val="auto"/>
                      <w:kern w:val="0"/>
                      <w:sz w:val="18"/>
                      <w:szCs w:val="18"/>
                      <w:u w:val="none"/>
                    </w:rPr>
                  </w:pPr>
                </w:p>
              </w:tc>
              <w:tc>
                <w:tcPr>
                  <w:tcW w:w="455" w:type="pct"/>
                  <w:vMerge w:val="continue"/>
                  <w:tcBorders>
                    <w:left w:val="single" w:color="auto" w:sz="4" w:space="0"/>
                    <w:bottom w:val="single" w:color="auto" w:sz="4" w:space="0"/>
                    <w:right w:val="single" w:color="auto" w:sz="4" w:space="0"/>
                  </w:tcBorders>
                  <w:vAlign w:val="center"/>
                </w:tcPr>
                <w:p>
                  <w:pPr>
                    <w:widowControl/>
                    <w:jc w:val="center"/>
                    <w:rPr>
                      <w:b/>
                      <w:bCs/>
                      <w:color w:val="auto"/>
                      <w:kern w:val="0"/>
                      <w:sz w:val="18"/>
                      <w:szCs w:val="18"/>
                      <w:u w:val="none"/>
                    </w:rPr>
                  </w:pPr>
                </w:p>
              </w:tc>
              <w:tc>
                <w:tcPr>
                  <w:tcW w:w="426" w:type="pct"/>
                  <w:tcBorders>
                    <w:left w:val="single" w:color="auto" w:sz="4" w:space="0"/>
                    <w:bottom w:val="single" w:color="auto" w:sz="4" w:space="0"/>
                    <w:right w:val="single" w:color="auto" w:sz="4" w:space="0"/>
                  </w:tcBorders>
                  <w:vAlign w:val="center"/>
                </w:tcPr>
                <w:p>
                  <w:pPr>
                    <w:widowControl/>
                    <w:jc w:val="center"/>
                    <w:rPr>
                      <w:b/>
                      <w:bCs/>
                      <w:color w:val="auto"/>
                      <w:kern w:val="0"/>
                      <w:sz w:val="18"/>
                      <w:szCs w:val="18"/>
                      <w:u w:val="none"/>
                    </w:rPr>
                  </w:pPr>
                  <w:r>
                    <w:rPr>
                      <w:rFonts w:hint="eastAsia"/>
                      <w:b/>
                      <w:bCs/>
                      <w:color w:val="auto"/>
                      <w:kern w:val="0"/>
                      <w:sz w:val="18"/>
                      <w:szCs w:val="18"/>
                      <w:u w:val="none"/>
                    </w:rPr>
                    <w:t>排放</w:t>
                  </w:r>
                  <w:r>
                    <w:rPr>
                      <w:b/>
                      <w:bCs/>
                      <w:color w:val="auto"/>
                      <w:kern w:val="0"/>
                      <w:sz w:val="18"/>
                      <w:szCs w:val="18"/>
                      <w:u w:val="none"/>
                    </w:rPr>
                    <w:t>量(t/a)</w:t>
                  </w:r>
                </w:p>
              </w:tc>
              <w:tc>
                <w:tcPr>
                  <w:tcW w:w="426" w:type="pct"/>
                  <w:tcBorders>
                    <w:left w:val="single" w:color="auto" w:sz="4" w:space="0"/>
                    <w:bottom w:val="single" w:color="auto" w:sz="4" w:space="0"/>
                    <w:right w:val="single" w:color="auto" w:sz="4" w:space="0"/>
                  </w:tcBorders>
                  <w:vAlign w:val="center"/>
                </w:tcPr>
                <w:p>
                  <w:pPr>
                    <w:widowControl/>
                    <w:jc w:val="center"/>
                    <w:rPr>
                      <w:b/>
                      <w:bCs/>
                      <w:color w:val="auto"/>
                      <w:kern w:val="0"/>
                      <w:sz w:val="18"/>
                      <w:szCs w:val="18"/>
                      <w:u w:val="none"/>
                    </w:rPr>
                  </w:pPr>
                  <w:r>
                    <w:rPr>
                      <w:rFonts w:hint="eastAsia"/>
                      <w:b/>
                      <w:bCs/>
                      <w:color w:val="auto"/>
                      <w:kern w:val="0"/>
                      <w:sz w:val="18"/>
                      <w:szCs w:val="18"/>
                      <w:u w:val="none"/>
                    </w:rPr>
                    <w:t>排放</w:t>
                  </w:r>
                  <w:r>
                    <w:rPr>
                      <w:b/>
                      <w:bCs/>
                      <w:color w:val="auto"/>
                      <w:kern w:val="0"/>
                      <w:sz w:val="18"/>
                      <w:szCs w:val="18"/>
                      <w:u w:val="none"/>
                    </w:rPr>
                    <w:t>速率(kg/h)</w:t>
                  </w:r>
                </w:p>
              </w:tc>
              <w:tc>
                <w:tcPr>
                  <w:tcW w:w="500" w:type="pct"/>
                  <w:tcBorders>
                    <w:left w:val="single" w:color="auto" w:sz="4" w:space="0"/>
                    <w:bottom w:val="single" w:color="auto" w:sz="4" w:space="0"/>
                    <w:right w:val="single" w:color="auto" w:sz="4" w:space="0"/>
                  </w:tcBorders>
                </w:tcPr>
                <w:p>
                  <w:pPr>
                    <w:widowControl/>
                    <w:jc w:val="center"/>
                    <w:rPr>
                      <w:b/>
                      <w:bCs/>
                      <w:color w:val="auto"/>
                      <w:kern w:val="0"/>
                      <w:sz w:val="18"/>
                      <w:szCs w:val="18"/>
                      <w:u w:val="none"/>
                    </w:rPr>
                  </w:pPr>
                  <w:r>
                    <w:rPr>
                      <w:rFonts w:hint="eastAsia"/>
                      <w:b/>
                      <w:bCs/>
                      <w:color w:val="auto"/>
                      <w:kern w:val="0"/>
                      <w:sz w:val="18"/>
                      <w:szCs w:val="18"/>
                      <w:u w:val="none"/>
                    </w:rPr>
                    <w:t>排放浓度(mg/m</w:t>
                  </w:r>
                  <w:r>
                    <w:rPr>
                      <w:rFonts w:hint="eastAsia"/>
                      <w:b/>
                      <w:bCs/>
                      <w:color w:val="auto"/>
                      <w:kern w:val="0"/>
                      <w:sz w:val="18"/>
                      <w:szCs w:val="18"/>
                      <w:u w:val="none"/>
                      <w:vertAlign w:val="superscript"/>
                    </w:rPr>
                    <w:t>3</w:t>
                  </w:r>
                  <w:r>
                    <w:rPr>
                      <w:rFonts w:hint="eastAsia"/>
                      <w:b/>
                      <w:bCs/>
                      <w:color w:val="auto"/>
                      <w:kern w:val="0"/>
                      <w:sz w:val="18"/>
                      <w:szCs w:val="18"/>
                      <w:u w:val="none"/>
                    </w:rPr>
                    <w:t>)</w:t>
                  </w:r>
                </w:p>
              </w:tc>
              <w:tc>
                <w:tcPr>
                  <w:tcW w:w="551" w:type="pct"/>
                  <w:vMerge w:val="continue"/>
                  <w:tcBorders>
                    <w:left w:val="single" w:color="auto" w:sz="4" w:space="0"/>
                    <w:bottom w:val="single" w:color="auto" w:sz="4" w:space="0"/>
                    <w:right w:val="single" w:color="auto" w:sz="4" w:space="0"/>
                  </w:tcBorders>
                  <w:vAlign w:val="center"/>
                </w:tcPr>
                <w:p>
                  <w:pPr>
                    <w:widowControl/>
                    <w:jc w:val="center"/>
                    <w:rPr>
                      <w:b/>
                      <w:bCs/>
                      <w:color w:val="auto"/>
                      <w:kern w:val="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8" w:type="pct"/>
                  <w:vMerge w:val="restart"/>
                  <w:tcBorders>
                    <w:top w:val="single" w:color="auto" w:sz="4" w:space="0"/>
                    <w:left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r>
                    <w:rPr>
                      <w:color w:val="auto"/>
                      <w:kern w:val="0"/>
                      <w:sz w:val="18"/>
                      <w:szCs w:val="18"/>
                      <w:u w:val="none"/>
                    </w:rPr>
                    <w:t>有有组织</w:t>
                  </w:r>
                </w:p>
              </w:tc>
              <w:tc>
                <w:tcPr>
                  <w:tcW w:w="398"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r>
                    <w:rPr>
                      <w:color w:val="auto"/>
                      <w:sz w:val="18"/>
                      <w:szCs w:val="18"/>
                      <w:u w:val="none"/>
                    </w:rPr>
                    <w:t>NH</w:t>
                  </w:r>
                  <w:r>
                    <w:rPr>
                      <w:color w:val="auto"/>
                      <w:sz w:val="18"/>
                      <w:szCs w:val="18"/>
                      <w:u w:val="none"/>
                      <w:vertAlign w:val="subscript"/>
                    </w:rPr>
                    <w:t>3</w:t>
                  </w:r>
                </w:p>
              </w:tc>
              <w:tc>
                <w:tcPr>
                  <w:tcW w:w="47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0.3186</w:t>
                  </w:r>
                </w:p>
              </w:tc>
              <w:tc>
                <w:tcPr>
                  <w:tcW w:w="47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0.0531</w:t>
                  </w:r>
                </w:p>
              </w:tc>
              <w:tc>
                <w:tcPr>
                  <w:tcW w:w="500" w:type="pct"/>
                  <w:tcBorders>
                    <w:top w:val="single" w:color="auto" w:sz="4" w:space="0"/>
                    <w:left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10.618</w:t>
                  </w:r>
                </w:p>
              </w:tc>
              <w:tc>
                <w:tcPr>
                  <w:tcW w:w="551" w:type="pct"/>
                  <w:vMerge w:val="restart"/>
                  <w:tcBorders>
                    <w:top w:val="single" w:color="auto" w:sz="4" w:space="0"/>
                    <w:left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污水池密闭负压收集+“二级喷淋+生物滤池”+15m排气筒</w:t>
                  </w:r>
                </w:p>
              </w:tc>
              <w:tc>
                <w:tcPr>
                  <w:tcW w:w="455" w:type="pct"/>
                  <w:tcBorders>
                    <w:top w:val="single" w:color="auto" w:sz="4" w:space="0"/>
                    <w:left w:val="single" w:color="auto" w:sz="4" w:space="0"/>
                    <w:right w:val="single" w:color="auto" w:sz="4" w:space="0"/>
                  </w:tcBorders>
                  <w:vAlign w:val="center"/>
                </w:tcPr>
                <w:p>
                  <w:pPr>
                    <w:widowControl/>
                    <w:tabs>
                      <w:tab w:val="left" w:pos="1050"/>
                    </w:tabs>
                    <w:autoSpaceDE w:val="0"/>
                    <w:jc w:val="center"/>
                    <w:rPr>
                      <w:rFonts w:hint="default" w:ascii="Times New Roman" w:hAnsi="Times New Roman" w:eastAsia="宋体" w:cs="Times New Roman"/>
                      <w:color w:val="auto"/>
                      <w:kern w:val="0"/>
                      <w:sz w:val="18"/>
                      <w:szCs w:val="18"/>
                      <w:u w:val="none"/>
                      <w:lang w:val="en-US" w:eastAsia="zh-CN"/>
                    </w:rPr>
                  </w:pPr>
                  <w:r>
                    <w:rPr>
                      <w:rFonts w:hint="eastAsia" w:ascii="Times New Roman" w:hAnsi="Times New Roman" w:eastAsia="宋体" w:cs="Times New Roman"/>
                      <w:color w:val="auto"/>
                      <w:kern w:val="0"/>
                      <w:sz w:val="18"/>
                      <w:szCs w:val="18"/>
                      <w:u w:val="none"/>
                      <w:lang w:val="en-US" w:eastAsia="zh-CN"/>
                    </w:rPr>
                    <w:t>88</w:t>
                  </w:r>
                </w:p>
              </w:tc>
              <w:tc>
                <w:tcPr>
                  <w:tcW w:w="711"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0.0382</w:t>
                  </w:r>
                </w:p>
              </w:tc>
              <w:tc>
                <w:tcPr>
                  <w:tcW w:w="711"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0.0064</w:t>
                  </w:r>
                </w:p>
              </w:tc>
              <w:tc>
                <w:tcPr>
                  <w:tcW w:w="837"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1.274</w:t>
                  </w:r>
                </w:p>
              </w:tc>
              <w:tc>
                <w:tcPr>
                  <w:tcW w:w="55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color w:val="auto"/>
                      <w:kern w:val="0"/>
                      <w:sz w:val="18"/>
                      <w:szCs w:val="18"/>
                      <w:u w:val="none"/>
                    </w:rPr>
                  </w:pPr>
                  <w:r>
                    <w:rPr>
                      <w:rFonts w:hint="eastAsia"/>
                      <w:color w:val="auto"/>
                      <w:kern w:val="0"/>
                      <w:sz w:val="18"/>
                      <w:szCs w:val="18"/>
                      <w:u w:val="none"/>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8" w:type="pct"/>
                  <w:vMerge w:val="continue"/>
                  <w:tcBorders>
                    <w:top w:val="single" w:color="auto" w:sz="4" w:space="0"/>
                    <w:left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p>
              </w:tc>
              <w:tc>
                <w:tcPr>
                  <w:tcW w:w="398"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sz w:val="18"/>
                      <w:szCs w:val="18"/>
                      <w:u w:val="none"/>
                    </w:rPr>
                  </w:pPr>
                  <w:r>
                    <w:rPr>
                      <w:color w:val="auto"/>
                      <w:sz w:val="18"/>
                      <w:szCs w:val="18"/>
                      <w:u w:val="none"/>
                    </w:rPr>
                    <w:t>H</w:t>
                  </w:r>
                  <w:r>
                    <w:rPr>
                      <w:color w:val="auto"/>
                      <w:sz w:val="18"/>
                      <w:szCs w:val="18"/>
                      <w:u w:val="none"/>
                      <w:vertAlign w:val="subscript"/>
                    </w:rPr>
                    <w:t>2</w:t>
                  </w:r>
                  <w:r>
                    <w:rPr>
                      <w:color w:val="auto"/>
                      <w:sz w:val="18"/>
                      <w:szCs w:val="18"/>
                      <w:u w:val="none"/>
                    </w:rPr>
                    <w:t>S</w:t>
                  </w:r>
                </w:p>
              </w:tc>
              <w:tc>
                <w:tcPr>
                  <w:tcW w:w="47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0.0123</w:t>
                  </w:r>
                </w:p>
              </w:tc>
              <w:tc>
                <w:tcPr>
                  <w:tcW w:w="47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0.0021</w:t>
                  </w:r>
                </w:p>
              </w:tc>
              <w:tc>
                <w:tcPr>
                  <w:tcW w:w="500" w:type="pct"/>
                  <w:tcBorders>
                    <w:top w:val="single" w:color="auto" w:sz="4" w:space="0"/>
                    <w:left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0.411</w:t>
                  </w:r>
                </w:p>
              </w:tc>
              <w:tc>
                <w:tcPr>
                  <w:tcW w:w="551" w:type="pct"/>
                  <w:vMerge w:val="continue"/>
                  <w:tcBorders>
                    <w:top w:val="single" w:color="auto" w:sz="4" w:space="0"/>
                    <w:left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p>
              </w:tc>
              <w:tc>
                <w:tcPr>
                  <w:tcW w:w="455" w:type="pct"/>
                  <w:tcBorders>
                    <w:top w:val="single" w:color="auto" w:sz="4" w:space="0"/>
                    <w:left w:val="single" w:color="auto" w:sz="4" w:space="0"/>
                    <w:right w:val="single" w:color="auto" w:sz="4" w:space="0"/>
                  </w:tcBorders>
                  <w:vAlign w:val="center"/>
                </w:tcPr>
                <w:p>
                  <w:pPr>
                    <w:widowControl/>
                    <w:tabs>
                      <w:tab w:val="left" w:pos="1050"/>
                    </w:tabs>
                    <w:autoSpaceDE w:val="0"/>
                    <w:jc w:val="center"/>
                    <w:rPr>
                      <w:rFonts w:hint="default" w:ascii="Times New Roman" w:hAnsi="Times New Roman" w:eastAsia="宋体" w:cs="Times New Roman"/>
                      <w:color w:val="auto"/>
                      <w:kern w:val="0"/>
                      <w:sz w:val="18"/>
                      <w:szCs w:val="18"/>
                      <w:u w:val="none"/>
                      <w:lang w:val="en-US" w:eastAsia="zh-CN"/>
                    </w:rPr>
                  </w:pPr>
                  <w:r>
                    <w:rPr>
                      <w:rFonts w:hint="eastAsia" w:ascii="Times New Roman" w:hAnsi="Times New Roman" w:eastAsia="宋体" w:cs="Times New Roman"/>
                      <w:color w:val="auto"/>
                      <w:kern w:val="0"/>
                      <w:sz w:val="18"/>
                      <w:szCs w:val="18"/>
                      <w:u w:val="none"/>
                      <w:lang w:val="en-US" w:eastAsia="zh-CN"/>
                    </w:rPr>
                    <w:t>88</w:t>
                  </w:r>
                </w:p>
              </w:tc>
              <w:tc>
                <w:tcPr>
                  <w:tcW w:w="711"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0.0015</w:t>
                  </w:r>
                </w:p>
              </w:tc>
              <w:tc>
                <w:tcPr>
                  <w:tcW w:w="711"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0.0002</w:t>
                  </w:r>
                </w:p>
              </w:tc>
              <w:tc>
                <w:tcPr>
                  <w:tcW w:w="837"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0.049</w:t>
                  </w:r>
                </w:p>
              </w:tc>
              <w:tc>
                <w:tcPr>
                  <w:tcW w:w="55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color w:val="auto"/>
                      <w:kern w:val="0"/>
                      <w:sz w:val="18"/>
                      <w:szCs w:val="18"/>
                      <w:u w:val="none"/>
                    </w:rPr>
                  </w:pPr>
                  <w:r>
                    <w:rPr>
                      <w:rFonts w:hint="eastAsia"/>
                      <w:color w:val="auto"/>
                      <w:kern w:val="0"/>
                      <w:sz w:val="18"/>
                      <w:szCs w:val="18"/>
                      <w:u w:val="none"/>
                    </w:rP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8" w:type="pct"/>
                  <w:vMerge w:val="continue"/>
                  <w:tcBorders>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p>
              </w:tc>
              <w:tc>
                <w:tcPr>
                  <w:tcW w:w="398"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r>
                    <w:rPr>
                      <w:rFonts w:hint="eastAsia"/>
                      <w:color w:val="auto"/>
                      <w:kern w:val="0"/>
                      <w:sz w:val="18"/>
                      <w:szCs w:val="18"/>
                      <w:u w:val="none"/>
                    </w:rPr>
                    <w:t>臭气浓度</w:t>
                  </w:r>
                </w:p>
              </w:tc>
              <w:tc>
                <w:tcPr>
                  <w:tcW w:w="47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47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500" w:type="pct"/>
                  <w:tcBorders>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551" w:type="pct"/>
                  <w:vMerge w:val="continue"/>
                  <w:tcBorders>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p>
              </w:tc>
              <w:tc>
                <w:tcPr>
                  <w:tcW w:w="455" w:type="pct"/>
                  <w:tcBorders>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42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42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500"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＜2000（无量纲）</w:t>
                  </w:r>
                </w:p>
              </w:tc>
              <w:tc>
                <w:tcPr>
                  <w:tcW w:w="55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r>
                    <w:rPr>
                      <w:rFonts w:hint="eastAsia"/>
                      <w:color w:val="auto"/>
                      <w:kern w:val="0"/>
                      <w:sz w:val="18"/>
                      <w:szCs w:val="18"/>
                      <w:u w:val="none"/>
                    </w:rPr>
                    <w:t>2000（无量纲）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8" w:type="pct"/>
                  <w:vMerge w:val="restart"/>
                  <w:tcBorders>
                    <w:top w:val="single" w:color="auto" w:sz="4" w:space="0"/>
                    <w:left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r>
                    <w:rPr>
                      <w:color w:val="auto"/>
                      <w:kern w:val="0"/>
                      <w:sz w:val="18"/>
                      <w:szCs w:val="18"/>
                      <w:u w:val="none"/>
                    </w:rPr>
                    <w:t>无组织</w:t>
                  </w:r>
                </w:p>
              </w:tc>
              <w:tc>
                <w:tcPr>
                  <w:tcW w:w="398"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r>
                    <w:rPr>
                      <w:color w:val="auto"/>
                      <w:sz w:val="18"/>
                      <w:szCs w:val="18"/>
                      <w:u w:val="none"/>
                    </w:rPr>
                    <w:t>NH</w:t>
                  </w:r>
                  <w:r>
                    <w:rPr>
                      <w:color w:val="auto"/>
                      <w:sz w:val="18"/>
                      <w:szCs w:val="18"/>
                      <w:u w:val="none"/>
                      <w:vertAlign w:val="subscript"/>
                    </w:rPr>
                    <w:t>3</w:t>
                  </w:r>
                </w:p>
              </w:tc>
              <w:tc>
                <w:tcPr>
                  <w:tcW w:w="794"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0.0354</w:t>
                  </w:r>
                </w:p>
              </w:tc>
              <w:tc>
                <w:tcPr>
                  <w:tcW w:w="794"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0.0059</w:t>
                  </w:r>
                </w:p>
              </w:tc>
              <w:tc>
                <w:tcPr>
                  <w:tcW w:w="500" w:type="pct"/>
                  <w:tcBorders>
                    <w:top w:val="single" w:color="auto" w:sz="4" w:space="0"/>
                    <w:left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551" w:type="pct"/>
                  <w:vMerge w:val="restart"/>
                  <w:tcBorders>
                    <w:top w:val="single" w:color="auto" w:sz="4" w:space="0"/>
                    <w:left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喷洒除臭剂、加强绿化</w:t>
                  </w:r>
                </w:p>
              </w:tc>
              <w:tc>
                <w:tcPr>
                  <w:tcW w:w="455"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0</w:t>
                  </w:r>
                </w:p>
              </w:tc>
              <w:tc>
                <w:tcPr>
                  <w:tcW w:w="711"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0.0354</w:t>
                  </w:r>
                </w:p>
              </w:tc>
              <w:tc>
                <w:tcPr>
                  <w:tcW w:w="711"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0.0059</w:t>
                  </w:r>
                </w:p>
              </w:tc>
              <w:tc>
                <w:tcPr>
                  <w:tcW w:w="500"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55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r>
                    <w:rPr>
                      <w:rFonts w:hint="eastAsia"/>
                      <w:color w:val="auto"/>
                      <w:kern w:val="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8" w:type="pct"/>
                  <w:vMerge w:val="continue"/>
                  <w:tcBorders>
                    <w:top w:val="single" w:color="auto" w:sz="4" w:space="0"/>
                    <w:left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p>
              </w:tc>
              <w:tc>
                <w:tcPr>
                  <w:tcW w:w="398"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sz w:val="18"/>
                      <w:szCs w:val="18"/>
                      <w:u w:val="none"/>
                    </w:rPr>
                  </w:pPr>
                  <w:r>
                    <w:rPr>
                      <w:color w:val="auto"/>
                      <w:sz w:val="18"/>
                      <w:szCs w:val="18"/>
                      <w:u w:val="none"/>
                    </w:rPr>
                    <w:t>H</w:t>
                  </w:r>
                  <w:r>
                    <w:rPr>
                      <w:color w:val="auto"/>
                      <w:sz w:val="18"/>
                      <w:szCs w:val="18"/>
                      <w:u w:val="none"/>
                      <w:vertAlign w:val="subscript"/>
                    </w:rPr>
                    <w:t>2</w:t>
                  </w:r>
                  <w:r>
                    <w:rPr>
                      <w:color w:val="auto"/>
                      <w:sz w:val="18"/>
                      <w:szCs w:val="18"/>
                      <w:u w:val="none"/>
                    </w:rPr>
                    <w:t>S</w:t>
                  </w:r>
                </w:p>
              </w:tc>
              <w:tc>
                <w:tcPr>
                  <w:tcW w:w="794"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0.0014</w:t>
                  </w:r>
                </w:p>
              </w:tc>
              <w:tc>
                <w:tcPr>
                  <w:tcW w:w="794"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0.0002</w:t>
                  </w:r>
                </w:p>
              </w:tc>
              <w:tc>
                <w:tcPr>
                  <w:tcW w:w="500" w:type="pct"/>
                  <w:tcBorders>
                    <w:top w:val="single" w:color="auto" w:sz="4" w:space="0"/>
                    <w:left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551" w:type="pct"/>
                  <w:vMerge w:val="continue"/>
                  <w:tcBorders>
                    <w:top w:val="single" w:color="auto" w:sz="4" w:space="0"/>
                    <w:left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p>
              </w:tc>
              <w:tc>
                <w:tcPr>
                  <w:tcW w:w="455"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0</w:t>
                  </w:r>
                </w:p>
              </w:tc>
              <w:tc>
                <w:tcPr>
                  <w:tcW w:w="711"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0.0014</w:t>
                  </w:r>
                </w:p>
              </w:tc>
              <w:tc>
                <w:tcPr>
                  <w:tcW w:w="711"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default" w:ascii="Times New Roman" w:hAnsi="Times New Roman" w:eastAsia="宋体" w:cs="Times New Roman"/>
                      <w:color w:val="auto"/>
                      <w:kern w:val="0"/>
                      <w:sz w:val="18"/>
                      <w:szCs w:val="18"/>
                      <w:u w:val="none"/>
                      <w:lang w:val="en-US" w:eastAsia="zh-CN"/>
                    </w:rPr>
                    <w:t>0.0002</w:t>
                  </w:r>
                </w:p>
              </w:tc>
              <w:tc>
                <w:tcPr>
                  <w:tcW w:w="500"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55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r>
                    <w:rPr>
                      <w:rFonts w:hint="eastAsia"/>
                      <w:color w:val="auto"/>
                      <w:kern w:val="0"/>
                      <w:sz w:val="18"/>
                      <w:szCs w:val="18"/>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8" w:type="pct"/>
                  <w:vMerge w:val="continue"/>
                  <w:tcBorders>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p>
              </w:tc>
              <w:tc>
                <w:tcPr>
                  <w:tcW w:w="398"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r>
                    <w:rPr>
                      <w:rFonts w:hint="eastAsia"/>
                      <w:color w:val="auto"/>
                      <w:kern w:val="0"/>
                      <w:sz w:val="18"/>
                      <w:szCs w:val="18"/>
                      <w:u w:val="none"/>
                    </w:rPr>
                    <w:t>臭气浓度</w:t>
                  </w:r>
                </w:p>
              </w:tc>
              <w:tc>
                <w:tcPr>
                  <w:tcW w:w="47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47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500" w:type="pct"/>
                  <w:tcBorders>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551" w:type="pct"/>
                  <w:vMerge w:val="continue"/>
                  <w:tcBorders>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p>
              </w:tc>
              <w:tc>
                <w:tcPr>
                  <w:tcW w:w="455"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0</w:t>
                  </w:r>
                </w:p>
              </w:tc>
              <w:tc>
                <w:tcPr>
                  <w:tcW w:w="42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426"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500"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ascii="Times New Roman" w:hAnsi="Times New Roman" w:eastAsia="宋体" w:cs="Times New Roman"/>
                      <w:color w:val="auto"/>
                      <w:kern w:val="0"/>
                      <w:sz w:val="18"/>
                      <w:szCs w:val="18"/>
                      <w:u w:val="none"/>
                    </w:rPr>
                  </w:pPr>
                  <w:r>
                    <w:rPr>
                      <w:rFonts w:hint="eastAsia" w:ascii="Times New Roman" w:hAnsi="Times New Roman" w:eastAsia="宋体" w:cs="Times New Roman"/>
                      <w:color w:val="auto"/>
                      <w:kern w:val="0"/>
                      <w:sz w:val="18"/>
                      <w:szCs w:val="18"/>
                      <w:u w:val="none"/>
                    </w:rPr>
                    <w:t>/</w:t>
                  </w:r>
                </w:p>
              </w:tc>
              <w:tc>
                <w:tcPr>
                  <w:tcW w:w="55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18"/>
                      <w:szCs w:val="18"/>
                      <w:u w:val="none"/>
                    </w:rPr>
                  </w:pPr>
                  <w:r>
                    <w:rPr>
                      <w:rFonts w:hint="eastAsia"/>
                      <w:color w:val="auto"/>
                      <w:kern w:val="0"/>
                      <w:sz w:val="18"/>
                      <w:szCs w:val="18"/>
                      <w:u w:val="none"/>
                    </w:rPr>
                    <w:t>/</w:t>
                  </w:r>
                </w:p>
              </w:tc>
            </w:tr>
          </w:tbl>
          <w:p>
            <w:pPr>
              <w:spacing w:line="360" w:lineRule="auto"/>
              <w:ind w:firstLine="496" w:firstLineChars="200"/>
              <w:contextualSpacing/>
              <w:rPr>
                <w:rFonts w:hint="eastAsia"/>
                <w:color w:val="auto"/>
                <w:spacing w:val="4"/>
                <w:sz w:val="24"/>
                <w:u w:val="none"/>
              </w:rPr>
            </w:pPr>
            <w:r>
              <w:rPr>
                <w:rFonts w:hint="eastAsia"/>
                <w:color w:val="auto"/>
                <w:spacing w:val="4"/>
                <w:sz w:val="24"/>
                <w:u w:val="none"/>
              </w:rPr>
              <w:t>由上表可知，污水处理站恶臭污染物经处理后可满足</w:t>
            </w:r>
            <w:r>
              <w:rPr>
                <w:color w:val="auto"/>
                <w:spacing w:val="4"/>
                <w:sz w:val="24"/>
                <w:u w:val="none"/>
              </w:rPr>
              <w:t>《恶臭污染物排放标准》（GB 14554-93）表2标准限值</w:t>
            </w:r>
            <w:r>
              <w:rPr>
                <w:rFonts w:hint="eastAsia"/>
                <w:color w:val="auto"/>
                <w:spacing w:val="4"/>
                <w:sz w:val="24"/>
                <w:u w:val="none"/>
              </w:rPr>
              <w:t>。污水处理站附近敏感目标主要为西面、西北面140m的新华二组居民，由于湘阴县常年主导风向为西北风，新华二组居民位于污水站上风向，且本项目厂区西面、西北面均种植绿化进行阻隔，在采取本环评提出的污染防治措施后，污水处理站臭气对新华二组居民及周边环境空气影响较小。</w:t>
            </w:r>
          </w:p>
          <w:p>
            <w:pPr>
              <w:spacing w:line="360" w:lineRule="auto"/>
              <w:ind w:firstLine="498" w:firstLineChars="200"/>
              <w:contextualSpacing/>
              <w:rPr>
                <w:b/>
                <w:bCs/>
                <w:color w:val="auto"/>
                <w:spacing w:val="4"/>
                <w:sz w:val="24"/>
                <w:u w:val="none"/>
              </w:rPr>
            </w:pPr>
            <w:r>
              <w:rPr>
                <w:rFonts w:hint="eastAsia"/>
                <w:b/>
                <w:bCs/>
                <w:color w:val="auto"/>
                <w:spacing w:val="4"/>
                <w:sz w:val="24"/>
                <w:u w:val="none"/>
              </w:rPr>
              <w:t>（5）天然气燃烧废气</w:t>
            </w:r>
          </w:p>
          <w:p>
            <w:pPr>
              <w:spacing w:line="360" w:lineRule="auto"/>
              <w:ind w:firstLine="496" w:firstLineChars="200"/>
              <w:contextualSpacing/>
              <w:rPr>
                <w:color w:val="auto"/>
                <w:spacing w:val="4"/>
                <w:sz w:val="24"/>
                <w:u w:val="none"/>
              </w:rPr>
            </w:pPr>
            <w:r>
              <w:rPr>
                <w:rFonts w:hint="eastAsia"/>
                <w:color w:val="auto"/>
                <w:spacing w:val="4"/>
                <w:sz w:val="24"/>
                <w:u w:val="none"/>
              </w:rPr>
              <w:t>本项目炒制工序使用天然气为燃料，用量为</w:t>
            </w:r>
            <w:r>
              <w:rPr>
                <w:color w:val="auto"/>
                <w:spacing w:val="4"/>
                <w:sz w:val="24"/>
                <w:u w:val="none"/>
              </w:rPr>
              <w:t>20万m</w:t>
            </w:r>
            <w:r>
              <w:rPr>
                <w:color w:val="auto"/>
                <w:spacing w:val="4"/>
                <w:sz w:val="24"/>
                <w:u w:val="none"/>
                <w:vertAlign w:val="superscript"/>
              </w:rPr>
              <w:t>3</w:t>
            </w:r>
            <w:r>
              <w:rPr>
                <w:color w:val="auto"/>
                <w:spacing w:val="4"/>
                <w:sz w:val="24"/>
                <w:u w:val="none"/>
              </w:rPr>
              <w:t>/a</w:t>
            </w:r>
            <w:r>
              <w:rPr>
                <w:rFonts w:hint="eastAsia"/>
                <w:color w:val="auto"/>
                <w:spacing w:val="4"/>
                <w:sz w:val="24"/>
                <w:u w:val="none"/>
              </w:rPr>
              <w:t>。</w:t>
            </w:r>
            <w:r>
              <w:rPr>
                <w:color w:val="auto"/>
                <w:spacing w:val="4"/>
                <w:sz w:val="24"/>
                <w:u w:val="none"/>
              </w:rPr>
              <w:t>根据《排放源统计调查产排污核算方法和系数手册》中的“生活源产排污核算系数手册”，</w:t>
            </w:r>
            <w:r>
              <w:rPr>
                <w:rFonts w:hint="eastAsia"/>
                <w:color w:val="auto"/>
                <w:spacing w:val="4"/>
                <w:sz w:val="24"/>
                <w:u w:val="none"/>
              </w:rPr>
              <w:t>排污系数及计算结果见表4.2-3。炒制区设置排风扇，加强通风，天然气燃烧废气对环境影响较小。</w:t>
            </w:r>
          </w:p>
          <w:p>
            <w:pPr>
              <w:spacing w:line="360" w:lineRule="auto"/>
              <w:contextualSpacing/>
              <w:jc w:val="center"/>
              <w:rPr>
                <w:b/>
                <w:bCs/>
                <w:color w:val="auto"/>
                <w:spacing w:val="4"/>
                <w:sz w:val="24"/>
                <w:u w:val="none"/>
              </w:rPr>
            </w:pPr>
            <w:r>
              <w:rPr>
                <w:rFonts w:hint="eastAsia"/>
                <w:b/>
                <w:bCs/>
                <w:color w:val="auto"/>
                <w:spacing w:val="4"/>
                <w:sz w:val="24"/>
                <w:u w:val="none"/>
              </w:rPr>
              <w:t>表4.2-4 炒制工序天然气燃烧废气排污系数及计算结果</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182"/>
              <w:gridCol w:w="1182"/>
              <w:gridCol w:w="1339"/>
              <w:gridCol w:w="1727"/>
              <w:gridCol w:w="1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pct"/>
                  <w:vAlign w:val="center"/>
                </w:tcPr>
                <w:p>
                  <w:pPr>
                    <w:contextualSpacing/>
                    <w:jc w:val="center"/>
                    <w:rPr>
                      <w:b/>
                      <w:bCs/>
                      <w:color w:val="auto"/>
                      <w:spacing w:val="4"/>
                      <w:szCs w:val="21"/>
                      <w:u w:val="none"/>
                    </w:rPr>
                  </w:pPr>
                  <w:r>
                    <w:rPr>
                      <w:rFonts w:hint="eastAsia"/>
                      <w:b/>
                      <w:bCs/>
                      <w:color w:val="auto"/>
                      <w:spacing w:val="4"/>
                      <w:szCs w:val="21"/>
                      <w:u w:val="none"/>
                    </w:rPr>
                    <w:t>排放源类型</w:t>
                  </w:r>
                </w:p>
              </w:tc>
              <w:tc>
                <w:tcPr>
                  <w:tcW w:w="709" w:type="pct"/>
                  <w:vAlign w:val="center"/>
                </w:tcPr>
                <w:p>
                  <w:pPr>
                    <w:contextualSpacing/>
                    <w:jc w:val="center"/>
                    <w:rPr>
                      <w:b/>
                      <w:bCs/>
                      <w:color w:val="auto"/>
                      <w:spacing w:val="4"/>
                      <w:szCs w:val="21"/>
                      <w:u w:val="none"/>
                    </w:rPr>
                  </w:pPr>
                  <w:r>
                    <w:rPr>
                      <w:rFonts w:hint="eastAsia"/>
                      <w:b/>
                      <w:bCs/>
                      <w:color w:val="auto"/>
                      <w:spacing w:val="4"/>
                      <w:szCs w:val="21"/>
                      <w:u w:val="none"/>
                    </w:rPr>
                    <w:t>污染物</w:t>
                  </w:r>
                </w:p>
              </w:tc>
              <w:tc>
                <w:tcPr>
                  <w:tcW w:w="709" w:type="pct"/>
                  <w:vAlign w:val="center"/>
                </w:tcPr>
                <w:p>
                  <w:pPr>
                    <w:contextualSpacing/>
                    <w:jc w:val="center"/>
                    <w:rPr>
                      <w:b/>
                      <w:bCs/>
                      <w:color w:val="auto"/>
                      <w:spacing w:val="4"/>
                      <w:szCs w:val="21"/>
                      <w:u w:val="none"/>
                    </w:rPr>
                  </w:pPr>
                  <w:r>
                    <w:rPr>
                      <w:rFonts w:hint="eastAsia"/>
                      <w:b/>
                      <w:bCs/>
                      <w:color w:val="auto"/>
                      <w:spacing w:val="4"/>
                      <w:szCs w:val="21"/>
                      <w:u w:val="none"/>
                    </w:rPr>
                    <w:t>单位</w:t>
                  </w:r>
                </w:p>
              </w:tc>
              <w:tc>
                <w:tcPr>
                  <w:tcW w:w="803" w:type="pct"/>
                  <w:vAlign w:val="center"/>
                </w:tcPr>
                <w:p>
                  <w:pPr>
                    <w:contextualSpacing/>
                    <w:jc w:val="center"/>
                    <w:rPr>
                      <w:b/>
                      <w:bCs/>
                      <w:color w:val="auto"/>
                      <w:spacing w:val="4"/>
                      <w:szCs w:val="21"/>
                      <w:u w:val="none"/>
                    </w:rPr>
                  </w:pPr>
                  <w:r>
                    <w:rPr>
                      <w:rFonts w:hint="eastAsia"/>
                      <w:b/>
                      <w:bCs/>
                      <w:color w:val="auto"/>
                      <w:spacing w:val="4"/>
                      <w:szCs w:val="21"/>
                      <w:u w:val="none"/>
                    </w:rPr>
                    <w:t>排放系数</w:t>
                  </w:r>
                </w:p>
              </w:tc>
              <w:tc>
                <w:tcPr>
                  <w:tcW w:w="1035" w:type="pct"/>
                  <w:vAlign w:val="center"/>
                </w:tcPr>
                <w:p>
                  <w:pPr>
                    <w:contextualSpacing/>
                    <w:jc w:val="center"/>
                    <w:rPr>
                      <w:b/>
                      <w:bCs/>
                      <w:color w:val="auto"/>
                      <w:spacing w:val="4"/>
                      <w:szCs w:val="21"/>
                      <w:u w:val="none"/>
                    </w:rPr>
                  </w:pPr>
                  <w:r>
                    <w:rPr>
                      <w:rFonts w:hint="eastAsia"/>
                      <w:b/>
                      <w:bCs/>
                      <w:color w:val="auto"/>
                      <w:spacing w:val="4"/>
                      <w:szCs w:val="21"/>
                      <w:u w:val="none"/>
                    </w:rPr>
                    <w:t>排放量（t/a）</w:t>
                  </w:r>
                </w:p>
              </w:tc>
              <w:tc>
                <w:tcPr>
                  <w:tcW w:w="1035" w:type="pct"/>
                  <w:vAlign w:val="center"/>
                </w:tcPr>
                <w:p>
                  <w:pPr>
                    <w:contextualSpacing/>
                    <w:jc w:val="center"/>
                    <w:rPr>
                      <w:b/>
                      <w:bCs/>
                      <w:color w:val="auto"/>
                      <w:spacing w:val="4"/>
                      <w:szCs w:val="21"/>
                      <w:u w:val="none"/>
                    </w:rPr>
                  </w:pPr>
                  <w:r>
                    <w:rPr>
                      <w:rFonts w:hint="eastAsia"/>
                      <w:b/>
                      <w:bCs/>
                      <w:color w:val="auto"/>
                      <w:spacing w:val="4"/>
                      <w:szCs w:val="21"/>
                      <w:u w:val="none"/>
                    </w:rPr>
                    <w:t>排放速率（kg/h）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pct"/>
                  <w:vMerge w:val="restart"/>
                  <w:vAlign w:val="center"/>
                </w:tcPr>
                <w:p>
                  <w:pPr>
                    <w:contextualSpacing/>
                    <w:jc w:val="center"/>
                    <w:rPr>
                      <w:color w:val="auto"/>
                      <w:spacing w:val="4"/>
                      <w:szCs w:val="21"/>
                      <w:u w:val="none"/>
                    </w:rPr>
                  </w:pPr>
                  <w:r>
                    <w:rPr>
                      <w:color w:val="auto"/>
                      <w:spacing w:val="4"/>
                      <w:szCs w:val="21"/>
                      <w:u w:val="none"/>
                    </w:rPr>
                    <w:t>生活及其他天然气</w:t>
                  </w:r>
                </w:p>
              </w:tc>
              <w:tc>
                <w:tcPr>
                  <w:tcW w:w="709" w:type="pct"/>
                  <w:vAlign w:val="center"/>
                </w:tcPr>
                <w:p>
                  <w:pPr>
                    <w:contextualSpacing/>
                    <w:jc w:val="center"/>
                    <w:rPr>
                      <w:color w:val="auto"/>
                      <w:spacing w:val="4"/>
                      <w:szCs w:val="21"/>
                      <w:u w:val="none"/>
                    </w:rPr>
                  </w:pPr>
                  <w:r>
                    <w:rPr>
                      <w:rFonts w:hint="eastAsia"/>
                      <w:color w:val="auto"/>
                      <w:spacing w:val="4"/>
                      <w:szCs w:val="21"/>
                      <w:u w:val="none"/>
                    </w:rPr>
                    <w:t>二氧化硫</w:t>
                  </w:r>
                </w:p>
              </w:tc>
              <w:tc>
                <w:tcPr>
                  <w:tcW w:w="709" w:type="pct"/>
                  <w:vAlign w:val="center"/>
                </w:tcPr>
                <w:p>
                  <w:pPr>
                    <w:contextualSpacing/>
                    <w:jc w:val="center"/>
                    <w:rPr>
                      <w:color w:val="auto"/>
                      <w:spacing w:val="4"/>
                      <w:szCs w:val="21"/>
                      <w:u w:val="none"/>
                      <w:vertAlign w:val="superscript"/>
                    </w:rPr>
                  </w:pPr>
                  <w:r>
                    <w:rPr>
                      <w:rFonts w:hint="eastAsia"/>
                      <w:color w:val="auto"/>
                      <w:spacing w:val="4"/>
                      <w:szCs w:val="21"/>
                      <w:u w:val="none"/>
                    </w:rPr>
                    <w:t>kg/万m</w:t>
                  </w:r>
                  <w:r>
                    <w:rPr>
                      <w:rFonts w:hint="eastAsia"/>
                      <w:color w:val="auto"/>
                      <w:spacing w:val="4"/>
                      <w:szCs w:val="21"/>
                      <w:u w:val="none"/>
                      <w:vertAlign w:val="superscript"/>
                    </w:rPr>
                    <w:t>3</w:t>
                  </w:r>
                </w:p>
              </w:tc>
              <w:tc>
                <w:tcPr>
                  <w:tcW w:w="803" w:type="pct"/>
                  <w:vAlign w:val="center"/>
                </w:tcPr>
                <w:p>
                  <w:pPr>
                    <w:contextualSpacing/>
                    <w:jc w:val="center"/>
                    <w:rPr>
                      <w:color w:val="auto"/>
                      <w:spacing w:val="4"/>
                      <w:szCs w:val="21"/>
                      <w:u w:val="none"/>
                    </w:rPr>
                  </w:pPr>
                  <w:r>
                    <w:rPr>
                      <w:rFonts w:hint="eastAsia"/>
                      <w:color w:val="auto"/>
                      <w:spacing w:val="4"/>
                      <w:szCs w:val="21"/>
                      <w:u w:val="none"/>
                    </w:rPr>
                    <w:t>0.0054</w:t>
                  </w:r>
                </w:p>
              </w:tc>
              <w:tc>
                <w:tcPr>
                  <w:tcW w:w="1035" w:type="pct"/>
                  <w:vAlign w:val="center"/>
                </w:tcPr>
                <w:p>
                  <w:pPr>
                    <w:contextualSpacing/>
                    <w:jc w:val="center"/>
                    <w:rPr>
                      <w:color w:val="auto"/>
                      <w:spacing w:val="4"/>
                      <w:szCs w:val="21"/>
                      <w:u w:val="none"/>
                    </w:rPr>
                  </w:pPr>
                  <w:r>
                    <w:rPr>
                      <w:color w:val="auto"/>
                      <w:szCs w:val="21"/>
                      <w:u w:val="none"/>
                    </w:rPr>
                    <w:t>0.000108</w:t>
                  </w:r>
                </w:p>
              </w:tc>
              <w:tc>
                <w:tcPr>
                  <w:tcW w:w="1035" w:type="pct"/>
                  <w:vAlign w:val="center"/>
                </w:tcPr>
                <w:p>
                  <w:pPr>
                    <w:contextualSpacing/>
                    <w:jc w:val="center"/>
                    <w:rPr>
                      <w:color w:val="auto"/>
                      <w:spacing w:val="4"/>
                      <w:szCs w:val="21"/>
                      <w:u w:val="none"/>
                    </w:rPr>
                  </w:pPr>
                  <w:r>
                    <w:rPr>
                      <w:color w:val="auto"/>
                      <w:szCs w:val="21"/>
                      <w:u w:val="none"/>
                    </w:rPr>
                    <w:t>0.000054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pct"/>
                  <w:vMerge w:val="continue"/>
                  <w:vAlign w:val="center"/>
                </w:tcPr>
                <w:p>
                  <w:pPr>
                    <w:contextualSpacing/>
                    <w:jc w:val="center"/>
                    <w:rPr>
                      <w:color w:val="auto"/>
                      <w:spacing w:val="4"/>
                      <w:szCs w:val="21"/>
                      <w:u w:val="none"/>
                    </w:rPr>
                  </w:pPr>
                </w:p>
              </w:tc>
              <w:tc>
                <w:tcPr>
                  <w:tcW w:w="709" w:type="pct"/>
                  <w:vAlign w:val="center"/>
                </w:tcPr>
                <w:p>
                  <w:pPr>
                    <w:contextualSpacing/>
                    <w:jc w:val="center"/>
                    <w:rPr>
                      <w:color w:val="auto"/>
                      <w:spacing w:val="4"/>
                      <w:szCs w:val="21"/>
                      <w:u w:val="none"/>
                    </w:rPr>
                  </w:pPr>
                  <w:r>
                    <w:rPr>
                      <w:rFonts w:hint="eastAsia"/>
                      <w:color w:val="auto"/>
                      <w:spacing w:val="4"/>
                      <w:szCs w:val="21"/>
                      <w:u w:val="none"/>
                    </w:rPr>
                    <w:t>氮氧化物</w:t>
                  </w:r>
                </w:p>
              </w:tc>
              <w:tc>
                <w:tcPr>
                  <w:tcW w:w="709" w:type="pct"/>
                  <w:vAlign w:val="center"/>
                </w:tcPr>
                <w:p>
                  <w:pPr>
                    <w:contextualSpacing/>
                    <w:jc w:val="center"/>
                    <w:rPr>
                      <w:color w:val="auto"/>
                      <w:spacing w:val="4"/>
                      <w:szCs w:val="21"/>
                      <w:u w:val="none"/>
                    </w:rPr>
                  </w:pPr>
                  <w:r>
                    <w:rPr>
                      <w:rFonts w:hint="eastAsia"/>
                      <w:color w:val="auto"/>
                      <w:spacing w:val="4"/>
                      <w:szCs w:val="21"/>
                      <w:u w:val="none"/>
                    </w:rPr>
                    <w:t>kg/万m</w:t>
                  </w:r>
                  <w:r>
                    <w:rPr>
                      <w:rFonts w:hint="eastAsia"/>
                      <w:color w:val="auto"/>
                      <w:spacing w:val="4"/>
                      <w:szCs w:val="21"/>
                      <w:u w:val="none"/>
                      <w:vertAlign w:val="superscript"/>
                    </w:rPr>
                    <w:t>3</w:t>
                  </w:r>
                </w:p>
              </w:tc>
              <w:tc>
                <w:tcPr>
                  <w:tcW w:w="803" w:type="pct"/>
                  <w:vAlign w:val="center"/>
                </w:tcPr>
                <w:p>
                  <w:pPr>
                    <w:contextualSpacing/>
                    <w:jc w:val="center"/>
                    <w:rPr>
                      <w:color w:val="auto"/>
                      <w:spacing w:val="4"/>
                      <w:szCs w:val="21"/>
                      <w:u w:val="none"/>
                    </w:rPr>
                  </w:pPr>
                  <w:r>
                    <w:rPr>
                      <w:rFonts w:hint="eastAsia"/>
                      <w:color w:val="auto"/>
                      <w:spacing w:val="4"/>
                      <w:szCs w:val="21"/>
                      <w:u w:val="none"/>
                    </w:rPr>
                    <w:t>12</w:t>
                  </w:r>
                </w:p>
              </w:tc>
              <w:tc>
                <w:tcPr>
                  <w:tcW w:w="1035" w:type="pct"/>
                  <w:vAlign w:val="center"/>
                </w:tcPr>
                <w:p>
                  <w:pPr>
                    <w:contextualSpacing/>
                    <w:jc w:val="center"/>
                    <w:rPr>
                      <w:color w:val="auto"/>
                      <w:spacing w:val="4"/>
                      <w:szCs w:val="21"/>
                      <w:u w:val="none"/>
                    </w:rPr>
                  </w:pPr>
                  <w:r>
                    <w:rPr>
                      <w:color w:val="auto"/>
                      <w:szCs w:val="21"/>
                      <w:u w:val="none"/>
                    </w:rPr>
                    <w:t>0.24</w:t>
                  </w:r>
                </w:p>
              </w:tc>
              <w:tc>
                <w:tcPr>
                  <w:tcW w:w="1035" w:type="pct"/>
                  <w:vAlign w:val="center"/>
                </w:tcPr>
                <w:p>
                  <w:pPr>
                    <w:contextualSpacing/>
                    <w:jc w:val="center"/>
                    <w:rPr>
                      <w:color w:val="auto"/>
                      <w:spacing w:val="4"/>
                      <w:szCs w:val="21"/>
                      <w:u w:val="none"/>
                    </w:rPr>
                  </w:pPr>
                  <w:r>
                    <w:rPr>
                      <w:color w:val="auto"/>
                      <w:szCs w:val="21"/>
                      <w:u w:val="none"/>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pct"/>
                  <w:vMerge w:val="continue"/>
                  <w:vAlign w:val="center"/>
                </w:tcPr>
                <w:p>
                  <w:pPr>
                    <w:contextualSpacing/>
                    <w:jc w:val="center"/>
                    <w:rPr>
                      <w:color w:val="auto"/>
                      <w:spacing w:val="4"/>
                      <w:szCs w:val="21"/>
                      <w:u w:val="none"/>
                    </w:rPr>
                  </w:pPr>
                </w:p>
              </w:tc>
              <w:tc>
                <w:tcPr>
                  <w:tcW w:w="709" w:type="pct"/>
                  <w:vAlign w:val="center"/>
                </w:tcPr>
                <w:p>
                  <w:pPr>
                    <w:contextualSpacing/>
                    <w:jc w:val="center"/>
                    <w:rPr>
                      <w:color w:val="auto"/>
                      <w:spacing w:val="4"/>
                      <w:szCs w:val="21"/>
                      <w:u w:val="none"/>
                    </w:rPr>
                  </w:pPr>
                  <w:r>
                    <w:rPr>
                      <w:rFonts w:hint="eastAsia"/>
                      <w:color w:val="auto"/>
                      <w:spacing w:val="4"/>
                      <w:szCs w:val="21"/>
                      <w:u w:val="none"/>
                    </w:rPr>
                    <w:t>颗粒物</w:t>
                  </w:r>
                </w:p>
              </w:tc>
              <w:tc>
                <w:tcPr>
                  <w:tcW w:w="709" w:type="pct"/>
                  <w:vAlign w:val="center"/>
                </w:tcPr>
                <w:p>
                  <w:pPr>
                    <w:contextualSpacing/>
                    <w:jc w:val="center"/>
                    <w:rPr>
                      <w:color w:val="auto"/>
                      <w:spacing w:val="4"/>
                      <w:szCs w:val="21"/>
                      <w:u w:val="none"/>
                    </w:rPr>
                  </w:pPr>
                  <w:r>
                    <w:rPr>
                      <w:rFonts w:hint="eastAsia"/>
                      <w:color w:val="auto"/>
                      <w:spacing w:val="4"/>
                      <w:szCs w:val="21"/>
                      <w:u w:val="none"/>
                    </w:rPr>
                    <w:t>kg/万m</w:t>
                  </w:r>
                  <w:r>
                    <w:rPr>
                      <w:rFonts w:hint="eastAsia"/>
                      <w:color w:val="auto"/>
                      <w:spacing w:val="4"/>
                      <w:szCs w:val="21"/>
                      <w:u w:val="none"/>
                      <w:vertAlign w:val="superscript"/>
                    </w:rPr>
                    <w:t>3</w:t>
                  </w:r>
                </w:p>
              </w:tc>
              <w:tc>
                <w:tcPr>
                  <w:tcW w:w="803" w:type="pct"/>
                  <w:vAlign w:val="center"/>
                </w:tcPr>
                <w:p>
                  <w:pPr>
                    <w:contextualSpacing/>
                    <w:jc w:val="center"/>
                    <w:rPr>
                      <w:color w:val="auto"/>
                      <w:spacing w:val="4"/>
                      <w:szCs w:val="21"/>
                      <w:u w:val="none"/>
                    </w:rPr>
                  </w:pPr>
                  <w:r>
                    <w:rPr>
                      <w:rFonts w:hint="eastAsia"/>
                      <w:color w:val="auto"/>
                      <w:spacing w:val="4"/>
                      <w:szCs w:val="21"/>
                      <w:u w:val="none"/>
                    </w:rPr>
                    <w:t>1.1</w:t>
                  </w:r>
                </w:p>
              </w:tc>
              <w:tc>
                <w:tcPr>
                  <w:tcW w:w="1035" w:type="pct"/>
                  <w:vAlign w:val="center"/>
                </w:tcPr>
                <w:p>
                  <w:pPr>
                    <w:contextualSpacing/>
                    <w:jc w:val="center"/>
                    <w:rPr>
                      <w:color w:val="auto"/>
                      <w:spacing w:val="4"/>
                      <w:szCs w:val="21"/>
                      <w:u w:val="none"/>
                    </w:rPr>
                  </w:pPr>
                  <w:r>
                    <w:rPr>
                      <w:color w:val="auto"/>
                      <w:szCs w:val="21"/>
                      <w:u w:val="none"/>
                    </w:rPr>
                    <w:t>0.022</w:t>
                  </w:r>
                </w:p>
              </w:tc>
              <w:tc>
                <w:tcPr>
                  <w:tcW w:w="1035" w:type="pct"/>
                  <w:vAlign w:val="center"/>
                </w:tcPr>
                <w:p>
                  <w:pPr>
                    <w:contextualSpacing/>
                    <w:jc w:val="center"/>
                    <w:rPr>
                      <w:color w:val="auto"/>
                      <w:spacing w:val="4"/>
                      <w:szCs w:val="21"/>
                      <w:u w:val="none"/>
                    </w:rPr>
                  </w:pPr>
                  <w:r>
                    <w:rPr>
                      <w:color w:val="auto"/>
                      <w:szCs w:val="21"/>
                      <w:u w:val="none"/>
                    </w:rPr>
                    <w:t>0.011</w:t>
                  </w:r>
                </w:p>
              </w:tc>
            </w:tr>
          </w:tbl>
          <w:p>
            <w:pPr>
              <w:spacing w:line="360" w:lineRule="auto"/>
              <w:ind w:firstLine="498" w:firstLineChars="200"/>
              <w:contextualSpacing/>
              <w:rPr>
                <w:b/>
                <w:bCs/>
                <w:color w:val="auto"/>
                <w:spacing w:val="4"/>
                <w:sz w:val="24"/>
                <w:u w:val="none"/>
              </w:rPr>
            </w:pPr>
            <w:r>
              <w:rPr>
                <w:rFonts w:hint="eastAsia"/>
                <w:b/>
                <w:bCs/>
                <w:color w:val="auto"/>
                <w:spacing w:val="4"/>
                <w:sz w:val="24"/>
                <w:u w:val="none"/>
              </w:rPr>
              <w:t>（6）车间异味</w:t>
            </w:r>
          </w:p>
          <w:p>
            <w:pPr>
              <w:spacing w:line="360" w:lineRule="auto"/>
              <w:ind w:firstLine="496" w:firstLineChars="200"/>
              <w:contextualSpacing/>
              <w:rPr>
                <w:color w:val="auto"/>
                <w:spacing w:val="4"/>
                <w:sz w:val="24"/>
                <w:u w:val="none"/>
              </w:rPr>
            </w:pPr>
            <w:r>
              <w:rPr>
                <w:rFonts w:hint="eastAsia"/>
                <w:color w:val="auto"/>
                <w:spacing w:val="4"/>
                <w:sz w:val="24"/>
                <w:u w:val="none"/>
              </w:rPr>
              <w:t>本项目车间异味主要为豆制品发酵过程产生的少量异味以及调味拌料过程中散发的香味混合后产生的挥发性异味，以恶臭浓度计，产生量较少</w:t>
            </w:r>
            <w:r>
              <w:rPr>
                <w:rFonts w:hint="eastAsia"/>
                <w:color w:val="auto"/>
                <w:spacing w:val="4"/>
                <w:sz w:val="24"/>
                <w:u w:val="none"/>
                <w:lang w:eastAsia="zh-CN"/>
              </w:rPr>
              <w:t>，</w:t>
            </w:r>
            <w:r>
              <w:rPr>
                <w:rFonts w:hint="eastAsia"/>
                <w:color w:val="auto"/>
                <w:spacing w:val="4"/>
                <w:sz w:val="24"/>
                <w:u w:val="none"/>
              </w:rPr>
              <w:t>通过采取加强管理，保持清洁，加强通风换气措施后对周边环境影响较小</w:t>
            </w:r>
            <w:r>
              <w:rPr>
                <w:color w:val="auto"/>
                <w:spacing w:val="4"/>
                <w:sz w:val="24"/>
                <w:u w:val="none"/>
              </w:rPr>
              <w:t>。</w:t>
            </w:r>
          </w:p>
          <w:p>
            <w:pPr>
              <w:spacing w:line="360" w:lineRule="auto"/>
              <w:ind w:firstLine="498" w:firstLineChars="200"/>
              <w:contextualSpacing/>
              <w:rPr>
                <w:b/>
                <w:bCs/>
                <w:color w:val="auto"/>
                <w:spacing w:val="4"/>
                <w:sz w:val="24"/>
                <w:u w:val="none"/>
              </w:rPr>
            </w:pPr>
            <w:r>
              <w:rPr>
                <w:rFonts w:hint="eastAsia"/>
                <w:b/>
                <w:bCs/>
                <w:color w:val="auto"/>
                <w:spacing w:val="4"/>
                <w:sz w:val="24"/>
                <w:u w:val="none"/>
              </w:rPr>
              <w:t>（7）拌料粉尘</w:t>
            </w:r>
          </w:p>
          <w:p>
            <w:pPr>
              <w:spacing w:line="360" w:lineRule="auto"/>
              <w:ind w:firstLine="496" w:firstLineChars="200"/>
              <w:contextualSpacing/>
              <w:rPr>
                <w:color w:val="auto"/>
                <w:spacing w:val="4"/>
                <w:sz w:val="24"/>
                <w:u w:val="none"/>
              </w:rPr>
            </w:pPr>
            <w:r>
              <w:rPr>
                <w:rFonts w:hint="eastAsia"/>
                <w:color w:val="auto"/>
                <w:spacing w:val="4"/>
                <w:sz w:val="24"/>
                <w:u w:val="none"/>
              </w:rPr>
              <w:t>本项目豆制品生产使用拌料机进行拌料调制，在投加干辣椒、调味料投料过程会有微量起尘，搅拌过程中由于混合物料含水率较高，搅拌过程粉尘产生量极少。由于上述粉尘产生量很少，且难以计量，本环评仅定性分析。</w:t>
            </w:r>
            <w:r>
              <w:rPr>
                <w:rFonts w:hint="eastAsia"/>
                <w:color w:val="auto"/>
                <w:spacing w:val="4"/>
                <w:sz w:val="24"/>
                <w:u w:val="none"/>
              </w:rPr>
              <w:t>通过采取加强通风换气措施后对周边环境影响较小</w:t>
            </w:r>
            <w:r>
              <w:rPr>
                <w:rFonts w:hint="eastAsia"/>
                <w:color w:val="auto"/>
                <w:spacing w:val="4"/>
                <w:sz w:val="24"/>
                <w:u w:val="none"/>
              </w:rPr>
              <w:t>。</w:t>
            </w:r>
          </w:p>
          <w:p>
            <w:pPr>
              <w:spacing w:line="360" w:lineRule="auto"/>
              <w:ind w:firstLine="498" w:firstLineChars="200"/>
              <w:contextualSpacing/>
              <w:rPr>
                <w:b/>
                <w:bCs/>
                <w:color w:val="auto"/>
                <w:spacing w:val="4"/>
                <w:sz w:val="24"/>
                <w:u w:val="none"/>
              </w:rPr>
            </w:pPr>
            <w:r>
              <w:rPr>
                <w:rFonts w:hint="eastAsia"/>
                <w:b/>
                <w:bCs/>
                <w:color w:val="auto"/>
                <w:spacing w:val="4"/>
                <w:sz w:val="24"/>
                <w:u w:val="none"/>
              </w:rPr>
              <w:t>（8）打码废气</w:t>
            </w:r>
          </w:p>
          <w:p>
            <w:pPr>
              <w:spacing w:line="360" w:lineRule="auto"/>
              <w:ind w:firstLine="496" w:firstLineChars="200"/>
              <w:contextualSpacing/>
              <w:rPr>
                <w:color w:val="auto"/>
                <w:spacing w:val="4"/>
                <w:sz w:val="24"/>
                <w:u w:val="none"/>
              </w:rPr>
            </w:pPr>
            <w:r>
              <w:rPr>
                <w:rFonts w:hint="eastAsia"/>
                <w:color w:val="auto"/>
                <w:spacing w:val="4"/>
                <w:sz w:val="24"/>
                <w:u w:val="none"/>
              </w:rPr>
              <w:t>本项目在产品出厂时需要采用打码机在包装袋、包装瓶上喷上当天日期，采用环保型水性油墨，根据建设单位提供的资料，年用量极少，约5L/a，且油墨的挥发性有机物含量低；因此，本次评价不定量核算打码过程产生的挥发性有机废气，通过加强车间通风，打码废气对区域环境影响很小。</w:t>
            </w:r>
          </w:p>
          <w:p>
            <w:pPr>
              <w:spacing w:line="360" w:lineRule="auto"/>
              <w:ind w:firstLine="498" w:firstLineChars="200"/>
              <w:contextualSpacing/>
              <w:rPr>
                <w:b/>
                <w:bCs/>
                <w:color w:val="auto"/>
                <w:spacing w:val="4"/>
                <w:sz w:val="24"/>
                <w:u w:val="none"/>
              </w:rPr>
            </w:pPr>
            <w:r>
              <w:rPr>
                <w:rFonts w:hint="eastAsia"/>
                <w:b/>
                <w:bCs/>
                <w:color w:val="auto"/>
                <w:spacing w:val="4"/>
                <w:sz w:val="24"/>
                <w:u w:val="none"/>
              </w:rPr>
              <w:t>（9）检验室废气</w:t>
            </w:r>
          </w:p>
          <w:p>
            <w:pPr>
              <w:spacing w:line="360" w:lineRule="auto"/>
              <w:ind w:firstLine="496" w:firstLineChars="200"/>
              <w:contextualSpacing/>
              <w:rPr>
                <w:color w:val="auto"/>
                <w:spacing w:val="4"/>
                <w:sz w:val="24"/>
                <w:u w:val="none"/>
              </w:rPr>
            </w:pPr>
            <w:r>
              <w:rPr>
                <w:rFonts w:hint="eastAsia"/>
                <w:color w:val="auto"/>
                <w:spacing w:val="4"/>
                <w:sz w:val="24"/>
                <w:u w:val="none"/>
              </w:rPr>
              <w:t>产品抽样检验过程需使用37%盐酸，用于调节样品pH值，用量很小，仅0.5L/a，因此仅有极少量氯化氢挥发，本次评价仅定性分析，通过加强检验室通风，氯化氢对区域环境影响很小。</w:t>
            </w:r>
          </w:p>
          <w:p>
            <w:pPr>
              <w:spacing w:line="360" w:lineRule="auto"/>
              <w:ind w:firstLine="380" w:firstLineChars="200"/>
              <w:contextualSpacing/>
              <w:rPr>
                <w:bCs/>
                <w:color w:val="auto"/>
                <w:spacing w:val="-10"/>
                <w:szCs w:val="21"/>
                <w:u w:val="none"/>
              </w:rPr>
            </w:pPr>
          </w:p>
        </w:tc>
      </w:tr>
    </w:tbl>
    <w:p>
      <w:pPr>
        <w:rPr>
          <w:color w:val="auto"/>
          <w:u w:val="none"/>
        </w:rPr>
      </w:pPr>
    </w:p>
    <w:p>
      <w:pPr>
        <w:rPr>
          <w:color w:val="auto"/>
          <w:u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87"/>
        <w:gridCol w:w="127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0" w:hRule="atLeast"/>
          <w:jc w:val="center"/>
        </w:trPr>
        <w:tc>
          <w:tcPr>
            <w:tcW w:w="147" w:type="pct"/>
            <w:tcMar>
              <w:left w:w="28" w:type="dxa"/>
              <w:right w:w="28" w:type="dxa"/>
            </w:tcMar>
            <w:vAlign w:val="center"/>
          </w:tcPr>
          <w:p>
            <w:pPr>
              <w:adjustRightInd w:val="0"/>
              <w:snapToGrid w:val="0"/>
              <w:jc w:val="center"/>
              <w:rPr>
                <w:bCs/>
                <w:color w:val="auto"/>
                <w:szCs w:val="21"/>
                <w:u w:val="none"/>
              </w:rPr>
            </w:pPr>
            <w:r>
              <w:rPr>
                <w:bCs/>
                <w:color w:val="auto"/>
                <w:szCs w:val="21"/>
                <w:u w:val="none"/>
              </w:rPr>
              <w:t>营运</w:t>
            </w:r>
          </w:p>
          <w:p>
            <w:pPr>
              <w:adjustRightInd w:val="0"/>
              <w:snapToGrid w:val="0"/>
              <w:jc w:val="center"/>
              <w:rPr>
                <w:bCs/>
                <w:color w:val="auto"/>
                <w:szCs w:val="21"/>
                <w:u w:val="none"/>
              </w:rPr>
            </w:pPr>
            <w:r>
              <w:rPr>
                <w:bCs/>
                <w:color w:val="auto"/>
                <w:szCs w:val="21"/>
                <w:u w:val="none"/>
              </w:rPr>
              <w:t>期环</w:t>
            </w:r>
          </w:p>
          <w:p>
            <w:pPr>
              <w:adjustRightInd w:val="0"/>
              <w:snapToGrid w:val="0"/>
              <w:jc w:val="center"/>
              <w:rPr>
                <w:bCs/>
                <w:color w:val="auto"/>
                <w:szCs w:val="21"/>
                <w:u w:val="none"/>
              </w:rPr>
            </w:pPr>
            <w:r>
              <w:rPr>
                <w:bCs/>
                <w:color w:val="auto"/>
                <w:szCs w:val="21"/>
                <w:u w:val="none"/>
              </w:rPr>
              <w:t>境影</w:t>
            </w:r>
          </w:p>
          <w:p>
            <w:pPr>
              <w:adjustRightInd w:val="0"/>
              <w:snapToGrid w:val="0"/>
              <w:jc w:val="center"/>
              <w:rPr>
                <w:bCs/>
                <w:color w:val="auto"/>
                <w:szCs w:val="21"/>
                <w:u w:val="none"/>
              </w:rPr>
            </w:pPr>
            <w:r>
              <w:rPr>
                <w:bCs/>
                <w:color w:val="auto"/>
                <w:szCs w:val="21"/>
                <w:u w:val="none"/>
              </w:rPr>
              <w:t>响和</w:t>
            </w:r>
          </w:p>
          <w:p>
            <w:pPr>
              <w:adjustRightInd w:val="0"/>
              <w:snapToGrid w:val="0"/>
              <w:jc w:val="center"/>
              <w:rPr>
                <w:bCs/>
                <w:color w:val="auto"/>
                <w:szCs w:val="21"/>
                <w:u w:val="none"/>
              </w:rPr>
            </w:pPr>
            <w:r>
              <w:rPr>
                <w:bCs/>
                <w:color w:val="auto"/>
                <w:szCs w:val="21"/>
                <w:u w:val="none"/>
              </w:rPr>
              <w:t>保护</w:t>
            </w:r>
          </w:p>
          <w:p>
            <w:pPr>
              <w:adjustRightInd w:val="0"/>
              <w:snapToGrid w:val="0"/>
              <w:jc w:val="center"/>
              <w:rPr>
                <w:bCs/>
                <w:color w:val="auto"/>
                <w:szCs w:val="21"/>
                <w:u w:val="none"/>
              </w:rPr>
            </w:pPr>
            <w:r>
              <w:rPr>
                <w:bCs/>
                <w:color w:val="auto"/>
                <w:szCs w:val="21"/>
                <w:u w:val="none"/>
              </w:rPr>
              <w:t>措施</w:t>
            </w:r>
          </w:p>
        </w:tc>
        <w:tc>
          <w:tcPr>
            <w:tcW w:w="4853" w:type="pct"/>
            <w:vAlign w:val="center"/>
          </w:tcPr>
          <w:p>
            <w:pPr>
              <w:spacing w:line="360" w:lineRule="auto"/>
              <w:ind w:left="105" w:leftChars="50" w:right="105" w:rightChars="50" w:firstLine="480" w:firstLineChars="200"/>
              <w:rPr>
                <w:bCs/>
                <w:color w:val="auto"/>
                <w:sz w:val="24"/>
                <w:u w:val="none"/>
              </w:rPr>
            </w:pPr>
            <w:r>
              <w:rPr>
                <w:rFonts w:ascii="宋体" w:hAnsi="宋体"/>
                <w:bCs/>
                <w:color w:val="auto"/>
                <w:sz w:val="24"/>
                <w:u w:val="none"/>
              </w:rPr>
              <w:t>本项目废气产排情况如下：</w:t>
            </w:r>
          </w:p>
          <w:p>
            <w:pPr>
              <w:spacing w:line="360" w:lineRule="auto"/>
              <w:ind w:right="105" w:rightChars="50"/>
              <w:jc w:val="center"/>
              <w:rPr>
                <w:b/>
                <w:color w:val="auto"/>
                <w:sz w:val="24"/>
                <w:u w:val="none"/>
              </w:rPr>
            </w:pPr>
            <w:r>
              <w:rPr>
                <w:rFonts w:ascii="宋体" w:hAnsi="宋体"/>
                <w:b/>
                <w:color w:val="auto"/>
                <w:sz w:val="24"/>
                <w:u w:val="none"/>
              </w:rPr>
              <w:t>表</w:t>
            </w:r>
            <w:r>
              <w:rPr>
                <w:b/>
                <w:color w:val="auto"/>
                <w:sz w:val="24"/>
                <w:u w:val="none"/>
              </w:rPr>
              <w:t>4.</w:t>
            </w:r>
            <w:r>
              <w:rPr>
                <w:rFonts w:hint="eastAsia"/>
                <w:b/>
                <w:color w:val="auto"/>
                <w:sz w:val="24"/>
                <w:u w:val="none"/>
              </w:rPr>
              <w:t>2-5</w:t>
            </w:r>
            <w:r>
              <w:rPr>
                <w:b/>
                <w:color w:val="auto"/>
                <w:sz w:val="24"/>
                <w:u w:val="none"/>
              </w:rPr>
              <w:t xml:space="preserve"> </w:t>
            </w:r>
            <w:r>
              <w:rPr>
                <w:rFonts w:ascii="宋体" w:hAnsi="宋体"/>
                <w:b/>
                <w:color w:val="auto"/>
                <w:sz w:val="24"/>
                <w:u w:val="none"/>
              </w:rPr>
              <w:t>废气产排情况一览表</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844"/>
              <w:gridCol w:w="788"/>
              <w:gridCol w:w="836"/>
              <w:gridCol w:w="1016"/>
              <w:gridCol w:w="1016"/>
              <w:gridCol w:w="810"/>
              <w:gridCol w:w="1249"/>
              <w:gridCol w:w="747"/>
              <w:gridCol w:w="947"/>
              <w:gridCol w:w="1016"/>
              <w:gridCol w:w="1016"/>
              <w:gridCol w:w="810"/>
              <w:gridCol w:w="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664" w:type="dxa"/>
                  <w:vMerge w:val="restart"/>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产污环节</w:t>
                  </w:r>
                </w:p>
              </w:tc>
              <w:tc>
                <w:tcPr>
                  <w:tcW w:w="844" w:type="dxa"/>
                  <w:vMerge w:val="restart"/>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污染源编号</w:t>
                  </w:r>
                </w:p>
              </w:tc>
              <w:tc>
                <w:tcPr>
                  <w:tcW w:w="788" w:type="dxa"/>
                  <w:vMerge w:val="restart"/>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污染物名称</w:t>
                  </w:r>
                </w:p>
              </w:tc>
              <w:tc>
                <w:tcPr>
                  <w:tcW w:w="836" w:type="dxa"/>
                  <w:vMerge w:val="restart"/>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废气量</w:t>
                  </w:r>
                </w:p>
              </w:tc>
              <w:tc>
                <w:tcPr>
                  <w:tcW w:w="2842" w:type="dxa"/>
                  <w:gridSpan w:val="3"/>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产生情况</w:t>
                  </w:r>
                </w:p>
              </w:tc>
              <w:tc>
                <w:tcPr>
                  <w:tcW w:w="2943" w:type="dxa"/>
                  <w:gridSpan w:val="3"/>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治理措施</w:t>
                  </w:r>
                </w:p>
              </w:tc>
              <w:tc>
                <w:tcPr>
                  <w:tcW w:w="2842" w:type="dxa"/>
                  <w:gridSpan w:val="3"/>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排放情况</w:t>
                  </w:r>
                </w:p>
              </w:tc>
              <w:tc>
                <w:tcPr>
                  <w:tcW w:w="766" w:type="dxa"/>
                  <w:vMerge w:val="restart"/>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排放时间/h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664"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c>
                <w:tcPr>
                  <w:tcW w:w="844"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c>
                <w:tcPr>
                  <w:tcW w:w="78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c>
                <w:tcPr>
                  <w:tcW w:w="83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产生量</w:t>
                  </w:r>
                  <w:r>
                    <w:rPr>
                      <w:color w:val="auto"/>
                      <w:sz w:val="21"/>
                      <w:szCs w:val="21"/>
                      <w:u w:val="none"/>
                    </w:rPr>
                    <w:t>t/a</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速率kg/h</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浓度</w:t>
                  </w:r>
                </w:p>
                <w:p>
                  <w:pPr>
                    <w:autoSpaceDE w:val="0"/>
                    <w:jc w:val="center"/>
                    <w:rPr>
                      <w:b/>
                      <w:bCs/>
                      <w:color w:val="auto"/>
                      <w:sz w:val="21"/>
                      <w:szCs w:val="21"/>
                      <w:u w:val="none"/>
                    </w:rPr>
                  </w:pPr>
                  <w:r>
                    <w:rPr>
                      <w:b/>
                      <w:bCs/>
                      <w:color w:val="auto"/>
                      <w:sz w:val="21"/>
                      <w:szCs w:val="21"/>
                      <w:u w:val="none"/>
                    </w:rPr>
                    <w:t>mg/m</w:t>
                  </w:r>
                  <w:r>
                    <w:rPr>
                      <w:b/>
                      <w:bCs/>
                      <w:color w:val="auto"/>
                      <w:sz w:val="21"/>
                      <w:szCs w:val="21"/>
                      <w:u w:val="none"/>
                      <w:vertAlign w:val="superscript"/>
                    </w:rPr>
                    <w:t>3</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治理设施工艺</w:t>
                  </w: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去除率%</w:t>
                  </w:r>
                </w:p>
              </w:tc>
              <w:tc>
                <w:tcPr>
                  <w:tcW w:w="947" w:type="dxa"/>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是否为可行技术</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排放量t/a</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速率kg/h</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b/>
                      <w:bCs/>
                      <w:color w:val="auto"/>
                      <w:sz w:val="21"/>
                      <w:szCs w:val="21"/>
                      <w:u w:val="none"/>
                    </w:rPr>
                  </w:pPr>
                  <w:r>
                    <w:rPr>
                      <w:b/>
                      <w:bCs/>
                      <w:color w:val="auto"/>
                      <w:sz w:val="21"/>
                      <w:szCs w:val="21"/>
                      <w:u w:val="none"/>
                    </w:rPr>
                    <w:t>浓度mg/m</w:t>
                  </w:r>
                  <w:r>
                    <w:rPr>
                      <w:b/>
                      <w:bCs/>
                      <w:color w:val="auto"/>
                      <w:sz w:val="21"/>
                      <w:szCs w:val="21"/>
                      <w:u w:val="none"/>
                      <w:vertAlign w:val="superscript"/>
                    </w:rPr>
                    <w:t>3</w:t>
                  </w:r>
                </w:p>
              </w:tc>
              <w:tc>
                <w:tcPr>
                  <w:tcW w:w="76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b/>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restart"/>
                  <w:tcBorders>
                    <w:top w:val="nil"/>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蒸汽发生器废气</w:t>
                  </w:r>
                </w:p>
              </w:tc>
              <w:tc>
                <w:tcPr>
                  <w:tcW w:w="844" w:type="dxa"/>
                  <w:vMerge w:val="restart"/>
                  <w:tcBorders>
                    <w:top w:val="nil"/>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DA001</w:t>
                  </w: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颗粒物</w:t>
                  </w:r>
                </w:p>
              </w:tc>
              <w:tc>
                <w:tcPr>
                  <w:tcW w:w="836" w:type="dxa"/>
                  <w:vMerge w:val="restart"/>
                  <w:tcBorders>
                    <w:top w:val="nil"/>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704.4</w:t>
                  </w:r>
                  <w:r>
                    <w:rPr>
                      <w:color w:val="auto"/>
                      <w:kern w:val="0"/>
                      <w:sz w:val="21"/>
                      <w:szCs w:val="21"/>
                      <w:u w:val="none"/>
                    </w:rPr>
                    <w:t>万m</w:t>
                  </w:r>
                  <w:r>
                    <w:rPr>
                      <w:color w:val="auto"/>
                      <w:kern w:val="0"/>
                      <w:sz w:val="21"/>
                      <w:szCs w:val="21"/>
                      <w:u w:val="none"/>
                      <w:vertAlign w:val="superscript"/>
                    </w:rPr>
                    <w:t>3</w:t>
                  </w:r>
                  <w:r>
                    <w:rPr>
                      <w:color w:val="auto"/>
                      <w:kern w:val="0"/>
                      <w:sz w:val="21"/>
                      <w:szCs w:val="21"/>
                      <w:u w:val="none"/>
                    </w:rPr>
                    <w:t>/a</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sz w:val="21"/>
                      <w:szCs w:val="21"/>
                      <w:u w:val="none"/>
                    </w:rPr>
                    <w:t>0.12</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sz w:val="21"/>
                      <w:szCs w:val="21"/>
                      <w:u w:val="none"/>
                    </w:rPr>
                    <w:t>0.060</w:t>
                  </w:r>
                </w:p>
              </w:tc>
              <w:tc>
                <w:tcPr>
                  <w:tcW w:w="81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sz w:val="21"/>
                      <w:szCs w:val="21"/>
                      <w:u w:val="none"/>
                    </w:rPr>
                    <w:t>17.04</w:t>
                  </w:r>
                </w:p>
              </w:tc>
              <w:tc>
                <w:tcPr>
                  <w:tcW w:w="1249" w:type="dxa"/>
                  <w:vMerge w:val="restart"/>
                  <w:tcBorders>
                    <w:top w:val="nil"/>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低氮燃烧+21m排气筒</w:t>
                  </w: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0</w:t>
                  </w:r>
                </w:p>
              </w:tc>
              <w:tc>
                <w:tcPr>
                  <w:tcW w:w="947" w:type="dxa"/>
                  <w:vMerge w:val="restart"/>
                  <w:tcBorders>
                    <w:top w:val="nil"/>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是</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sz w:val="21"/>
                      <w:szCs w:val="21"/>
                      <w:u w:val="none"/>
                    </w:rPr>
                    <w:t>0.12</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color w:val="auto"/>
                      <w:sz w:val="21"/>
                      <w:szCs w:val="21"/>
                      <w:u w:val="none"/>
                    </w:rPr>
                    <w:t>0.060</w:t>
                  </w:r>
                </w:p>
              </w:tc>
              <w:tc>
                <w:tcPr>
                  <w:tcW w:w="810"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color w:val="auto"/>
                      <w:sz w:val="21"/>
                      <w:szCs w:val="21"/>
                      <w:u w:val="none"/>
                    </w:rPr>
                    <w:t>17.04</w:t>
                  </w:r>
                </w:p>
              </w:tc>
              <w:tc>
                <w:tcPr>
                  <w:tcW w:w="766" w:type="dxa"/>
                  <w:vMerge w:val="restart"/>
                  <w:tcBorders>
                    <w:top w:val="nil"/>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c>
                <w:tcPr>
                  <w:tcW w:w="844" w:type="dxa"/>
                  <w:vMerge w:val="continue"/>
                  <w:tcBorders>
                    <w:top w:val="nil"/>
                    <w:left w:val="single" w:color="auto" w:sz="4" w:space="0"/>
                    <w:bottom w:val="single" w:color="auto" w:sz="4" w:space="0"/>
                    <w:right w:val="single" w:color="auto" w:sz="4" w:space="0"/>
                  </w:tcBorders>
                  <w:vAlign w:val="center"/>
                </w:tcPr>
                <w:p>
                  <w:pPr>
                    <w:widowControl/>
                    <w:jc w:val="center"/>
                    <w:rPr>
                      <w:color w:val="auto"/>
                      <w:kern w:val="0"/>
                      <w:sz w:val="21"/>
                      <w:szCs w:val="21"/>
                      <w:u w:val="none"/>
                    </w:rPr>
                  </w:pP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二氧化硫</w:t>
                  </w:r>
                </w:p>
              </w:tc>
              <w:tc>
                <w:tcPr>
                  <w:tcW w:w="836" w:type="dxa"/>
                  <w:vMerge w:val="continue"/>
                  <w:tcBorders>
                    <w:top w:val="nil"/>
                    <w:left w:val="single" w:color="auto" w:sz="4" w:space="0"/>
                    <w:bottom w:val="single" w:color="auto" w:sz="4" w:space="0"/>
                    <w:right w:val="single" w:color="auto" w:sz="4" w:space="0"/>
                  </w:tcBorders>
                  <w:vAlign w:val="center"/>
                </w:tcPr>
                <w:p>
                  <w:pPr>
                    <w:widowControl/>
                    <w:jc w:val="center"/>
                    <w:rPr>
                      <w:color w:val="auto"/>
                      <w:kern w:val="0"/>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sz w:val="21"/>
                      <w:szCs w:val="21"/>
                      <w:u w:val="none"/>
                    </w:rPr>
                    <w:t>0.17</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sz w:val="21"/>
                      <w:szCs w:val="21"/>
                      <w:u w:val="none"/>
                    </w:rPr>
                    <w:t>0.086</w:t>
                  </w:r>
                </w:p>
              </w:tc>
              <w:tc>
                <w:tcPr>
                  <w:tcW w:w="81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sz w:val="21"/>
                      <w:szCs w:val="21"/>
                      <w:u w:val="none"/>
                    </w:rPr>
                    <w:t>24.36</w:t>
                  </w:r>
                </w:p>
              </w:tc>
              <w:tc>
                <w:tcPr>
                  <w:tcW w:w="1249" w:type="dxa"/>
                  <w:vMerge w:val="continue"/>
                  <w:tcBorders>
                    <w:top w:val="nil"/>
                    <w:left w:val="single" w:color="auto" w:sz="4" w:space="0"/>
                    <w:bottom w:val="single" w:color="auto" w:sz="4" w:space="0"/>
                    <w:right w:val="single" w:color="auto" w:sz="4" w:space="0"/>
                  </w:tcBorders>
                  <w:vAlign w:val="center"/>
                </w:tcPr>
                <w:p>
                  <w:pPr>
                    <w:widowControl/>
                    <w:jc w:val="center"/>
                    <w:rPr>
                      <w:color w:val="auto"/>
                      <w:kern w:val="0"/>
                      <w:sz w:val="21"/>
                      <w:szCs w:val="21"/>
                      <w:u w:val="none"/>
                    </w:rPr>
                  </w:pP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0</w:t>
                  </w:r>
                </w:p>
              </w:tc>
              <w:tc>
                <w:tcPr>
                  <w:tcW w:w="947" w:type="dxa"/>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sz w:val="21"/>
                      <w:szCs w:val="21"/>
                      <w:u w:val="none"/>
                    </w:rPr>
                    <w:t>0.17</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color w:val="auto"/>
                      <w:sz w:val="21"/>
                      <w:szCs w:val="21"/>
                      <w:u w:val="none"/>
                    </w:rPr>
                    <w:t>0.086</w:t>
                  </w:r>
                </w:p>
              </w:tc>
              <w:tc>
                <w:tcPr>
                  <w:tcW w:w="810"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color w:val="auto"/>
                      <w:sz w:val="21"/>
                      <w:szCs w:val="21"/>
                      <w:u w:val="none"/>
                    </w:rPr>
                    <w:t>24.36</w:t>
                  </w:r>
                </w:p>
              </w:tc>
              <w:tc>
                <w:tcPr>
                  <w:tcW w:w="766" w:type="dxa"/>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c>
                <w:tcPr>
                  <w:tcW w:w="844" w:type="dxa"/>
                  <w:vMerge w:val="continue"/>
                  <w:tcBorders>
                    <w:top w:val="nil"/>
                    <w:left w:val="single" w:color="auto" w:sz="4" w:space="0"/>
                    <w:bottom w:val="single" w:color="auto" w:sz="4" w:space="0"/>
                    <w:right w:val="single" w:color="auto" w:sz="4" w:space="0"/>
                  </w:tcBorders>
                  <w:vAlign w:val="center"/>
                </w:tcPr>
                <w:p>
                  <w:pPr>
                    <w:widowControl/>
                    <w:jc w:val="center"/>
                    <w:rPr>
                      <w:color w:val="auto"/>
                      <w:kern w:val="0"/>
                      <w:sz w:val="21"/>
                      <w:szCs w:val="21"/>
                      <w:u w:val="none"/>
                    </w:rPr>
                  </w:pP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spacing w:val="-10"/>
                      <w:sz w:val="21"/>
                      <w:szCs w:val="21"/>
                      <w:u w:val="none"/>
                    </w:rPr>
                    <w:t>氮氧化物</w:t>
                  </w:r>
                </w:p>
              </w:tc>
              <w:tc>
                <w:tcPr>
                  <w:tcW w:w="836" w:type="dxa"/>
                  <w:vMerge w:val="continue"/>
                  <w:tcBorders>
                    <w:top w:val="nil"/>
                    <w:left w:val="single" w:color="auto" w:sz="4" w:space="0"/>
                    <w:bottom w:val="single" w:color="auto" w:sz="4" w:space="0"/>
                    <w:right w:val="single" w:color="auto" w:sz="4" w:space="0"/>
                  </w:tcBorders>
                  <w:vAlign w:val="center"/>
                </w:tcPr>
                <w:p>
                  <w:pPr>
                    <w:widowControl/>
                    <w:jc w:val="center"/>
                    <w:rPr>
                      <w:color w:val="auto"/>
                      <w:kern w:val="0"/>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rFonts w:hint="eastAsia" w:eastAsia="宋体"/>
                      <w:color w:val="auto"/>
                      <w:sz w:val="21"/>
                      <w:szCs w:val="21"/>
                      <w:u w:val="none"/>
                      <w:lang w:val="en-US" w:eastAsia="zh-CN"/>
                    </w:rPr>
                    <w:t>0.18</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color w:val="auto"/>
                      <w:sz w:val="21"/>
                      <w:szCs w:val="21"/>
                      <w:u w:val="none"/>
                      <w:lang w:val="en-US" w:eastAsia="zh-CN"/>
                    </w:rPr>
                    <w:t>0.091</w:t>
                  </w:r>
                </w:p>
              </w:tc>
              <w:tc>
                <w:tcPr>
                  <w:tcW w:w="810"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color w:val="auto"/>
                      <w:sz w:val="21"/>
                      <w:szCs w:val="21"/>
                      <w:u w:val="none"/>
                      <w:lang w:val="en-US" w:eastAsia="zh-CN"/>
                    </w:rPr>
                    <w:t>25.81</w:t>
                  </w:r>
                </w:p>
              </w:tc>
              <w:tc>
                <w:tcPr>
                  <w:tcW w:w="1249" w:type="dxa"/>
                  <w:vMerge w:val="continue"/>
                  <w:tcBorders>
                    <w:top w:val="nil"/>
                    <w:left w:val="single" w:color="auto" w:sz="4" w:space="0"/>
                    <w:bottom w:val="single" w:color="auto" w:sz="4" w:space="0"/>
                    <w:right w:val="single" w:color="auto" w:sz="4" w:space="0"/>
                  </w:tcBorders>
                  <w:vAlign w:val="center"/>
                </w:tcPr>
                <w:p>
                  <w:pPr>
                    <w:widowControl/>
                    <w:jc w:val="center"/>
                    <w:rPr>
                      <w:color w:val="auto"/>
                      <w:kern w:val="0"/>
                      <w:sz w:val="21"/>
                      <w:szCs w:val="21"/>
                      <w:u w:val="none"/>
                    </w:rPr>
                  </w:pP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0</w:t>
                  </w:r>
                </w:p>
              </w:tc>
              <w:tc>
                <w:tcPr>
                  <w:tcW w:w="947" w:type="dxa"/>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rFonts w:hint="eastAsia" w:eastAsia="宋体"/>
                      <w:color w:val="auto"/>
                      <w:sz w:val="21"/>
                      <w:szCs w:val="21"/>
                      <w:u w:val="none"/>
                      <w:lang w:val="en-US" w:eastAsia="zh-CN"/>
                    </w:rPr>
                    <w:t>0.18</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color w:val="auto"/>
                      <w:sz w:val="21"/>
                      <w:szCs w:val="21"/>
                      <w:u w:val="none"/>
                      <w:lang w:val="en-US" w:eastAsia="zh-CN"/>
                    </w:rPr>
                    <w:t>0.091</w:t>
                  </w:r>
                </w:p>
              </w:tc>
              <w:tc>
                <w:tcPr>
                  <w:tcW w:w="810"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color w:val="auto"/>
                      <w:sz w:val="21"/>
                      <w:szCs w:val="21"/>
                      <w:u w:val="none"/>
                      <w:lang w:val="en-US" w:eastAsia="zh-CN"/>
                    </w:rPr>
                    <w:t>25.81</w:t>
                  </w:r>
                </w:p>
              </w:tc>
              <w:tc>
                <w:tcPr>
                  <w:tcW w:w="766" w:type="dxa"/>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c>
                <w:tcPr>
                  <w:tcW w:w="844" w:type="dxa"/>
                  <w:vMerge w:val="continue"/>
                  <w:tcBorders>
                    <w:top w:val="nil"/>
                    <w:left w:val="single" w:color="auto" w:sz="4" w:space="0"/>
                    <w:bottom w:val="single" w:color="auto" w:sz="4" w:space="0"/>
                    <w:right w:val="single" w:color="auto" w:sz="4" w:space="0"/>
                  </w:tcBorders>
                  <w:vAlign w:val="center"/>
                </w:tcPr>
                <w:p>
                  <w:pPr>
                    <w:widowControl/>
                    <w:jc w:val="center"/>
                    <w:rPr>
                      <w:color w:val="auto"/>
                      <w:kern w:val="0"/>
                      <w:sz w:val="21"/>
                      <w:szCs w:val="21"/>
                      <w:u w:val="none"/>
                    </w:rPr>
                  </w:pP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烟气黑度</w:t>
                  </w:r>
                </w:p>
              </w:tc>
              <w:tc>
                <w:tcPr>
                  <w:tcW w:w="836" w:type="dxa"/>
                  <w:vMerge w:val="continue"/>
                  <w:tcBorders>
                    <w:top w:val="nil"/>
                    <w:left w:val="single" w:color="auto" w:sz="4" w:space="0"/>
                    <w:bottom w:val="single" w:color="auto" w:sz="4" w:space="0"/>
                    <w:right w:val="single" w:color="auto" w:sz="4" w:space="0"/>
                  </w:tcBorders>
                  <w:vAlign w:val="center"/>
                </w:tcPr>
                <w:p>
                  <w:pPr>
                    <w:widowControl/>
                    <w:jc w:val="center"/>
                    <w:rPr>
                      <w:color w:val="auto"/>
                      <w:kern w:val="0"/>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kern w:val="0"/>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kern w:val="0"/>
                      <w:sz w:val="21"/>
                      <w:szCs w:val="21"/>
                      <w:u w:val="none"/>
                    </w:rPr>
                    <w:t>/</w:t>
                  </w:r>
                </w:p>
              </w:tc>
              <w:tc>
                <w:tcPr>
                  <w:tcW w:w="81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kern w:val="0"/>
                      <w:sz w:val="21"/>
                      <w:szCs w:val="21"/>
                      <w:u w:val="none"/>
                    </w:rPr>
                    <w:t>≤1级</w:t>
                  </w:r>
                </w:p>
              </w:tc>
              <w:tc>
                <w:tcPr>
                  <w:tcW w:w="1249" w:type="dxa"/>
                  <w:vMerge w:val="continue"/>
                  <w:tcBorders>
                    <w:top w:val="nil"/>
                    <w:left w:val="single" w:color="auto" w:sz="4" w:space="0"/>
                    <w:bottom w:val="single" w:color="auto" w:sz="4" w:space="0"/>
                    <w:right w:val="single" w:color="auto" w:sz="4" w:space="0"/>
                  </w:tcBorders>
                  <w:vAlign w:val="center"/>
                </w:tcPr>
                <w:p>
                  <w:pPr>
                    <w:widowControl/>
                    <w:jc w:val="center"/>
                    <w:rPr>
                      <w:color w:val="auto"/>
                      <w:kern w:val="0"/>
                      <w:sz w:val="21"/>
                      <w:szCs w:val="21"/>
                      <w:u w:val="none"/>
                    </w:rPr>
                  </w:pP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0</w:t>
                  </w:r>
                </w:p>
              </w:tc>
              <w:tc>
                <w:tcPr>
                  <w:tcW w:w="947" w:type="dxa"/>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auto"/>
                      <w:kern w:val="0"/>
                      <w:sz w:val="21"/>
                      <w:szCs w:val="21"/>
                      <w:u w:val="none"/>
                    </w:rPr>
                  </w:pPr>
                  <w:r>
                    <w:rPr>
                      <w:color w:val="auto"/>
                      <w:kern w:val="0"/>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color w:val="auto"/>
                      <w:kern w:val="0"/>
                      <w:sz w:val="21"/>
                      <w:szCs w:val="21"/>
                      <w:u w:val="none"/>
                    </w:rPr>
                    <w:t>/</w:t>
                  </w:r>
                </w:p>
              </w:tc>
              <w:tc>
                <w:tcPr>
                  <w:tcW w:w="810"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color w:val="auto"/>
                      <w:kern w:val="0"/>
                      <w:sz w:val="21"/>
                      <w:szCs w:val="21"/>
                      <w:u w:val="none"/>
                    </w:rPr>
                    <w:t>≤1级</w:t>
                  </w:r>
                </w:p>
              </w:tc>
              <w:tc>
                <w:tcPr>
                  <w:tcW w:w="766" w:type="dxa"/>
                  <w:vMerge w:val="continue"/>
                  <w:tcBorders>
                    <w:top w:val="nil"/>
                    <w:left w:val="single" w:color="auto" w:sz="4" w:space="0"/>
                    <w:bottom w:val="single" w:color="auto" w:sz="4" w:space="0"/>
                    <w:right w:val="single" w:color="auto" w:sz="4" w:space="0"/>
                  </w:tcBorders>
                  <w:vAlign w:val="center"/>
                </w:tcPr>
                <w:p>
                  <w:pPr>
                    <w:widowControl/>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炒制油烟</w:t>
                  </w:r>
                </w:p>
              </w:tc>
              <w:tc>
                <w:tcPr>
                  <w:tcW w:w="844"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DA002</w:t>
                  </w: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油烟</w:t>
                  </w:r>
                </w:p>
              </w:tc>
              <w:tc>
                <w:tcPr>
                  <w:tcW w:w="83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3200</w:t>
                  </w:r>
                  <w:r>
                    <w:rPr>
                      <w:color w:val="auto"/>
                      <w:kern w:val="0"/>
                      <w:sz w:val="21"/>
                      <w:szCs w:val="21"/>
                      <w:u w:val="none"/>
                    </w:rPr>
                    <w:t>万m</w:t>
                  </w:r>
                  <w:r>
                    <w:rPr>
                      <w:color w:val="auto"/>
                      <w:kern w:val="0"/>
                      <w:sz w:val="21"/>
                      <w:szCs w:val="21"/>
                      <w:u w:val="none"/>
                      <w:vertAlign w:val="superscript"/>
                    </w:rPr>
                    <w:t>3</w:t>
                  </w:r>
                  <w:r>
                    <w:rPr>
                      <w:color w:val="auto"/>
                      <w:kern w:val="0"/>
                      <w:sz w:val="21"/>
                      <w:szCs w:val="21"/>
                      <w:u w:val="none"/>
                    </w:rPr>
                    <w:t>/a</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eastAsia="宋体"/>
                      <w:color w:val="auto"/>
                      <w:kern w:val="0"/>
                      <w:sz w:val="21"/>
                      <w:szCs w:val="21"/>
                      <w:u w:val="none"/>
                      <w:lang w:val="en-US" w:eastAsia="zh-CN"/>
                    </w:rPr>
                  </w:pPr>
                  <w:r>
                    <w:rPr>
                      <w:rFonts w:hint="eastAsia"/>
                      <w:color w:val="auto"/>
                      <w:kern w:val="0"/>
                      <w:sz w:val="21"/>
                      <w:szCs w:val="21"/>
                      <w:u w:val="none"/>
                      <w:lang w:val="en-US" w:eastAsia="zh-CN"/>
                    </w:rPr>
                    <w:t>5.1</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eastAsia="宋体"/>
                      <w:color w:val="auto"/>
                      <w:kern w:val="0"/>
                      <w:sz w:val="21"/>
                      <w:szCs w:val="21"/>
                      <w:u w:val="none"/>
                      <w:lang w:val="en-US" w:eastAsia="zh-CN"/>
                    </w:rPr>
                  </w:pPr>
                  <w:r>
                    <w:rPr>
                      <w:rFonts w:hint="eastAsia"/>
                      <w:color w:val="auto"/>
                      <w:kern w:val="0"/>
                      <w:sz w:val="21"/>
                      <w:szCs w:val="21"/>
                      <w:u w:val="none"/>
                      <w:lang w:val="en-US" w:eastAsia="zh-CN"/>
                    </w:rPr>
                    <w:t>2.55</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eastAsia="宋体"/>
                      <w:color w:val="auto"/>
                      <w:kern w:val="0"/>
                      <w:sz w:val="21"/>
                      <w:szCs w:val="21"/>
                      <w:u w:val="none"/>
                      <w:lang w:val="en-US" w:eastAsia="zh-CN"/>
                    </w:rPr>
                  </w:pPr>
                  <w:r>
                    <w:rPr>
                      <w:rFonts w:hint="eastAsia"/>
                      <w:color w:val="auto"/>
                      <w:kern w:val="0"/>
                      <w:sz w:val="21"/>
                      <w:szCs w:val="21"/>
                      <w:u w:val="none"/>
                      <w:lang w:val="en-US" w:eastAsia="zh-CN"/>
                    </w:rPr>
                    <w:t>159.4</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两级高效静电式油烟净化器+1</w:t>
                  </w:r>
                  <w:r>
                    <w:rPr>
                      <w:rFonts w:hint="eastAsia"/>
                      <w:color w:val="auto"/>
                      <w:sz w:val="21"/>
                      <w:szCs w:val="21"/>
                      <w:u w:val="none"/>
                      <w:lang w:val="en-US" w:eastAsia="zh-CN"/>
                    </w:rPr>
                    <w:t>5</w:t>
                  </w:r>
                  <w:r>
                    <w:rPr>
                      <w:color w:val="auto"/>
                      <w:sz w:val="21"/>
                      <w:szCs w:val="21"/>
                      <w:u w:val="none"/>
                    </w:rPr>
                    <w:t>m排气筒</w:t>
                  </w: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99</w:t>
                  </w:r>
                </w:p>
              </w:tc>
              <w:tc>
                <w:tcPr>
                  <w:tcW w:w="9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是</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eastAsia="宋体"/>
                      <w:color w:val="auto"/>
                      <w:kern w:val="0"/>
                      <w:sz w:val="21"/>
                      <w:szCs w:val="21"/>
                      <w:u w:val="none"/>
                      <w:lang w:val="en-US" w:eastAsia="zh-CN"/>
                    </w:rPr>
                  </w:pPr>
                  <w:r>
                    <w:rPr>
                      <w:color w:val="auto"/>
                      <w:kern w:val="0"/>
                      <w:sz w:val="21"/>
                      <w:szCs w:val="21"/>
                      <w:u w:val="none"/>
                    </w:rPr>
                    <w:t>0.0</w:t>
                  </w:r>
                  <w:r>
                    <w:rPr>
                      <w:rFonts w:hint="eastAsia"/>
                      <w:color w:val="auto"/>
                      <w:kern w:val="0"/>
                      <w:sz w:val="21"/>
                      <w:szCs w:val="21"/>
                      <w:u w:val="none"/>
                      <w:lang w:val="en-US" w:eastAsia="zh-CN"/>
                    </w:rPr>
                    <w:t>51</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eastAsia="宋体"/>
                      <w:color w:val="auto"/>
                      <w:kern w:val="0"/>
                      <w:sz w:val="21"/>
                      <w:szCs w:val="21"/>
                      <w:u w:val="none"/>
                      <w:lang w:val="en-US" w:eastAsia="zh-CN"/>
                    </w:rPr>
                  </w:pPr>
                  <w:r>
                    <w:rPr>
                      <w:color w:val="auto"/>
                      <w:kern w:val="0"/>
                      <w:sz w:val="21"/>
                      <w:szCs w:val="21"/>
                      <w:u w:val="none"/>
                    </w:rPr>
                    <w:t>0.0</w:t>
                  </w:r>
                  <w:r>
                    <w:rPr>
                      <w:rFonts w:hint="eastAsia"/>
                      <w:color w:val="auto"/>
                      <w:kern w:val="0"/>
                      <w:sz w:val="21"/>
                      <w:szCs w:val="21"/>
                      <w:u w:val="none"/>
                      <w:lang w:val="en-US" w:eastAsia="zh-CN"/>
                    </w:rPr>
                    <w:t>26</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eastAsia="宋体"/>
                      <w:color w:val="auto"/>
                      <w:kern w:val="0"/>
                      <w:sz w:val="21"/>
                      <w:szCs w:val="21"/>
                      <w:u w:val="none"/>
                      <w:lang w:val="en-US" w:eastAsia="zh-CN"/>
                    </w:rPr>
                  </w:pPr>
                  <w:r>
                    <w:rPr>
                      <w:color w:val="auto"/>
                      <w:kern w:val="0"/>
                      <w:sz w:val="21"/>
                      <w:szCs w:val="21"/>
                      <w:u w:val="none"/>
                    </w:rPr>
                    <w:t>1.</w:t>
                  </w:r>
                  <w:r>
                    <w:rPr>
                      <w:rFonts w:hint="eastAsia"/>
                      <w:color w:val="auto"/>
                      <w:kern w:val="0"/>
                      <w:sz w:val="21"/>
                      <w:szCs w:val="21"/>
                      <w:u w:val="none"/>
                      <w:lang w:val="en-US" w:eastAsia="zh-CN"/>
                    </w:rPr>
                    <w:t>59</w:t>
                  </w:r>
                </w:p>
              </w:tc>
              <w:tc>
                <w:tcPr>
                  <w:tcW w:w="76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食堂油烟</w:t>
                  </w:r>
                </w:p>
              </w:tc>
              <w:tc>
                <w:tcPr>
                  <w:tcW w:w="844"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DA003</w:t>
                  </w: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油烟</w:t>
                  </w:r>
                </w:p>
              </w:tc>
              <w:tc>
                <w:tcPr>
                  <w:tcW w:w="83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600</w:t>
                  </w:r>
                  <w:r>
                    <w:rPr>
                      <w:color w:val="auto"/>
                      <w:kern w:val="0"/>
                      <w:sz w:val="21"/>
                      <w:szCs w:val="21"/>
                      <w:u w:val="none"/>
                    </w:rPr>
                    <w:t>万m</w:t>
                  </w:r>
                  <w:r>
                    <w:rPr>
                      <w:color w:val="auto"/>
                      <w:kern w:val="0"/>
                      <w:sz w:val="21"/>
                      <w:szCs w:val="21"/>
                      <w:u w:val="none"/>
                      <w:vertAlign w:val="superscript"/>
                    </w:rPr>
                    <w:t>3</w:t>
                  </w:r>
                  <w:r>
                    <w:rPr>
                      <w:color w:val="auto"/>
                      <w:kern w:val="0"/>
                      <w:sz w:val="21"/>
                      <w:szCs w:val="21"/>
                      <w:u w:val="none"/>
                    </w:rPr>
                    <w:t>/a</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0.036</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0.048</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6</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rFonts w:hint="eastAsia"/>
                      <w:color w:val="auto"/>
                      <w:sz w:val="21"/>
                      <w:szCs w:val="21"/>
                      <w:u w:val="none"/>
                    </w:rPr>
                    <w:t>静电</w:t>
                  </w:r>
                  <w:r>
                    <w:rPr>
                      <w:color w:val="auto"/>
                      <w:sz w:val="21"/>
                      <w:szCs w:val="21"/>
                      <w:u w:val="none"/>
                    </w:rPr>
                    <w:t>油烟净化器+屋顶排放（</w:t>
                  </w:r>
                  <w:r>
                    <w:rPr>
                      <w:rFonts w:hint="eastAsia"/>
                      <w:color w:val="auto"/>
                      <w:sz w:val="21"/>
                      <w:szCs w:val="21"/>
                      <w:u w:val="none"/>
                      <w:lang w:val="en-US" w:eastAsia="zh-CN"/>
                    </w:rPr>
                    <w:t>9</w:t>
                  </w:r>
                  <w:r>
                    <w:rPr>
                      <w:color w:val="auto"/>
                      <w:sz w:val="21"/>
                      <w:szCs w:val="21"/>
                      <w:u w:val="none"/>
                    </w:rPr>
                    <w:t>m）</w:t>
                  </w: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75</w:t>
                  </w:r>
                </w:p>
              </w:tc>
              <w:tc>
                <w:tcPr>
                  <w:tcW w:w="9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是</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0.009</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0.012</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1.5</w:t>
                  </w:r>
                </w:p>
              </w:tc>
              <w:tc>
                <w:tcPr>
                  <w:tcW w:w="76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restart"/>
                  <w:tcBorders>
                    <w:top w:val="single" w:color="auto" w:sz="4" w:space="0"/>
                    <w:left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污水处理站臭气</w:t>
                  </w:r>
                </w:p>
              </w:tc>
              <w:tc>
                <w:tcPr>
                  <w:tcW w:w="844" w:type="dxa"/>
                  <w:vMerge w:val="restart"/>
                  <w:tcBorders>
                    <w:top w:val="single" w:color="auto" w:sz="4" w:space="0"/>
                    <w:left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DA004</w:t>
                  </w: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氨</w:t>
                  </w:r>
                </w:p>
              </w:tc>
              <w:tc>
                <w:tcPr>
                  <w:tcW w:w="836" w:type="dxa"/>
                  <w:vMerge w:val="restart"/>
                  <w:tcBorders>
                    <w:top w:val="single" w:color="auto" w:sz="4" w:space="0"/>
                    <w:left w:val="single" w:color="auto" w:sz="4" w:space="0"/>
                    <w:right w:val="single" w:color="auto" w:sz="4" w:space="0"/>
                  </w:tcBorders>
                  <w:vAlign w:val="center"/>
                </w:tcPr>
                <w:p>
                  <w:pPr>
                    <w:autoSpaceDE w:val="0"/>
                    <w:jc w:val="center"/>
                    <w:rPr>
                      <w:color w:val="auto"/>
                      <w:sz w:val="21"/>
                      <w:szCs w:val="21"/>
                      <w:u w:val="none"/>
                    </w:rPr>
                  </w:pPr>
                  <w:r>
                    <w:rPr>
                      <w:color w:val="auto"/>
                      <w:kern w:val="0"/>
                      <w:sz w:val="21"/>
                      <w:szCs w:val="21"/>
                      <w:u w:val="none"/>
                    </w:rPr>
                    <w:t>3000万m</w:t>
                  </w:r>
                  <w:r>
                    <w:rPr>
                      <w:color w:val="auto"/>
                      <w:kern w:val="0"/>
                      <w:sz w:val="21"/>
                      <w:szCs w:val="21"/>
                      <w:u w:val="none"/>
                      <w:vertAlign w:val="superscript"/>
                    </w:rPr>
                    <w:t>3</w:t>
                  </w:r>
                  <w:r>
                    <w:rPr>
                      <w:color w:val="auto"/>
                      <w:kern w:val="0"/>
                      <w:sz w:val="21"/>
                      <w:szCs w:val="21"/>
                      <w:u w:val="none"/>
                    </w:rPr>
                    <w:t>/a</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0.3186</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0.0531</w:t>
                  </w:r>
                </w:p>
              </w:tc>
              <w:tc>
                <w:tcPr>
                  <w:tcW w:w="810"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10.618</w:t>
                  </w:r>
                </w:p>
              </w:tc>
              <w:tc>
                <w:tcPr>
                  <w:tcW w:w="1249" w:type="dxa"/>
                  <w:vMerge w:val="restart"/>
                  <w:tcBorders>
                    <w:top w:val="single" w:color="auto" w:sz="4" w:space="0"/>
                    <w:left w:val="single" w:color="auto" w:sz="4" w:space="0"/>
                    <w:right w:val="single" w:color="auto" w:sz="4" w:space="0"/>
                  </w:tcBorders>
                  <w:vAlign w:val="center"/>
                </w:tcPr>
                <w:p>
                  <w:pPr>
                    <w:autoSpaceDE w:val="0"/>
                    <w:jc w:val="center"/>
                    <w:rPr>
                      <w:color w:val="auto"/>
                      <w:sz w:val="21"/>
                      <w:szCs w:val="21"/>
                      <w:u w:val="none"/>
                    </w:rPr>
                  </w:pPr>
                  <w:r>
                    <w:rPr>
                      <w:color w:val="auto"/>
                      <w:kern w:val="0"/>
                      <w:sz w:val="21"/>
                      <w:szCs w:val="21"/>
                      <w:u w:val="none"/>
                    </w:rPr>
                    <w:t>污水池密闭负压收集+“二级喷淋+生物滤池”+15m排气筒</w:t>
                  </w:r>
                </w:p>
              </w:tc>
              <w:tc>
                <w:tcPr>
                  <w:tcW w:w="747"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lang w:val="en-US" w:eastAsia="zh-CN"/>
                    </w:rPr>
                    <w:t>88</w:t>
                  </w:r>
                </w:p>
              </w:tc>
              <w:tc>
                <w:tcPr>
                  <w:tcW w:w="947" w:type="dxa"/>
                  <w:vMerge w:val="restart"/>
                  <w:tcBorders>
                    <w:top w:val="single" w:color="auto" w:sz="4" w:space="0"/>
                    <w:left w:val="single" w:color="auto" w:sz="4" w:space="0"/>
                    <w:right w:val="single" w:color="auto" w:sz="4" w:space="0"/>
                  </w:tcBorders>
                  <w:vAlign w:val="center"/>
                </w:tcPr>
                <w:p>
                  <w:pPr>
                    <w:widowControl/>
                    <w:tabs>
                      <w:tab w:val="left" w:pos="1050"/>
                    </w:tabs>
                    <w:autoSpaceDE w:val="0"/>
                    <w:jc w:val="center"/>
                    <w:rPr>
                      <w:rFonts w:hint="eastAsia" w:eastAsia="宋体"/>
                      <w:color w:val="auto"/>
                      <w:sz w:val="21"/>
                      <w:szCs w:val="21"/>
                      <w:u w:val="none"/>
                      <w:lang w:eastAsia="zh-CN"/>
                    </w:rPr>
                  </w:pPr>
                  <w:r>
                    <w:rPr>
                      <w:rFonts w:hint="eastAsia"/>
                      <w:color w:val="auto"/>
                      <w:sz w:val="21"/>
                      <w:szCs w:val="21"/>
                      <w:u w:val="none"/>
                      <w:lang w:eastAsia="zh-CN"/>
                    </w:rPr>
                    <w:t>是</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rPr>
                    <w:t>0.0382</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rPr>
                    <w:t>0.0064</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rPr>
                    <w:t>1.274</w:t>
                  </w:r>
                </w:p>
              </w:tc>
              <w:tc>
                <w:tcPr>
                  <w:tcW w:w="766" w:type="dxa"/>
                  <w:vMerge w:val="restart"/>
                  <w:tcBorders>
                    <w:top w:val="single" w:color="auto" w:sz="4" w:space="0"/>
                    <w:left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continue"/>
                  <w:tcBorders>
                    <w:left w:val="single" w:color="auto" w:sz="4" w:space="0"/>
                    <w:right w:val="single" w:color="auto" w:sz="4" w:space="0"/>
                  </w:tcBorders>
                  <w:vAlign w:val="center"/>
                </w:tcPr>
                <w:p>
                  <w:pPr>
                    <w:autoSpaceDE w:val="0"/>
                    <w:jc w:val="center"/>
                    <w:rPr>
                      <w:color w:val="auto"/>
                      <w:sz w:val="21"/>
                      <w:szCs w:val="21"/>
                      <w:u w:val="none"/>
                    </w:rPr>
                  </w:pPr>
                </w:p>
              </w:tc>
              <w:tc>
                <w:tcPr>
                  <w:tcW w:w="844" w:type="dxa"/>
                  <w:vMerge w:val="continue"/>
                  <w:tcBorders>
                    <w:left w:val="single" w:color="auto" w:sz="4" w:space="0"/>
                    <w:right w:val="single" w:color="auto" w:sz="4" w:space="0"/>
                  </w:tcBorders>
                  <w:vAlign w:val="center"/>
                </w:tcPr>
                <w:p>
                  <w:pPr>
                    <w:autoSpaceDE w:val="0"/>
                    <w:jc w:val="center"/>
                    <w:textAlignment w:val="center"/>
                    <w:rPr>
                      <w:color w:val="auto"/>
                      <w:kern w:val="0"/>
                      <w:sz w:val="21"/>
                      <w:szCs w:val="21"/>
                      <w:u w:val="none"/>
                    </w:rPr>
                  </w:pP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硫化氢</w:t>
                  </w:r>
                </w:p>
              </w:tc>
              <w:tc>
                <w:tcPr>
                  <w:tcW w:w="836" w:type="dxa"/>
                  <w:vMerge w:val="continue"/>
                  <w:tcBorders>
                    <w:left w:val="single" w:color="auto" w:sz="4" w:space="0"/>
                    <w:right w:val="single" w:color="auto" w:sz="4" w:space="0"/>
                  </w:tcBorders>
                  <w:vAlign w:val="center"/>
                </w:tcPr>
                <w:p>
                  <w:pPr>
                    <w:autoSpaceDE w:val="0"/>
                    <w:jc w:val="center"/>
                    <w:rPr>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0.0123</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0.0021</w:t>
                  </w:r>
                </w:p>
              </w:tc>
              <w:tc>
                <w:tcPr>
                  <w:tcW w:w="810"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0.411</w:t>
                  </w:r>
                </w:p>
              </w:tc>
              <w:tc>
                <w:tcPr>
                  <w:tcW w:w="1249" w:type="dxa"/>
                  <w:vMerge w:val="continue"/>
                  <w:tcBorders>
                    <w:left w:val="single" w:color="auto" w:sz="4" w:space="0"/>
                    <w:right w:val="single" w:color="auto" w:sz="4" w:space="0"/>
                  </w:tcBorders>
                  <w:vAlign w:val="center"/>
                </w:tcPr>
                <w:p>
                  <w:pPr>
                    <w:autoSpaceDE w:val="0"/>
                    <w:jc w:val="center"/>
                    <w:rPr>
                      <w:color w:val="auto"/>
                      <w:sz w:val="21"/>
                      <w:szCs w:val="21"/>
                      <w:u w:val="none"/>
                    </w:rPr>
                  </w:pPr>
                </w:p>
              </w:tc>
              <w:tc>
                <w:tcPr>
                  <w:tcW w:w="747"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lang w:val="en-US" w:eastAsia="zh-CN"/>
                    </w:rPr>
                    <w:t>88</w:t>
                  </w:r>
                </w:p>
              </w:tc>
              <w:tc>
                <w:tcPr>
                  <w:tcW w:w="947" w:type="dxa"/>
                  <w:vMerge w:val="continue"/>
                  <w:tcBorders>
                    <w:left w:val="single" w:color="auto" w:sz="4" w:space="0"/>
                    <w:right w:val="single" w:color="auto" w:sz="4" w:space="0"/>
                  </w:tcBorders>
                  <w:vAlign w:val="center"/>
                </w:tcPr>
                <w:p>
                  <w:pPr>
                    <w:widowControl/>
                    <w:tabs>
                      <w:tab w:val="left" w:pos="1050"/>
                    </w:tabs>
                    <w:autoSpaceDE w:val="0"/>
                    <w:jc w:val="center"/>
                    <w:rPr>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rPr>
                    <w:t>0.0015</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rPr>
                    <w:t>0.0002</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rPr>
                    <w:t>0.049</w:t>
                  </w:r>
                </w:p>
              </w:tc>
              <w:tc>
                <w:tcPr>
                  <w:tcW w:w="766" w:type="dxa"/>
                  <w:vMerge w:val="continue"/>
                  <w:tcBorders>
                    <w:left w:val="single" w:color="auto" w:sz="4" w:space="0"/>
                    <w:right w:val="single" w:color="auto" w:sz="4" w:space="0"/>
                  </w:tcBorders>
                  <w:vAlign w:val="center"/>
                </w:tcPr>
                <w:p>
                  <w:pPr>
                    <w:autoSpaceDE w:val="0"/>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continue"/>
                  <w:tcBorders>
                    <w:left w:val="single" w:color="auto" w:sz="4" w:space="0"/>
                    <w:right w:val="single" w:color="auto" w:sz="4" w:space="0"/>
                  </w:tcBorders>
                  <w:vAlign w:val="center"/>
                </w:tcPr>
                <w:p>
                  <w:pPr>
                    <w:autoSpaceDE w:val="0"/>
                    <w:jc w:val="center"/>
                    <w:rPr>
                      <w:color w:val="auto"/>
                      <w:sz w:val="21"/>
                      <w:szCs w:val="21"/>
                      <w:u w:val="none"/>
                    </w:rPr>
                  </w:pPr>
                </w:p>
              </w:tc>
              <w:tc>
                <w:tcPr>
                  <w:tcW w:w="844" w:type="dxa"/>
                  <w:vMerge w:val="continue"/>
                  <w:tcBorders>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臭气浓度</w:t>
                  </w:r>
                </w:p>
              </w:tc>
              <w:tc>
                <w:tcPr>
                  <w:tcW w:w="836" w:type="dxa"/>
                  <w:vMerge w:val="continue"/>
                  <w:tcBorders>
                    <w:left w:val="single" w:color="auto" w:sz="4" w:space="0"/>
                    <w:bottom w:val="single" w:color="auto" w:sz="4" w:space="0"/>
                    <w:right w:val="single" w:color="auto" w:sz="4" w:space="0"/>
                  </w:tcBorders>
                  <w:vAlign w:val="center"/>
                </w:tcPr>
                <w:p>
                  <w:pPr>
                    <w:autoSpaceDE w:val="0"/>
                    <w:jc w:val="center"/>
                    <w:rPr>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rPr>
                    <w:t>/</w:t>
                  </w:r>
                </w:p>
              </w:tc>
              <w:tc>
                <w:tcPr>
                  <w:tcW w:w="810"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rPr>
                    <w:t>/</w:t>
                  </w:r>
                </w:p>
              </w:tc>
              <w:tc>
                <w:tcPr>
                  <w:tcW w:w="1249" w:type="dxa"/>
                  <w:vMerge w:val="continue"/>
                  <w:tcBorders>
                    <w:left w:val="single" w:color="auto" w:sz="4" w:space="0"/>
                    <w:bottom w:val="single" w:color="auto" w:sz="4" w:space="0"/>
                    <w:right w:val="single" w:color="auto" w:sz="4" w:space="0"/>
                  </w:tcBorders>
                  <w:vAlign w:val="center"/>
                </w:tcPr>
                <w:p>
                  <w:pPr>
                    <w:autoSpaceDE w:val="0"/>
                    <w:jc w:val="center"/>
                    <w:rPr>
                      <w:color w:val="auto"/>
                      <w:sz w:val="21"/>
                      <w:szCs w:val="21"/>
                      <w:u w:val="none"/>
                    </w:rPr>
                  </w:pPr>
                </w:p>
              </w:tc>
              <w:tc>
                <w:tcPr>
                  <w:tcW w:w="747"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rPr>
                    <w:t>/</w:t>
                  </w:r>
                </w:p>
              </w:tc>
              <w:tc>
                <w:tcPr>
                  <w:tcW w:w="947" w:type="dxa"/>
                  <w:vMerge w:val="continue"/>
                  <w:tcBorders>
                    <w:left w:val="single" w:color="auto" w:sz="4" w:space="0"/>
                    <w:bottom w:val="single" w:color="auto" w:sz="4" w:space="0"/>
                    <w:right w:val="single" w:color="auto" w:sz="4" w:space="0"/>
                  </w:tcBorders>
                  <w:vAlign w:val="center"/>
                </w:tcPr>
                <w:p>
                  <w:pPr>
                    <w:widowControl/>
                    <w:tabs>
                      <w:tab w:val="left" w:pos="1050"/>
                    </w:tabs>
                    <w:autoSpaceDE w:val="0"/>
                    <w:jc w:val="center"/>
                    <w:rPr>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0"/>
                      <w:sz w:val="21"/>
                      <w:szCs w:val="21"/>
                      <w:u w:val="none"/>
                    </w:rPr>
                    <w:t>/</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rPr>
                    <w:t>/</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rPr>
                    <w:t>＜2000（无量纲）</w:t>
                  </w:r>
                </w:p>
              </w:tc>
              <w:tc>
                <w:tcPr>
                  <w:tcW w:w="766" w:type="dxa"/>
                  <w:vMerge w:val="continue"/>
                  <w:tcBorders>
                    <w:left w:val="single" w:color="auto" w:sz="4" w:space="0"/>
                    <w:right w:val="single" w:color="auto" w:sz="4" w:space="0"/>
                  </w:tcBorders>
                  <w:vAlign w:val="center"/>
                </w:tcPr>
                <w:p>
                  <w:pPr>
                    <w:autoSpaceDE w:val="0"/>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continue"/>
                  <w:tcBorders>
                    <w:left w:val="single" w:color="auto" w:sz="4" w:space="0"/>
                    <w:right w:val="single" w:color="auto" w:sz="4" w:space="0"/>
                  </w:tcBorders>
                  <w:vAlign w:val="center"/>
                </w:tcPr>
                <w:p>
                  <w:pPr>
                    <w:autoSpaceDE w:val="0"/>
                    <w:jc w:val="center"/>
                    <w:rPr>
                      <w:color w:val="auto"/>
                      <w:sz w:val="21"/>
                      <w:szCs w:val="21"/>
                      <w:u w:val="none"/>
                    </w:rPr>
                  </w:pPr>
                </w:p>
              </w:tc>
              <w:tc>
                <w:tcPr>
                  <w:tcW w:w="844" w:type="dxa"/>
                  <w:vMerge w:val="restart"/>
                  <w:tcBorders>
                    <w:left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无组织</w:t>
                  </w: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氨</w:t>
                  </w:r>
                </w:p>
              </w:tc>
              <w:tc>
                <w:tcPr>
                  <w:tcW w:w="836" w:type="dxa"/>
                  <w:vMerge w:val="restart"/>
                  <w:tcBorders>
                    <w:top w:val="single" w:color="auto" w:sz="4" w:space="0"/>
                    <w:left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0.0354</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0.0059</w:t>
                  </w:r>
                </w:p>
              </w:tc>
              <w:tc>
                <w:tcPr>
                  <w:tcW w:w="810"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rPr>
                    <w:t>/</w:t>
                  </w:r>
                </w:p>
              </w:tc>
              <w:tc>
                <w:tcPr>
                  <w:tcW w:w="1249" w:type="dxa"/>
                  <w:vMerge w:val="restart"/>
                  <w:tcBorders>
                    <w:top w:val="single" w:color="auto" w:sz="4" w:space="0"/>
                    <w:left w:val="single" w:color="auto" w:sz="4" w:space="0"/>
                    <w:right w:val="single" w:color="auto" w:sz="4" w:space="0"/>
                  </w:tcBorders>
                  <w:vAlign w:val="center"/>
                </w:tcPr>
                <w:p>
                  <w:pPr>
                    <w:autoSpaceDE w:val="0"/>
                    <w:jc w:val="center"/>
                    <w:rPr>
                      <w:color w:val="auto"/>
                      <w:sz w:val="21"/>
                      <w:szCs w:val="21"/>
                      <w:u w:val="none"/>
                    </w:rPr>
                  </w:pPr>
                  <w:r>
                    <w:rPr>
                      <w:color w:val="auto"/>
                      <w:kern w:val="0"/>
                      <w:sz w:val="21"/>
                      <w:szCs w:val="21"/>
                      <w:u w:val="none"/>
                    </w:rPr>
                    <w:t>喷洒除臭剂、加强绿化</w:t>
                  </w:r>
                </w:p>
              </w:tc>
              <w:tc>
                <w:tcPr>
                  <w:tcW w:w="747"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rPr>
                    <w:t>0</w:t>
                  </w:r>
                </w:p>
              </w:tc>
              <w:tc>
                <w:tcPr>
                  <w:tcW w:w="947"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eastAsia="宋体"/>
                      <w:color w:val="auto"/>
                      <w:sz w:val="21"/>
                      <w:szCs w:val="21"/>
                      <w:u w:val="none"/>
                      <w:lang w:val="en-US" w:eastAsia="zh-CN"/>
                    </w:rPr>
                  </w:pPr>
                  <w:r>
                    <w:rPr>
                      <w:rFonts w:hint="eastAsia"/>
                      <w:color w:val="auto"/>
                      <w:sz w:val="21"/>
                      <w:szCs w:val="21"/>
                      <w:u w:val="none"/>
                      <w:lang w:val="en-US" w:eastAsia="zh-CN"/>
                    </w:rPr>
                    <w:t>/</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rPr>
                    <w:t>0.0354</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rPr>
                    <w:t>0.0059</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rPr>
                    <w:t>/</w:t>
                  </w:r>
                </w:p>
              </w:tc>
              <w:tc>
                <w:tcPr>
                  <w:tcW w:w="766" w:type="dxa"/>
                  <w:vMerge w:val="continue"/>
                  <w:tcBorders>
                    <w:left w:val="single" w:color="auto" w:sz="4" w:space="0"/>
                    <w:right w:val="single" w:color="auto" w:sz="4" w:space="0"/>
                  </w:tcBorders>
                  <w:vAlign w:val="center"/>
                </w:tcPr>
                <w:p>
                  <w:pPr>
                    <w:autoSpaceDE w:val="0"/>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continue"/>
                  <w:tcBorders>
                    <w:left w:val="single" w:color="auto" w:sz="4" w:space="0"/>
                    <w:right w:val="single" w:color="auto" w:sz="4" w:space="0"/>
                  </w:tcBorders>
                  <w:vAlign w:val="center"/>
                </w:tcPr>
                <w:p>
                  <w:pPr>
                    <w:autoSpaceDE w:val="0"/>
                    <w:jc w:val="center"/>
                    <w:rPr>
                      <w:color w:val="auto"/>
                      <w:sz w:val="21"/>
                      <w:szCs w:val="21"/>
                      <w:u w:val="none"/>
                    </w:rPr>
                  </w:pPr>
                </w:p>
              </w:tc>
              <w:tc>
                <w:tcPr>
                  <w:tcW w:w="844" w:type="dxa"/>
                  <w:vMerge w:val="continue"/>
                  <w:tcBorders>
                    <w:left w:val="single" w:color="auto" w:sz="4" w:space="0"/>
                    <w:right w:val="single" w:color="auto" w:sz="4" w:space="0"/>
                  </w:tcBorders>
                  <w:vAlign w:val="center"/>
                </w:tcPr>
                <w:p>
                  <w:pPr>
                    <w:autoSpaceDE w:val="0"/>
                    <w:jc w:val="center"/>
                    <w:textAlignment w:val="center"/>
                    <w:rPr>
                      <w:color w:val="auto"/>
                      <w:kern w:val="0"/>
                      <w:sz w:val="21"/>
                      <w:szCs w:val="21"/>
                      <w:u w:val="none"/>
                    </w:rPr>
                  </w:pP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硫化氢</w:t>
                  </w:r>
                </w:p>
              </w:tc>
              <w:tc>
                <w:tcPr>
                  <w:tcW w:w="836" w:type="dxa"/>
                  <w:vMerge w:val="continue"/>
                  <w:tcBorders>
                    <w:left w:val="single" w:color="auto" w:sz="4" w:space="0"/>
                    <w:right w:val="single" w:color="auto" w:sz="4" w:space="0"/>
                  </w:tcBorders>
                  <w:vAlign w:val="center"/>
                </w:tcPr>
                <w:p>
                  <w:pPr>
                    <w:autoSpaceDE w:val="0"/>
                    <w:jc w:val="center"/>
                    <w:rPr>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0.0014</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0.0002</w:t>
                  </w:r>
                </w:p>
              </w:tc>
              <w:tc>
                <w:tcPr>
                  <w:tcW w:w="810"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rPr>
                    <w:t>/</w:t>
                  </w:r>
                </w:p>
              </w:tc>
              <w:tc>
                <w:tcPr>
                  <w:tcW w:w="1249" w:type="dxa"/>
                  <w:vMerge w:val="continue"/>
                  <w:tcBorders>
                    <w:left w:val="single" w:color="auto" w:sz="4" w:space="0"/>
                    <w:right w:val="single" w:color="auto" w:sz="4" w:space="0"/>
                  </w:tcBorders>
                  <w:vAlign w:val="center"/>
                </w:tcPr>
                <w:p>
                  <w:pPr>
                    <w:autoSpaceDE w:val="0"/>
                    <w:jc w:val="center"/>
                    <w:rPr>
                      <w:color w:val="auto"/>
                      <w:sz w:val="21"/>
                      <w:szCs w:val="21"/>
                      <w:u w:val="none"/>
                    </w:rPr>
                  </w:pPr>
                </w:p>
              </w:tc>
              <w:tc>
                <w:tcPr>
                  <w:tcW w:w="747"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rPr>
                    <w:t>0</w:t>
                  </w:r>
                </w:p>
              </w:tc>
              <w:tc>
                <w:tcPr>
                  <w:tcW w:w="947"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eastAsia" w:eastAsia="宋体"/>
                      <w:color w:val="auto"/>
                      <w:sz w:val="21"/>
                      <w:szCs w:val="21"/>
                      <w:u w:val="none"/>
                      <w:lang w:val="en-US" w:eastAsia="zh-CN"/>
                    </w:rPr>
                  </w:pPr>
                  <w:r>
                    <w:rPr>
                      <w:rFonts w:hint="eastAsia"/>
                      <w:color w:val="auto"/>
                      <w:sz w:val="21"/>
                      <w:szCs w:val="21"/>
                      <w:u w:val="none"/>
                      <w:lang w:val="en-US" w:eastAsia="zh-CN"/>
                    </w:rPr>
                    <w:t>/</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rPr>
                    <w:t>0.0014</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color w:val="auto"/>
                      <w:kern w:val="0"/>
                      <w:sz w:val="21"/>
                      <w:szCs w:val="21"/>
                      <w:u w:val="none"/>
                      <w:lang w:val="en-US" w:eastAsia="zh-CN"/>
                    </w:rPr>
                    <w:t>0.0002</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050"/>
                    </w:tabs>
                    <w:autoSpaceDE w:val="0"/>
                    <w:jc w:val="center"/>
                    <w:rPr>
                      <w:rFonts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rPr>
                    <w:t>/</w:t>
                  </w:r>
                </w:p>
              </w:tc>
              <w:tc>
                <w:tcPr>
                  <w:tcW w:w="766" w:type="dxa"/>
                  <w:vMerge w:val="continue"/>
                  <w:tcBorders>
                    <w:left w:val="single" w:color="auto" w:sz="4" w:space="0"/>
                    <w:right w:val="single" w:color="auto" w:sz="4" w:space="0"/>
                  </w:tcBorders>
                  <w:vAlign w:val="center"/>
                </w:tcPr>
                <w:p>
                  <w:pPr>
                    <w:autoSpaceDE w:val="0"/>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continue"/>
                  <w:tcBorders>
                    <w:left w:val="single" w:color="auto" w:sz="4" w:space="0"/>
                    <w:bottom w:val="single" w:color="auto" w:sz="4" w:space="0"/>
                    <w:right w:val="single" w:color="auto" w:sz="4" w:space="0"/>
                  </w:tcBorders>
                  <w:vAlign w:val="center"/>
                </w:tcPr>
                <w:p>
                  <w:pPr>
                    <w:autoSpaceDE w:val="0"/>
                    <w:jc w:val="center"/>
                    <w:rPr>
                      <w:color w:val="auto"/>
                      <w:sz w:val="21"/>
                      <w:szCs w:val="21"/>
                      <w:u w:val="none"/>
                    </w:rPr>
                  </w:pPr>
                </w:p>
              </w:tc>
              <w:tc>
                <w:tcPr>
                  <w:tcW w:w="844" w:type="dxa"/>
                  <w:vMerge w:val="continue"/>
                  <w:tcBorders>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臭气浓度</w:t>
                  </w:r>
                </w:p>
              </w:tc>
              <w:tc>
                <w:tcPr>
                  <w:tcW w:w="836" w:type="dxa"/>
                  <w:vMerge w:val="continue"/>
                  <w:tcBorders>
                    <w:left w:val="single" w:color="auto" w:sz="4" w:space="0"/>
                    <w:bottom w:val="single" w:color="auto" w:sz="4" w:space="0"/>
                    <w:right w:val="single" w:color="auto" w:sz="4" w:space="0"/>
                  </w:tcBorders>
                  <w:vAlign w:val="center"/>
                </w:tcPr>
                <w:p>
                  <w:pPr>
                    <w:autoSpaceDE w:val="0"/>
                    <w:jc w:val="center"/>
                    <w:rPr>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rPr>
                    <w:t>/</w:t>
                  </w:r>
                </w:p>
              </w:tc>
              <w:tc>
                <w:tcPr>
                  <w:tcW w:w="810" w:type="dxa"/>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color w:val="auto"/>
                      <w:kern w:val="0"/>
                      <w:sz w:val="21"/>
                      <w:szCs w:val="21"/>
                      <w:u w:val="none"/>
                    </w:rPr>
                  </w:pPr>
                  <w:r>
                    <w:rPr>
                      <w:rFonts w:hint="eastAsia" w:ascii="Times New Roman" w:hAnsi="Times New Roman" w:eastAsia="宋体" w:cs="Times New Roman"/>
                      <w:color w:val="auto"/>
                      <w:kern w:val="0"/>
                      <w:sz w:val="21"/>
                      <w:szCs w:val="21"/>
                      <w:u w:val="none"/>
                    </w:rPr>
                    <w:t>/</w:t>
                  </w:r>
                </w:p>
              </w:tc>
              <w:tc>
                <w:tcPr>
                  <w:tcW w:w="1249" w:type="dxa"/>
                  <w:vMerge w:val="continue"/>
                  <w:tcBorders>
                    <w:left w:val="single" w:color="auto" w:sz="4" w:space="0"/>
                    <w:bottom w:val="single" w:color="auto" w:sz="4" w:space="0"/>
                    <w:right w:val="single" w:color="auto" w:sz="4" w:space="0"/>
                  </w:tcBorders>
                  <w:vAlign w:val="center"/>
                </w:tcPr>
                <w:p>
                  <w:pPr>
                    <w:autoSpaceDE w:val="0"/>
                    <w:jc w:val="center"/>
                    <w:rPr>
                      <w:color w:val="auto"/>
                      <w:sz w:val="21"/>
                      <w:szCs w:val="21"/>
                      <w:u w:val="none"/>
                    </w:rPr>
                  </w:pP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0</w:t>
                  </w:r>
                </w:p>
              </w:tc>
              <w:tc>
                <w:tcPr>
                  <w:tcW w:w="947"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eastAsia" w:eastAsia="宋体"/>
                      <w:color w:val="auto"/>
                      <w:sz w:val="21"/>
                      <w:szCs w:val="21"/>
                      <w:u w:val="none"/>
                      <w:lang w:val="en-US" w:eastAsia="zh-CN"/>
                    </w:rPr>
                  </w:pPr>
                  <w:r>
                    <w:rPr>
                      <w:rFonts w:hint="eastAsia"/>
                      <w:color w:val="auto"/>
                      <w:sz w:val="21"/>
                      <w:szCs w:val="21"/>
                      <w:u w:val="none"/>
                      <w:lang w:val="en-US" w:eastAsia="zh-CN"/>
                    </w:rPr>
                    <w:t>/</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jc w:val="center"/>
                    <w:rPr>
                      <w:rFonts w:ascii="Times New Roman" w:hAnsi="Times New Roman" w:eastAsia="宋体" w:cs="Times New Roman"/>
                      <w:color w:val="auto"/>
                      <w:kern w:val="2"/>
                      <w:sz w:val="21"/>
                      <w:szCs w:val="21"/>
                      <w:u w:val="none"/>
                      <w:lang w:val="en-US" w:eastAsia="zh-CN" w:bidi="ar-SA"/>
                    </w:rPr>
                  </w:pPr>
                  <w:r>
                    <w:rPr>
                      <w:color w:val="auto"/>
                      <w:kern w:val="0"/>
                      <w:sz w:val="21"/>
                      <w:szCs w:val="21"/>
                      <w:u w:val="none"/>
                    </w:rPr>
                    <w:t>/</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jc w:val="center"/>
                    <w:rPr>
                      <w:rFonts w:ascii="Times New Roman" w:hAnsi="Times New Roman" w:eastAsia="宋体" w:cs="Times New Roman"/>
                      <w:color w:val="auto"/>
                      <w:kern w:val="0"/>
                      <w:sz w:val="21"/>
                      <w:szCs w:val="21"/>
                      <w:u w:val="none"/>
                      <w:lang w:val="en-US" w:eastAsia="zh-CN" w:bidi="ar-SA"/>
                    </w:rPr>
                  </w:pPr>
                  <w:r>
                    <w:rPr>
                      <w:color w:val="auto"/>
                      <w:kern w:val="0"/>
                      <w:sz w:val="21"/>
                      <w:szCs w:val="21"/>
                      <w:u w:val="none"/>
                    </w:rPr>
                    <w:t>/</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jc w:val="center"/>
                    <w:rPr>
                      <w:rFonts w:ascii="Times New Roman" w:hAnsi="Times New Roman" w:eastAsia="宋体" w:cs="Times New Roman"/>
                      <w:color w:val="auto"/>
                      <w:kern w:val="0"/>
                      <w:sz w:val="21"/>
                      <w:szCs w:val="21"/>
                      <w:u w:val="none"/>
                      <w:lang w:val="en-US" w:eastAsia="zh-CN" w:bidi="ar-SA"/>
                    </w:rPr>
                  </w:pPr>
                  <w:r>
                    <w:rPr>
                      <w:color w:val="auto"/>
                      <w:kern w:val="0"/>
                      <w:sz w:val="21"/>
                      <w:szCs w:val="21"/>
                      <w:u w:val="none"/>
                    </w:rPr>
                    <w:t>/</w:t>
                  </w:r>
                </w:p>
              </w:tc>
              <w:tc>
                <w:tcPr>
                  <w:tcW w:w="766" w:type="dxa"/>
                  <w:vMerge w:val="continue"/>
                  <w:tcBorders>
                    <w:left w:val="single" w:color="auto" w:sz="4" w:space="0"/>
                    <w:bottom w:val="single" w:color="auto" w:sz="4" w:space="0"/>
                    <w:right w:val="single" w:color="auto" w:sz="4" w:space="0"/>
                  </w:tcBorders>
                  <w:vAlign w:val="center"/>
                </w:tcPr>
                <w:p>
                  <w:pPr>
                    <w:autoSpaceDE w:val="0"/>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restart"/>
                  <w:tcBorders>
                    <w:left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天然气燃烧废气</w:t>
                  </w:r>
                </w:p>
              </w:tc>
              <w:tc>
                <w:tcPr>
                  <w:tcW w:w="844" w:type="dxa"/>
                  <w:vMerge w:val="restart"/>
                  <w:tcBorders>
                    <w:left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无组织</w:t>
                  </w: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4"/>
                      <w:sz w:val="21"/>
                      <w:szCs w:val="21"/>
                      <w:u w:val="none"/>
                    </w:rPr>
                    <w:t>二氧化硫</w:t>
                  </w:r>
                </w:p>
              </w:tc>
              <w:tc>
                <w:tcPr>
                  <w:tcW w:w="836" w:type="dxa"/>
                  <w:vMerge w:val="restart"/>
                  <w:tcBorders>
                    <w:top w:val="single" w:color="auto" w:sz="4" w:space="0"/>
                    <w:left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0.000108</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0.000054</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1249" w:type="dxa"/>
                  <w:vMerge w:val="restart"/>
                  <w:tcBorders>
                    <w:top w:val="single" w:color="auto" w:sz="4" w:space="0"/>
                    <w:left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加强车间通风</w:t>
                  </w: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9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kern w:val="0"/>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0.000108</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0.000054</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766" w:type="dxa"/>
                  <w:vMerge w:val="restart"/>
                  <w:tcBorders>
                    <w:top w:val="single" w:color="auto" w:sz="4" w:space="0"/>
                    <w:left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continue"/>
                  <w:tcBorders>
                    <w:left w:val="single" w:color="auto" w:sz="4" w:space="0"/>
                    <w:right w:val="single" w:color="auto" w:sz="4" w:space="0"/>
                  </w:tcBorders>
                  <w:vAlign w:val="center"/>
                </w:tcPr>
                <w:p>
                  <w:pPr>
                    <w:autoSpaceDE w:val="0"/>
                    <w:jc w:val="center"/>
                    <w:rPr>
                      <w:color w:val="auto"/>
                      <w:sz w:val="21"/>
                      <w:szCs w:val="21"/>
                      <w:u w:val="none"/>
                    </w:rPr>
                  </w:pPr>
                </w:p>
              </w:tc>
              <w:tc>
                <w:tcPr>
                  <w:tcW w:w="844" w:type="dxa"/>
                  <w:vMerge w:val="continue"/>
                  <w:tcBorders>
                    <w:left w:val="single" w:color="auto" w:sz="4" w:space="0"/>
                    <w:right w:val="single" w:color="auto" w:sz="4" w:space="0"/>
                  </w:tcBorders>
                  <w:vAlign w:val="center"/>
                </w:tcPr>
                <w:p>
                  <w:pPr>
                    <w:autoSpaceDE w:val="0"/>
                    <w:jc w:val="center"/>
                    <w:textAlignment w:val="center"/>
                    <w:rPr>
                      <w:color w:val="auto"/>
                      <w:kern w:val="0"/>
                      <w:sz w:val="21"/>
                      <w:szCs w:val="21"/>
                      <w:u w:val="none"/>
                    </w:rPr>
                  </w:pP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4"/>
                      <w:sz w:val="21"/>
                      <w:szCs w:val="21"/>
                      <w:u w:val="none"/>
                    </w:rPr>
                    <w:t>氮氧化物</w:t>
                  </w:r>
                </w:p>
              </w:tc>
              <w:tc>
                <w:tcPr>
                  <w:tcW w:w="836" w:type="dxa"/>
                  <w:vMerge w:val="continue"/>
                  <w:tcBorders>
                    <w:left w:val="single" w:color="auto" w:sz="4" w:space="0"/>
                    <w:right w:val="single" w:color="auto" w:sz="4" w:space="0"/>
                  </w:tcBorders>
                  <w:vAlign w:val="center"/>
                </w:tcPr>
                <w:p>
                  <w:pPr>
                    <w:autoSpaceDE w:val="0"/>
                    <w:jc w:val="center"/>
                    <w:rPr>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0.24</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0.12</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1249" w:type="dxa"/>
                  <w:vMerge w:val="continue"/>
                  <w:tcBorders>
                    <w:left w:val="single" w:color="auto" w:sz="4" w:space="0"/>
                    <w:right w:val="single" w:color="auto" w:sz="4" w:space="0"/>
                  </w:tcBorders>
                  <w:vAlign w:val="center"/>
                </w:tcPr>
                <w:p>
                  <w:pPr>
                    <w:autoSpaceDE w:val="0"/>
                    <w:jc w:val="center"/>
                    <w:rPr>
                      <w:color w:val="auto"/>
                      <w:sz w:val="21"/>
                      <w:szCs w:val="21"/>
                      <w:u w:val="none"/>
                    </w:rPr>
                  </w:pP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9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kern w:val="0"/>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0.24</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0.12</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766" w:type="dxa"/>
                  <w:vMerge w:val="continue"/>
                  <w:tcBorders>
                    <w:left w:val="single" w:color="auto" w:sz="4" w:space="0"/>
                    <w:right w:val="single" w:color="auto" w:sz="4" w:space="0"/>
                  </w:tcBorders>
                  <w:vAlign w:val="center"/>
                </w:tcPr>
                <w:p>
                  <w:pPr>
                    <w:autoSpaceDE w:val="0"/>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vMerge w:val="continue"/>
                  <w:tcBorders>
                    <w:left w:val="single" w:color="auto" w:sz="4" w:space="0"/>
                    <w:bottom w:val="single" w:color="auto" w:sz="4" w:space="0"/>
                    <w:right w:val="single" w:color="auto" w:sz="4" w:space="0"/>
                  </w:tcBorders>
                  <w:vAlign w:val="center"/>
                </w:tcPr>
                <w:p>
                  <w:pPr>
                    <w:autoSpaceDE w:val="0"/>
                    <w:jc w:val="center"/>
                    <w:rPr>
                      <w:color w:val="auto"/>
                      <w:sz w:val="21"/>
                      <w:szCs w:val="21"/>
                      <w:u w:val="none"/>
                    </w:rPr>
                  </w:pPr>
                </w:p>
              </w:tc>
              <w:tc>
                <w:tcPr>
                  <w:tcW w:w="844" w:type="dxa"/>
                  <w:vMerge w:val="continue"/>
                  <w:tcBorders>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4"/>
                      <w:sz w:val="21"/>
                      <w:szCs w:val="21"/>
                      <w:u w:val="none"/>
                    </w:rPr>
                    <w:t>颗粒物</w:t>
                  </w:r>
                </w:p>
              </w:tc>
              <w:tc>
                <w:tcPr>
                  <w:tcW w:w="836" w:type="dxa"/>
                  <w:vMerge w:val="continue"/>
                  <w:tcBorders>
                    <w:left w:val="single" w:color="auto" w:sz="4" w:space="0"/>
                    <w:bottom w:val="single" w:color="auto" w:sz="4" w:space="0"/>
                    <w:right w:val="single" w:color="auto" w:sz="4" w:space="0"/>
                  </w:tcBorders>
                  <w:vAlign w:val="center"/>
                </w:tcPr>
                <w:p>
                  <w:pPr>
                    <w:autoSpaceDE w:val="0"/>
                    <w:jc w:val="center"/>
                    <w:rPr>
                      <w:color w:val="auto"/>
                      <w:sz w:val="21"/>
                      <w:szCs w:val="21"/>
                      <w:u w:val="none"/>
                    </w:rPr>
                  </w:pP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0.022</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0.011</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1249" w:type="dxa"/>
                  <w:vMerge w:val="continue"/>
                  <w:tcBorders>
                    <w:left w:val="single" w:color="auto" w:sz="4" w:space="0"/>
                    <w:bottom w:val="single" w:color="auto" w:sz="4" w:space="0"/>
                    <w:right w:val="single" w:color="auto" w:sz="4" w:space="0"/>
                  </w:tcBorders>
                  <w:vAlign w:val="center"/>
                </w:tcPr>
                <w:p>
                  <w:pPr>
                    <w:autoSpaceDE w:val="0"/>
                    <w:jc w:val="center"/>
                    <w:rPr>
                      <w:color w:val="auto"/>
                      <w:sz w:val="21"/>
                      <w:szCs w:val="21"/>
                      <w:u w:val="none"/>
                    </w:rPr>
                  </w:pP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9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kern w:val="0"/>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0.022</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0.011</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766" w:type="dxa"/>
                  <w:vMerge w:val="continue"/>
                  <w:tcBorders>
                    <w:left w:val="single" w:color="auto" w:sz="4" w:space="0"/>
                    <w:bottom w:val="single" w:color="auto" w:sz="4" w:space="0"/>
                    <w:right w:val="single" w:color="auto" w:sz="4" w:space="0"/>
                  </w:tcBorders>
                  <w:vAlign w:val="center"/>
                </w:tcPr>
                <w:p>
                  <w:pPr>
                    <w:autoSpaceDE w:val="0"/>
                    <w:jc w:val="center"/>
                    <w:rPr>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64"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车间异味</w:t>
                  </w:r>
                </w:p>
              </w:tc>
              <w:tc>
                <w:tcPr>
                  <w:tcW w:w="844"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无组织</w:t>
                  </w: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臭气浓度</w:t>
                  </w:r>
                </w:p>
              </w:tc>
              <w:tc>
                <w:tcPr>
                  <w:tcW w:w="83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加强车间通风</w:t>
                  </w: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9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76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拌料粉尘</w:t>
                  </w:r>
                </w:p>
              </w:tc>
              <w:tc>
                <w:tcPr>
                  <w:tcW w:w="844"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无组织</w:t>
                  </w: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颗粒物</w:t>
                  </w:r>
                </w:p>
              </w:tc>
              <w:tc>
                <w:tcPr>
                  <w:tcW w:w="83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加强车间通风</w:t>
                  </w: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9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76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打码废气</w:t>
                  </w:r>
                </w:p>
              </w:tc>
              <w:tc>
                <w:tcPr>
                  <w:tcW w:w="844"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无组织</w:t>
                  </w: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非甲烷总烃</w:t>
                  </w:r>
                </w:p>
              </w:tc>
              <w:tc>
                <w:tcPr>
                  <w:tcW w:w="83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加强车间通风</w:t>
                  </w: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9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76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64"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检验室废气</w:t>
                  </w:r>
                </w:p>
              </w:tc>
              <w:tc>
                <w:tcPr>
                  <w:tcW w:w="844"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kern w:val="0"/>
                      <w:sz w:val="21"/>
                      <w:szCs w:val="21"/>
                      <w:u w:val="none"/>
                    </w:rPr>
                  </w:pPr>
                  <w:r>
                    <w:rPr>
                      <w:color w:val="auto"/>
                      <w:kern w:val="0"/>
                      <w:sz w:val="21"/>
                      <w:szCs w:val="21"/>
                      <w:u w:val="none"/>
                    </w:rPr>
                    <w:t>无组织</w:t>
                  </w:r>
                </w:p>
              </w:tc>
              <w:tc>
                <w:tcPr>
                  <w:tcW w:w="788" w:type="dxa"/>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color w:val="auto"/>
                      <w:spacing w:val="-10"/>
                      <w:sz w:val="21"/>
                      <w:szCs w:val="21"/>
                      <w:u w:val="none"/>
                    </w:rPr>
                  </w:pPr>
                  <w:r>
                    <w:rPr>
                      <w:color w:val="auto"/>
                      <w:spacing w:val="-10"/>
                      <w:sz w:val="21"/>
                      <w:szCs w:val="21"/>
                      <w:u w:val="none"/>
                    </w:rPr>
                    <w:t>氯化氢</w:t>
                  </w:r>
                </w:p>
              </w:tc>
              <w:tc>
                <w:tcPr>
                  <w:tcW w:w="83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加强检验室通风</w:t>
                  </w:r>
                </w:p>
              </w:tc>
              <w:tc>
                <w:tcPr>
                  <w:tcW w:w="7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w:t>
                  </w:r>
                </w:p>
              </w:tc>
              <w:tc>
                <w:tcPr>
                  <w:tcW w:w="947"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101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810"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kern w:val="0"/>
                      <w:sz w:val="21"/>
                      <w:szCs w:val="21"/>
                      <w:u w:val="none"/>
                    </w:rPr>
                  </w:pPr>
                  <w:r>
                    <w:rPr>
                      <w:color w:val="auto"/>
                      <w:kern w:val="0"/>
                      <w:sz w:val="21"/>
                      <w:szCs w:val="21"/>
                      <w:u w:val="none"/>
                    </w:rPr>
                    <w:t>少量</w:t>
                  </w:r>
                </w:p>
              </w:tc>
              <w:tc>
                <w:tcPr>
                  <w:tcW w:w="766" w:type="dxa"/>
                  <w:tcBorders>
                    <w:top w:val="single" w:color="auto" w:sz="4" w:space="0"/>
                    <w:left w:val="single" w:color="auto" w:sz="4" w:space="0"/>
                    <w:bottom w:val="single" w:color="auto" w:sz="4" w:space="0"/>
                    <w:right w:val="single" w:color="auto" w:sz="4" w:space="0"/>
                  </w:tcBorders>
                  <w:vAlign w:val="center"/>
                </w:tcPr>
                <w:p>
                  <w:pPr>
                    <w:autoSpaceDE w:val="0"/>
                    <w:jc w:val="center"/>
                    <w:rPr>
                      <w:color w:val="auto"/>
                      <w:sz w:val="21"/>
                      <w:szCs w:val="21"/>
                      <w:u w:val="none"/>
                    </w:rPr>
                  </w:pPr>
                  <w:r>
                    <w:rPr>
                      <w:color w:val="auto"/>
                      <w:sz w:val="21"/>
                      <w:szCs w:val="21"/>
                      <w:u w:val="none"/>
                    </w:rPr>
                    <w:t>2000</w:t>
                  </w:r>
                </w:p>
              </w:tc>
            </w:tr>
          </w:tbl>
          <w:p>
            <w:pPr>
              <w:tabs>
                <w:tab w:val="left" w:pos="539"/>
              </w:tabs>
              <w:snapToGrid w:val="0"/>
              <w:spacing w:line="360" w:lineRule="auto"/>
              <w:jc w:val="left"/>
              <w:rPr>
                <w:b/>
                <w:bCs/>
                <w:color w:val="auto"/>
                <w:sz w:val="24"/>
                <w:u w:val="none"/>
              </w:rPr>
            </w:pPr>
          </w:p>
        </w:tc>
      </w:tr>
    </w:tbl>
    <w:p>
      <w:pPr>
        <w:rPr>
          <w:color w:val="auto"/>
          <w:u w:val="none"/>
        </w:rPr>
        <w:sectPr>
          <w:pgSz w:w="16840" w:h="11907" w:orient="landscape"/>
          <w:pgMar w:top="1531" w:right="2127"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7"/>
        <w:tblpPr w:leftFromText="180" w:rightFromText="180" w:vertAnchor="text" w:tblpXSpec="center" w:tblpY="1"/>
        <w:tblOverlap w:val="never"/>
        <w:tblW w:w="499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89"/>
        <w:gridCol w:w="959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888" w:hRule="atLeast"/>
        </w:trPr>
        <w:tc>
          <w:tcPr>
            <w:tcW w:w="146" w:type="pct"/>
            <w:tcMar>
              <w:left w:w="28" w:type="dxa"/>
              <w:right w:w="28" w:type="dxa"/>
            </w:tcMar>
            <w:vAlign w:val="center"/>
          </w:tcPr>
          <w:p>
            <w:pPr>
              <w:adjustRightInd w:val="0"/>
              <w:snapToGrid w:val="0"/>
              <w:jc w:val="center"/>
              <w:rPr>
                <w:bCs/>
                <w:color w:val="auto"/>
                <w:sz w:val="24"/>
                <w:szCs w:val="24"/>
                <w:u w:val="none"/>
              </w:rPr>
            </w:pPr>
            <w:r>
              <w:rPr>
                <w:bCs/>
                <w:color w:val="auto"/>
                <w:sz w:val="24"/>
                <w:szCs w:val="24"/>
                <w:u w:val="none"/>
              </w:rPr>
              <w:t>营运</w:t>
            </w:r>
          </w:p>
          <w:p>
            <w:pPr>
              <w:adjustRightInd w:val="0"/>
              <w:snapToGrid w:val="0"/>
              <w:jc w:val="center"/>
              <w:rPr>
                <w:bCs/>
                <w:color w:val="auto"/>
                <w:sz w:val="24"/>
                <w:szCs w:val="24"/>
                <w:u w:val="none"/>
              </w:rPr>
            </w:pPr>
            <w:r>
              <w:rPr>
                <w:bCs/>
                <w:color w:val="auto"/>
                <w:sz w:val="24"/>
                <w:szCs w:val="24"/>
                <w:u w:val="none"/>
              </w:rPr>
              <w:t>期环</w:t>
            </w:r>
          </w:p>
          <w:p>
            <w:pPr>
              <w:adjustRightInd w:val="0"/>
              <w:snapToGrid w:val="0"/>
              <w:jc w:val="center"/>
              <w:rPr>
                <w:bCs/>
                <w:color w:val="auto"/>
                <w:sz w:val="24"/>
                <w:szCs w:val="24"/>
                <w:u w:val="none"/>
              </w:rPr>
            </w:pPr>
            <w:r>
              <w:rPr>
                <w:bCs/>
                <w:color w:val="auto"/>
                <w:sz w:val="24"/>
                <w:szCs w:val="24"/>
                <w:u w:val="none"/>
              </w:rPr>
              <w:t>境影</w:t>
            </w:r>
          </w:p>
          <w:p>
            <w:pPr>
              <w:adjustRightInd w:val="0"/>
              <w:snapToGrid w:val="0"/>
              <w:jc w:val="center"/>
              <w:rPr>
                <w:bCs/>
                <w:color w:val="auto"/>
                <w:sz w:val="24"/>
                <w:szCs w:val="24"/>
                <w:u w:val="none"/>
              </w:rPr>
            </w:pPr>
            <w:r>
              <w:rPr>
                <w:bCs/>
                <w:color w:val="auto"/>
                <w:sz w:val="24"/>
                <w:szCs w:val="24"/>
                <w:u w:val="none"/>
              </w:rPr>
              <w:t>响和</w:t>
            </w:r>
          </w:p>
          <w:p>
            <w:pPr>
              <w:adjustRightInd w:val="0"/>
              <w:snapToGrid w:val="0"/>
              <w:jc w:val="center"/>
              <w:rPr>
                <w:bCs/>
                <w:color w:val="auto"/>
                <w:sz w:val="24"/>
                <w:szCs w:val="24"/>
                <w:u w:val="none"/>
              </w:rPr>
            </w:pPr>
            <w:r>
              <w:rPr>
                <w:bCs/>
                <w:color w:val="auto"/>
                <w:sz w:val="24"/>
                <w:szCs w:val="24"/>
                <w:u w:val="none"/>
              </w:rPr>
              <w:t>保护</w:t>
            </w:r>
          </w:p>
          <w:p>
            <w:pPr>
              <w:adjustRightInd w:val="0"/>
              <w:snapToGrid w:val="0"/>
              <w:jc w:val="center"/>
              <w:rPr>
                <w:bCs/>
                <w:color w:val="auto"/>
                <w:sz w:val="24"/>
                <w:szCs w:val="24"/>
                <w:u w:val="none"/>
              </w:rPr>
            </w:pPr>
            <w:r>
              <w:rPr>
                <w:bCs/>
                <w:color w:val="auto"/>
                <w:sz w:val="24"/>
                <w:szCs w:val="24"/>
                <w:u w:val="none"/>
              </w:rPr>
              <w:t>措施</w:t>
            </w:r>
          </w:p>
        </w:tc>
        <w:tc>
          <w:tcPr>
            <w:tcW w:w="4853" w:type="pct"/>
            <w:vAlign w:val="center"/>
          </w:tcPr>
          <w:p>
            <w:pPr>
              <w:tabs>
                <w:tab w:val="left" w:pos="539"/>
              </w:tabs>
              <w:snapToGrid w:val="0"/>
              <w:spacing w:line="360" w:lineRule="auto"/>
              <w:ind w:firstLine="480"/>
              <w:jc w:val="left"/>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排气筒基本情况如下：</w:t>
            </w:r>
          </w:p>
          <w:p>
            <w:pPr>
              <w:jc w:val="center"/>
              <w:rPr>
                <w:rFonts w:hint="default" w:ascii="Times New Roman" w:hAnsi="Times New Roman" w:eastAsia="宋体" w:cs="Times New Roman"/>
                <w:b/>
                <w:color w:val="auto"/>
                <w:spacing w:val="4"/>
                <w:sz w:val="24"/>
                <w:szCs w:val="24"/>
                <w:u w:val="none"/>
              </w:rPr>
            </w:pPr>
            <w:r>
              <w:rPr>
                <w:rFonts w:hint="default" w:ascii="Times New Roman" w:hAnsi="Times New Roman" w:eastAsia="宋体" w:cs="Times New Roman"/>
                <w:b/>
                <w:color w:val="auto"/>
                <w:spacing w:val="4"/>
                <w:sz w:val="24"/>
                <w:szCs w:val="24"/>
                <w:u w:val="none"/>
              </w:rPr>
              <w:t>表4.2-6  项目废气排放口基本情况</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1"/>
              <w:gridCol w:w="1098"/>
              <w:gridCol w:w="1098"/>
              <w:gridCol w:w="1388"/>
              <w:gridCol w:w="1388"/>
              <w:gridCol w:w="1000"/>
              <w:gridCol w:w="1171"/>
              <w:gridCol w:w="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5" w:type="pct"/>
                  <w:vMerge w:val="restart"/>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排放口名称及编号</w:t>
                  </w:r>
                </w:p>
              </w:tc>
              <w:tc>
                <w:tcPr>
                  <w:tcW w:w="586" w:type="pct"/>
                  <w:vMerge w:val="restart"/>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污染物种类</w:t>
                  </w:r>
                </w:p>
              </w:tc>
              <w:tc>
                <w:tcPr>
                  <w:tcW w:w="586" w:type="pct"/>
                  <w:vMerge w:val="restart"/>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排放口类型</w:t>
                  </w:r>
                </w:p>
              </w:tc>
              <w:tc>
                <w:tcPr>
                  <w:tcW w:w="1482" w:type="pct"/>
                  <w:gridSpan w:val="2"/>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排放口位置</w:t>
                  </w:r>
                </w:p>
              </w:tc>
              <w:tc>
                <w:tcPr>
                  <w:tcW w:w="534" w:type="pct"/>
                  <w:vMerge w:val="restart"/>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排气筒高度（m）</w:t>
                  </w:r>
                </w:p>
              </w:tc>
              <w:tc>
                <w:tcPr>
                  <w:tcW w:w="625" w:type="pct"/>
                  <w:vMerge w:val="restart"/>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排气筒出口内径（m）</w:t>
                  </w:r>
                </w:p>
              </w:tc>
              <w:tc>
                <w:tcPr>
                  <w:tcW w:w="492" w:type="pct"/>
                  <w:vMerge w:val="restart"/>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排气温度（℃）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5" w:type="pct"/>
                  <w:vMerge w:val="continue"/>
                  <w:vAlign w:val="center"/>
                </w:tcPr>
                <w:p>
                  <w:pPr>
                    <w:tabs>
                      <w:tab w:val="left" w:pos="539"/>
                    </w:tabs>
                    <w:snapToGrid w:val="0"/>
                    <w:jc w:val="center"/>
                    <w:rPr>
                      <w:rFonts w:hint="default" w:ascii="Times New Roman" w:hAnsi="Times New Roman" w:eastAsia="宋体" w:cs="Times New Roman"/>
                      <w:color w:val="auto"/>
                      <w:sz w:val="21"/>
                      <w:szCs w:val="21"/>
                      <w:u w:val="none"/>
                    </w:rPr>
                  </w:pPr>
                </w:p>
              </w:tc>
              <w:tc>
                <w:tcPr>
                  <w:tcW w:w="586" w:type="pct"/>
                  <w:vMerge w:val="continue"/>
                  <w:vAlign w:val="center"/>
                </w:tcPr>
                <w:p>
                  <w:pPr>
                    <w:tabs>
                      <w:tab w:val="left" w:pos="539"/>
                    </w:tabs>
                    <w:snapToGrid w:val="0"/>
                    <w:jc w:val="center"/>
                    <w:rPr>
                      <w:rFonts w:hint="default" w:ascii="Times New Roman" w:hAnsi="Times New Roman" w:eastAsia="宋体" w:cs="Times New Roman"/>
                      <w:color w:val="auto"/>
                      <w:sz w:val="21"/>
                      <w:szCs w:val="21"/>
                      <w:u w:val="none"/>
                    </w:rPr>
                  </w:pPr>
                </w:p>
              </w:tc>
              <w:tc>
                <w:tcPr>
                  <w:tcW w:w="586" w:type="pct"/>
                  <w:vMerge w:val="continue"/>
                  <w:vAlign w:val="center"/>
                </w:tcPr>
                <w:p>
                  <w:pPr>
                    <w:tabs>
                      <w:tab w:val="left" w:pos="539"/>
                    </w:tabs>
                    <w:snapToGrid w:val="0"/>
                    <w:jc w:val="center"/>
                    <w:rPr>
                      <w:rFonts w:hint="default" w:ascii="Times New Roman" w:hAnsi="Times New Roman" w:eastAsia="宋体" w:cs="Times New Roman"/>
                      <w:color w:val="auto"/>
                      <w:sz w:val="21"/>
                      <w:szCs w:val="21"/>
                      <w:u w:val="none"/>
                    </w:rPr>
                  </w:pPr>
                </w:p>
              </w:tc>
              <w:tc>
                <w:tcPr>
                  <w:tcW w:w="741" w:type="pct"/>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经度</w:t>
                  </w:r>
                </w:p>
              </w:tc>
              <w:tc>
                <w:tcPr>
                  <w:tcW w:w="741" w:type="pct"/>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纬度</w:t>
                  </w:r>
                </w:p>
              </w:tc>
              <w:tc>
                <w:tcPr>
                  <w:tcW w:w="534" w:type="pct"/>
                  <w:vMerge w:val="continue"/>
                  <w:vAlign w:val="center"/>
                </w:tcPr>
                <w:p>
                  <w:pPr>
                    <w:tabs>
                      <w:tab w:val="left" w:pos="539"/>
                    </w:tabs>
                    <w:snapToGrid w:val="0"/>
                    <w:jc w:val="center"/>
                    <w:rPr>
                      <w:rFonts w:hint="default" w:ascii="Times New Roman" w:hAnsi="Times New Roman" w:eastAsia="宋体" w:cs="Times New Roman"/>
                      <w:color w:val="auto"/>
                      <w:sz w:val="21"/>
                      <w:szCs w:val="21"/>
                      <w:u w:val="none"/>
                    </w:rPr>
                  </w:pPr>
                </w:p>
              </w:tc>
              <w:tc>
                <w:tcPr>
                  <w:tcW w:w="625" w:type="pct"/>
                  <w:vMerge w:val="continue"/>
                  <w:vAlign w:val="center"/>
                </w:tcPr>
                <w:p>
                  <w:pPr>
                    <w:tabs>
                      <w:tab w:val="left" w:pos="539"/>
                    </w:tabs>
                    <w:snapToGrid w:val="0"/>
                    <w:jc w:val="center"/>
                    <w:rPr>
                      <w:rFonts w:hint="default" w:ascii="Times New Roman" w:hAnsi="Times New Roman" w:eastAsia="宋体" w:cs="Times New Roman"/>
                      <w:color w:val="auto"/>
                      <w:sz w:val="21"/>
                      <w:szCs w:val="21"/>
                      <w:u w:val="none"/>
                    </w:rPr>
                  </w:pPr>
                </w:p>
              </w:tc>
              <w:tc>
                <w:tcPr>
                  <w:tcW w:w="492" w:type="pct"/>
                  <w:vMerge w:val="continue"/>
                  <w:vAlign w:val="center"/>
                </w:tcPr>
                <w:p>
                  <w:pPr>
                    <w:tabs>
                      <w:tab w:val="left" w:pos="539"/>
                    </w:tabs>
                    <w:snapToGrid w:val="0"/>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5"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蒸汽发生器废气（DA001）</w:t>
                  </w:r>
                </w:p>
              </w:tc>
              <w:tc>
                <w:tcPr>
                  <w:tcW w:w="586"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颗粒物、SO</w:t>
                  </w:r>
                  <w:r>
                    <w:rPr>
                      <w:rFonts w:hint="default" w:ascii="Times New Roman" w:hAnsi="Times New Roman" w:eastAsia="宋体" w:cs="Times New Roman"/>
                      <w:color w:val="auto"/>
                      <w:sz w:val="21"/>
                      <w:szCs w:val="21"/>
                      <w:u w:val="none"/>
                      <w:vertAlign w:val="subscript"/>
                    </w:rPr>
                    <w:t>2</w:t>
                  </w:r>
                  <w:r>
                    <w:rPr>
                      <w:rFonts w:hint="default" w:ascii="Times New Roman" w:hAnsi="Times New Roman" w:eastAsia="宋体" w:cs="Times New Roman"/>
                      <w:color w:val="auto"/>
                      <w:sz w:val="21"/>
                      <w:szCs w:val="21"/>
                      <w:u w:val="none"/>
                    </w:rPr>
                    <w:t>、NO</w:t>
                  </w:r>
                  <w:r>
                    <w:rPr>
                      <w:rFonts w:hint="default" w:ascii="Times New Roman" w:hAnsi="Times New Roman" w:eastAsia="宋体" w:cs="Times New Roman"/>
                      <w:color w:val="auto"/>
                      <w:sz w:val="21"/>
                      <w:szCs w:val="21"/>
                      <w:u w:val="none"/>
                      <w:vertAlign w:val="subscript"/>
                    </w:rPr>
                    <w:t>X</w:t>
                  </w:r>
                  <w:r>
                    <w:rPr>
                      <w:rFonts w:hint="default" w:ascii="Times New Roman" w:hAnsi="Times New Roman" w:eastAsia="宋体" w:cs="Times New Roman"/>
                      <w:color w:val="auto"/>
                      <w:sz w:val="21"/>
                      <w:szCs w:val="21"/>
                      <w:u w:val="none"/>
                    </w:rPr>
                    <w:t>、烟气黑度</w:t>
                  </w:r>
                </w:p>
              </w:tc>
              <w:tc>
                <w:tcPr>
                  <w:tcW w:w="586"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一般排放口</w:t>
                  </w:r>
                </w:p>
              </w:tc>
              <w:tc>
                <w:tcPr>
                  <w:tcW w:w="741"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112°54′</w:t>
                  </w:r>
                </w:p>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54.090″</w:t>
                  </w:r>
                </w:p>
              </w:tc>
              <w:tc>
                <w:tcPr>
                  <w:tcW w:w="741"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28°39′</w:t>
                  </w:r>
                </w:p>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15.902″</w:t>
                  </w:r>
                </w:p>
              </w:tc>
              <w:tc>
                <w:tcPr>
                  <w:tcW w:w="534"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21</w:t>
                  </w:r>
                </w:p>
              </w:tc>
              <w:tc>
                <w:tcPr>
                  <w:tcW w:w="625"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0.25</w:t>
                  </w:r>
                </w:p>
              </w:tc>
              <w:tc>
                <w:tcPr>
                  <w:tcW w:w="492"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5"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炒制油烟（DA002）</w:t>
                  </w:r>
                </w:p>
              </w:tc>
              <w:tc>
                <w:tcPr>
                  <w:tcW w:w="586"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油烟</w:t>
                  </w:r>
                </w:p>
              </w:tc>
              <w:tc>
                <w:tcPr>
                  <w:tcW w:w="586"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一般排放口</w:t>
                  </w:r>
                </w:p>
              </w:tc>
              <w:tc>
                <w:tcPr>
                  <w:tcW w:w="741"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112°54′</w:t>
                  </w:r>
                </w:p>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53.916″</w:t>
                  </w:r>
                </w:p>
              </w:tc>
              <w:tc>
                <w:tcPr>
                  <w:tcW w:w="741"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28°39′</w:t>
                  </w:r>
                </w:p>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15.400″</w:t>
                  </w:r>
                </w:p>
              </w:tc>
              <w:tc>
                <w:tcPr>
                  <w:tcW w:w="534" w:type="pct"/>
                  <w:vAlign w:val="center"/>
                </w:tcPr>
                <w:p>
                  <w:pPr>
                    <w:tabs>
                      <w:tab w:val="left" w:pos="539"/>
                    </w:tabs>
                    <w:snapToGrid w:val="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rPr>
                    <w:t>1</w:t>
                  </w:r>
                  <w:r>
                    <w:rPr>
                      <w:rFonts w:hint="default" w:ascii="Times New Roman" w:hAnsi="Times New Roman" w:eastAsia="宋体" w:cs="Times New Roman"/>
                      <w:color w:val="auto"/>
                      <w:sz w:val="21"/>
                      <w:szCs w:val="21"/>
                      <w:u w:val="none"/>
                      <w:lang w:val="en-US" w:eastAsia="zh-CN"/>
                    </w:rPr>
                    <w:t>5</w:t>
                  </w:r>
                </w:p>
              </w:tc>
              <w:tc>
                <w:tcPr>
                  <w:tcW w:w="625"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0.6</w:t>
                  </w:r>
                </w:p>
              </w:tc>
              <w:tc>
                <w:tcPr>
                  <w:tcW w:w="492"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5"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食堂油烟（DA003）</w:t>
                  </w:r>
                </w:p>
              </w:tc>
              <w:tc>
                <w:tcPr>
                  <w:tcW w:w="586"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油烟</w:t>
                  </w:r>
                </w:p>
              </w:tc>
              <w:tc>
                <w:tcPr>
                  <w:tcW w:w="586"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一般排放口</w:t>
                  </w:r>
                </w:p>
              </w:tc>
              <w:tc>
                <w:tcPr>
                  <w:tcW w:w="741"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112°54′</w:t>
                  </w:r>
                </w:p>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58.279″</w:t>
                  </w:r>
                </w:p>
              </w:tc>
              <w:tc>
                <w:tcPr>
                  <w:tcW w:w="741"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28°39′</w:t>
                  </w:r>
                </w:p>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13.622″</w:t>
                  </w:r>
                </w:p>
              </w:tc>
              <w:tc>
                <w:tcPr>
                  <w:tcW w:w="534" w:type="pct"/>
                  <w:vAlign w:val="center"/>
                </w:tcPr>
                <w:p>
                  <w:pPr>
                    <w:tabs>
                      <w:tab w:val="left" w:pos="539"/>
                    </w:tabs>
                    <w:snapToGrid w:val="0"/>
                    <w:jc w:val="center"/>
                    <w:rPr>
                      <w:rFonts w:hint="eastAsia" w:ascii="Times New Roman" w:hAnsi="Times New Roman" w:eastAsia="宋体" w:cs="Times New Roman"/>
                      <w:color w:val="auto"/>
                      <w:sz w:val="21"/>
                      <w:szCs w:val="21"/>
                      <w:u w:val="none"/>
                      <w:lang w:eastAsia="zh-CN"/>
                    </w:rPr>
                  </w:pPr>
                  <w:r>
                    <w:rPr>
                      <w:rFonts w:hint="eastAsia" w:ascii="Times New Roman" w:hAnsi="Times New Roman" w:eastAsia="宋体" w:cs="Times New Roman"/>
                      <w:color w:val="auto"/>
                      <w:sz w:val="21"/>
                      <w:szCs w:val="21"/>
                      <w:u w:val="none"/>
                      <w:lang w:val="en-US" w:eastAsia="zh-CN"/>
                    </w:rPr>
                    <w:t>9</w:t>
                  </w:r>
                </w:p>
              </w:tc>
              <w:tc>
                <w:tcPr>
                  <w:tcW w:w="625"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0.4</w:t>
                  </w:r>
                </w:p>
              </w:tc>
              <w:tc>
                <w:tcPr>
                  <w:tcW w:w="492"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5"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污水处理站臭气（DA004）</w:t>
                  </w:r>
                </w:p>
              </w:tc>
              <w:tc>
                <w:tcPr>
                  <w:tcW w:w="586"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氨、硫化氢、臭气浓度</w:t>
                  </w:r>
                </w:p>
              </w:tc>
              <w:tc>
                <w:tcPr>
                  <w:tcW w:w="586"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一般排放口</w:t>
                  </w:r>
                </w:p>
              </w:tc>
              <w:tc>
                <w:tcPr>
                  <w:tcW w:w="741"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112°54′</w:t>
                  </w:r>
                </w:p>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53.066″</w:t>
                  </w:r>
                </w:p>
              </w:tc>
              <w:tc>
                <w:tcPr>
                  <w:tcW w:w="741"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28°39′</w:t>
                  </w:r>
                </w:p>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15.458″</w:t>
                  </w:r>
                </w:p>
              </w:tc>
              <w:tc>
                <w:tcPr>
                  <w:tcW w:w="534"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w:t>
                  </w:r>
                </w:p>
              </w:tc>
              <w:tc>
                <w:tcPr>
                  <w:tcW w:w="625"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0.3</w:t>
                  </w:r>
                </w:p>
              </w:tc>
              <w:tc>
                <w:tcPr>
                  <w:tcW w:w="492" w:type="pct"/>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20</w:t>
                  </w:r>
                </w:p>
              </w:tc>
            </w:tr>
          </w:tbl>
          <w:p>
            <w:pPr>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项目非正常工况包括炒制油烟、食堂油烟净化设施失效，污水处理站臭气除臭设施失效，非正常排放参数表：</w:t>
            </w:r>
          </w:p>
          <w:p>
            <w:pPr>
              <w:spacing w:line="360" w:lineRule="auto"/>
              <w:jc w:val="center"/>
              <w:rPr>
                <w:rFonts w:hint="default" w:ascii="Times New Roman" w:hAnsi="Times New Roman" w:eastAsia="宋体" w:cs="Times New Roman"/>
                <w:color w:val="auto"/>
                <w:sz w:val="24"/>
                <w:szCs w:val="24"/>
                <w:u w:val="none"/>
              </w:rPr>
            </w:pPr>
            <w:r>
              <w:rPr>
                <w:rFonts w:hint="default" w:ascii="Times New Roman" w:hAnsi="Times New Roman" w:eastAsia="宋体" w:cs="Times New Roman"/>
                <w:b/>
                <w:bCs/>
                <w:color w:val="auto"/>
                <w:sz w:val="24"/>
                <w:szCs w:val="24"/>
                <w:u w:val="none"/>
              </w:rPr>
              <w:t>表4.2-7 污染源非正常排放量核算表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1460"/>
              <w:gridCol w:w="1173"/>
              <w:gridCol w:w="1200"/>
              <w:gridCol w:w="1240"/>
              <w:gridCol w:w="876"/>
              <w:gridCol w:w="1254"/>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85"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编号</w:t>
                  </w:r>
                </w:p>
              </w:tc>
              <w:tc>
                <w:tcPr>
                  <w:tcW w:w="77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非正常排放原因</w:t>
                  </w:r>
                </w:p>
              </w:tc>
              <w:tc>
                <w:tcPr>
                  <w:tcW w:w="62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污染物</w:t>
                  </w:r>
                </w:p>
              </w:tc>
              <w:tc>
                <w:tcPr>
                  <w:tcW w:w="64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非正常排放浓度</w:t>
                  </w:r>
                  <w:r>
                    <w:rPr>
                      <w:rFonts w:hint="default" w:ascii="Times New Roman" w:hAnsi="Times New Roman" w:eastAsia="宋体" w:cs="Times New Roman"/>
                      <w:color w:val="auto"/>
                      <w:sz w:val="21"/>
                      <w:szCs w:val="21"/>
                      <w:u w:val="none"/>
                    </w:rPr>
                    <w:t>（mg/m</w:t>
                  </w:r>
                  <w:r>
                    <w:rPr>
                      <w:rFonts w:hint="default" w:ascii="Times New Roman" w:hAnsi="Times New Roman" w:eastAsia="宋体" w:cs="Times New Roman"/>
                      <w:color w:val="auto"/>
                      <w:sz w:val="21"/>
                      <w:szCs w:val="21"/>
                      <w:u w:val="none"/>
                      <w:vertAlign w:val="superscript"/>
                    </w:rPr>
                    <w:t>3</w:t>
                  </w:r>
                  <w:r>
                    <w:rPr>
                      <w:rFonts w:hint="default" w:ascii="Times New Roman" w:hAnsi="Times New Roman" w:eastAsia="宋体" w:cs="Times New Roman"/>
                      <w:color w:val="auto"/>
                      <w:sz w:val="21"/>
                      <w:szCs w:val="21"/>
                      <w:u w:val="none"/>
                    </w:rPr>
                    <w:t>）</w:t>
                  </w:r>
                </w:p>
              </w:tc>
              <w:tc>
                <w:tcPr>
                  <w:tcW w:w="66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非正常排放速率</w:t>
                  </w:r>
                  <w:r>
                    <w:rPr>
                      <w:rFonts w:hint="default" w:ascii="Times New Roman" w:hAnsi="Times New Roman" w:eastAsia="宋体" w:cs="Times New Roman"/>
                      <w:color w:val="auto"/>
                      <w:sz w:val="21"/>
                      <w:szCs w:val="21"/>
                      <w:u w:val="none"/>
                    </w:rPr>
                    <w:t>（kg/h）</w:t>
                  </w:r>
                </w:p>
              </w:tc>
              <w:tc>
                <w:tcPr>
                  <w:tcW w:w="4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单次持续时间（h）</w:t>
                  </w:r>
                </w:p>
              </w:tc>
              <w:tc>
                <w:tcPr>
                  <w:tcW w:w="66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年发生频次（次）</w:t>
                  </w:r>
                </w:p>
              </w:tc>
              <w:tc>
                <w:tcPr>
                  <w:tcW w:w="66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应对措施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DA002</w:t>
                  </w:r>
                </w:p>
              </w:tc>
              <w:tc>
                <w:tcPr>
                  <w:tcW w:w="779" w:type="pc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二级</w:t>
                  </w:r>
                  <w:r>
                    <w:rPr>
                      <w:rFonts w:hint="default" w:ascii="Times New Roman" w:hAnsi="Times New Roman" w:eastAsia="宋体" w:cs="Times New Roman"/>
                      <w:color w:val="auto"/>
                      <w:kern w:val="0"/>
                      <w:sz w:val="21"/>
                      <w:szCs w:val="21"/>
                      <w:u w:val="none"/>
                    </w:rPr>
                    <w:t>高效静电油烟净化器失效</w:t>
                  </w:r>
                </w:p>
              </w:tc>
              <w:tc>
                <w:tcPr>
                  <w:tcW w:w="626" w:type="pct"/>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油烟</w:t>
                  </w:r>
                </w:p>
              </w:tc>
              <w:tc>
                <w:tcPr>
                  <w:tcW w:w="640"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159.4</w:t>
                  </w:r>
                </w:p>
              </w:tc>
              <w:tc>
                <w:tcPr>
                  <w:tcW w:w="661"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2.55</w:t>
                  </w:r>
                </w:p>
              </w:tc>
              <w:tc>
                <w:tcPr>
                  <w:tcW w:w="467" w:type="pc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1</w:t>
                  </w:r>
                </w:p>
              </w:tc>
              <w:tc>
                <w:tcPr>
                  <w:tcW w:w="669" w:type="pc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1</w:t>
                  </w:r>
                </w:p>
              </w:tc>
              <w:tc>
                <w:tcPr>
                  <w:tcW w:w="669" w:type="pc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停产维修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DA003</w:t>
                  </w:r>
                </w:p>
              </w:tc>
              <w:tc>
                <w:tcPr>
                  <w:tcW w:w="779" w:type="pc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静电油烟净化器失效</w:t>
                  </w:r>
                </w:p>
              </w:tc>
              <w:tc>
                <w:tcPr>
                  <w:tcW w:w="626" w:type="pct"/>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油烟</w:t>
                  </w:r>
                </w:p>
              </w:tc>
              <w:tc>
                <w:tcPr>
                  <w:tcW w:w="640"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6</w:t>
                  </w:r>
                </w:p>
              </w:tc>
              <w:tc>
                <w:tcPr>
                  <w:tcW w:w="661"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0.048</w:t>
                  </w:r>
                </w:p>
              </w:tc>
              <w:tc>
                <w:tcPr>
                  <w:tcW w:w="467" w:type="pc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1</w:t>
                  </w:r>
                </w:p>
              </w:tc>
              <w:tc>
                <w:tcPr>
                  <w:tcW w:w="669" w:type="pc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1</w:t>
                  </w:r>
                </w:p>
              </w:tc>
              <w:tc>
                <w:tcPr>
                  <w:tcW w:w="669" w:type="pc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食堂停用，维修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Merge w:val="restar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DA004</w:t>
                  </w:r>
                </w:p>
              </w:tc>
              <w:tc>
                <w:tcPr>
                  <w:tcW w:w="779" w:type="pct"/>
                  <w:vMerge w:val="restar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除臭设施失效</w:t>
                  </w:r>
                </w:p>
              </w:tc>
              <w:tc>
                <w:tcPr>
                  <w:tcW w:w="626" w:type="pct"/>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spacing w:val="-10"/>
                      <w:sz w:val="21"/>
                      <w:szCs w:val="21"/>
                      <w:u w:val="none"/>
                    </w:rPr>
                    <w:t>氨</w:t>
                  </w:r>
                </w:p>
              </w:tc>
              <w:tc>
                <w:tcPr>
                  <w:tcW w:w="640"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10.618</w:t>
                  </w:r>
                </w:p>
              </w:tc>
              <w:tc>
                <w:tcPr>
                  <w:tcW w:w="66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0.0531</w:t>
                  </w:r>
                </w:p>
              </w:tc>
              <w:tc>
                <w:tcPr>
                  <w:tcW w:w="467" w:type="pct"/>
                  <w:vMerge w:val="restar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1</w:t>
                  </w:r>
                </w:p>
              </w:tc>
              <w:tc>
                <w:tcPr>
                  <w:tcW w:w="669" w:type="pct"/>
                  <w:vMerge w:val="restar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1</w:t>
                  </w:r>
                </w:p>
              </w:tc>
              <w:tc>
                <w:tcPr>
                  <w:tcW w:w="669" w:type="pct"/>
                  <w:vMerge w:val="restart"/>
                  <w:tcBorders>
                    <w:top w:val="nil"/>
                    <w:left w:val="single" w:color="auto" w:sz="4" w:space="0"/>
                    <w:bottom w:val="single" w:color="auto" w:sz="4" w:space="0"/>
                    <w:right w:val="single" w:color="auto" w:sz="4" w:space="0"/>
                  </w:tcBorders>
                  <w:vAlign w:val="center"/>
                </w:tcPr>
                <w:p>
                  <w:pPr>
                    <w:adjustRightInd w:val="0"/>
                    <w:snapToGrid w:val="0"/>
                    <w:spacing w:before="24" w:beforeLines="10" w:after="24" w:afterLines="1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停产维修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79"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kern w:val="0"/>
                      <w:sz w:val="21"/>
                      <w:szCs w:val="21"/>
                      <w:u w:val="none"/>
                    </w:rPr>
                  </w:pPr>
                </w:p>
              </w:tc>
              <w:tc>
                <w:tcPr>
                  <w:tcW w:w="626" w:type="pct"/>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spacing w:val="-10"/>
                      <w:sz w:val="21"/>
                      <w:szCs w:val="21"/>
                      <w:u w:val="none"/>
                    </w:rPr>
                    <w:t>硫化氢</w:t>
                  </w:r>
                </w:p>
              </w:tc>
              <w:tc>
                <w:tcPr>
                  <w:tcW w:w="640"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0.411</w:t>
                  </w:r>
                </w:p>
              </w:tc>
              <w:tc>
                <w:tcPr>
                  <w:tcW w:w="661" w:type="pct"/>
                  <w:tcBorders>
                    <w:top w:val="single" w:color="auto" w:sz="4" w:space="0"/>
                    <w:left w:val="single" w:color="auto" w:sz="4" w:space="0"/>
                    <w:bottom w:val="single" w:color="auto" w:sz="4" w:space="0"/>
                    <w:right w:val="single" w:color="auto" w:sz="4" w:space="0"/>
                  </w:tcBorders>
                  <w:vAlign w:val="center"/>
                </w:tcPr>
                <w:p>
                  <w:pPr>
                    <w:widowControl/>
                    <w:tabs>
                      <w:tab w:val="left" w:pos="1050"/>
                    </w:tabs>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lang w:val="en-US" w:eastAsia="zh-CN"/>
                    </w:rPr>
                    <w:t>0.0021</w:t>
                  </w:r>
                </w:p>
              </w:tc>
              <w:tc>
                <w:tcPr>
                  <w:tcW w:w="467"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kern w:val="0"/>
                      <w:sz w:val="21"/>
                      <w:szCs w:val="21"/>
                      <w:u w:val="none"/>
                    </w:rPr>
                  </w:pPr>
                </w:p>
              </w:tc>
              <w:tc>
                <w:tcPr>
                  <w:tcW w:w="669"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kern w:val="0"/>
                      <w:sz w:val="21"/>
                      <w:szCs w:val="21"/>
                      <w:u w:val="none"/>
                    </w:rPr>
                  </w:pPr>
                </w:p>
              </w:tc>
              <w:tc>
                <w:tcPr>
                  <w:tcW w:w="669"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kern w:val="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79"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kern w:val="0"/>
                      <w:sz w:val="21"/>
                      <w:szCs w:val="21"/>
                      <w:u w:val="none"/>
                    </w:rPr>
                  </w:pPr>
                </w:p>
              </w:tc>
              <w:tc>
                <w:tcPr>
                  <w:tcW w:w="626" w:type="pct"/>
                  <w:tcBorders>
                    <w:top w:val="single" w:color="auto" w:sz="4" w:space="0"/>
                    <w:left w:val="single" w:color="auto" w:sz="4" w:space="0"/>
                    <w:bottom w:val="single" w:color="auto" w:sz="4" w:space="0"/>
                    <w:right w:val="single" w:color="auto" w:sz="4" w:space="0"/>
                  </w:tcBorders>
                  <w:vAlign w:val="center"/>
                </w:tcPr>
                <w:p>
                  <w:pPr>
                    <w:autoSpaceDE w:val="0"/>
                    <w:jc w:val="center"/>
                    <w:textAlignment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spacing w:val="-10"/>
                      <w:sz w:val="21"/>
                      <w:szCs w:val="21"/>
                      <w:u w:val="none"/>
                    </w:rPr>
                    <w:t>臭气浓度</w:t>
                  </w:r>
                </w:p>
              </w:tc>
              <w:tc>
                <w:tcPr>
                  <w:tcW w:w="640"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w:t>
                  </w:r>
                </w:p>
              </w:tc>
              <w:tc>
                <w:tcPr>
                  <w:tcW w:w="661"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w:t>
                  </w:r>
                </w:p>
              </w:tc>
              <w:tc>
                <w:tcPr>
                  <w:tcW w:w="467"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kern w:val="0"/>
                      <w:sz w:val="21"/>
                      <w:szCs w:val="21"/>
                      <w:u w:val="none"/>
                    </w:rPr>
                  </w:pPr>
                </w:p>
              </w:tc>
              <w:tc>
                <w:tcPr>
                  <w:tcW w:w="669"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kern w:val="0"/>
                      <w:sz w:val="21"/>
                      <w:szCs w:val="21"/>
                      <w:u w:val="none"/>
                    </w:rPr>
                  </w:pPr>
                </w:p>
              </w:tc>
              <w:tc>
                <w:tcPr>
                  <w:tcW w:w="669"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kern w:val="0"/>
                      <w:sz w:val="21"/>
                      <w:szCs w:val="21"/>
                      <w:u w:val="none"/>
                    </w:rPr>
                  </w:pPr>
                </w:p>
              </w:tc>
            </w:tr>
          </w:tbl>
          <w:p>
            <w:pPr>
              <w:autoSpaceDE w:val="0"/>
              <w:adjustRightInd w:val="0"/>
              <w:snapToGrid w:val="0"/>
              <w:spacing w:line="360" w:lineRule="auto"/>
              <w:ind w:firstLine="482" w:firstLineChars="200"/>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4.2.2 废气污染治理措施及其可行性分析</w:t>
            </w:r>
          </w:p>
          <w:p>
            <w:pPr>
              <w:spacing w:line="360" w:lineRule="auto"/>
              <w:ind w:firstLine="482" w:firstLineChars="200"/>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（1）蒸汽发生器废气处理措施可行性</w:t>
            </w:r>
          </w:p>
          <w:p>
            <w:pPr>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根据《排污许可证申请与核发技术规范 锅炉》（HJ953-2018），燃气锅炉烟气污染防治可行技术见表4.2-8：</w:t>
            </w:r>
          </w:p>
          <w:p>
            <w:pPr>
              <w:jc w:val="center"/>
              <w:rPr>
                <w:rFonts w:hint="default" w:ascii="Times New Roman" w:hAnsi="Times New Roman" w:eastAsia="宋体" w:cs="Times New Roman"/>
                <w:color w:val="auto"/>
                <w:sz w:val="24"/>
                <w:szCs w:val="24"/>
                <w:u w:val="none"/>
              </w:rPr>
            </w:pPr>
            <w:r>
              <w:rPr>
                <w:rFonts w:hint="default" w:ascii="Times New Roman" w:hAnsi="Times New Roman" w:eastAsia="宋体" w:cs="Times New Roman"/>
                <w:b/>
                <w:bCs/>
                <w:color w:val="auto"/>
                <w:sz w:val="24"/>
                <w:szCs w:val="24"/>
                <w:u w:val="none"/>
              </w:rPr>
              <w:t>表4.2-8 《排污许可证申请与核发技术规范 锅炉》污染防治可行技术</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774"/>
              <w:gridCol w:w="2859"/>
              <w:gridCol w:w="2005"/>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6"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燃料</w:t>
                  </w:r>
                </w:p>
              </w:tc>
              <w:tc>
                <w:tcPr>
                  <w:tcW w:w="94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污染物</w:t>
                  </w:r>
                </w:p>
              </w:tc>
              <w:tc>
                <w:tcPr>
                  <w:tcW w:w="1526"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可行技术</w:t>
                  </w:r>
                </w:p>
              </w:tc>
              <w:tc>
                <w:tcPr>
                  <w:tcW w:w="1070"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本项目采取措施</w:t>
                  </w:r>
                </w:p>
              </w:tc>
              <w:tc>
                <w:tcPr>
                  <w:tcW w:w="670"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是否为可行技术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6" w:type="pct"/>
                  <w:vMerge w:val="restart"/>
                  <w:tcBorders>
                    <w:top w:val="nil"/>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燃气（一般地区）</w:t>
                  </w:r>
                </w:p>
              </w:tc>
              <w:tc>
                <w:tcPr>
                  <w:tcW w:w="94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二氧化硫</w:t>
                  </w:r>
                </w:p>
              </w:tc>
              <w:tc>
                <w:tcPr>
                  <w:tcW w:w="1526"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w:t>
                  </w:r>
                </w:p>
              </w:tc>
              <w:tc>
                <w:tcPr>
                  <w:tcW w:w="1070"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w:t>
                  </w:r>
                </w:p>
              </w:tc>
              <w:tc>
                <w:tcPr>
                  <w:tcW w:w="670"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6"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kern w:val="0"/>
                      <w:sz w:val="21"/>
                      <w:szCs w:val="21"/>
                      <w:u w:val="none"/>
                    </w:rPr>
                  </w:pPr>
                </w:p>
              </w:tc>
              <w:tc>
                <w:tcPr>
                  <w:tcW w:w="94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氮氧化物</w:t>
                  </w:r>
                </w:p>
              </w:tc>
              <w:tc>
                <w:tcPr>
                  <w:tcW w:w="1526"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低氮燃烧技术、低氮燃烧+SCR脱硝技术</w:t>
                  </w:r>
                </w:p>
              </w:tc>
              <w:tc>
                <w:tcPr>
                  <w:tcW w:w="1070"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低氮燃烧技术</w:t>
                  </w:r>
                </w:p>
              </w:tc>
              <w:tc>
                <w:tcPr>
                  <w:tcW w:w="670"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6"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kern w:val="0"/>
                      <w:sz w:val="21"/>
                      <w:szCs w:val="21"/>
                      <w:u w:val="none"/>
                    </w:rPr>
                  </w:pPr>
                </w:p>
              </w:tc>
              <w:tc>
                <w:tcPr>
                  <w:tcW w:w="94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颗粒物</w:t>
                  </w:r>
                </w:p>
              </w:tc>
              <w:tc>
                <w:tcPr>
                  <w:tcW w:w="1526"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w:t>
                  </w:r>
                </w:p>
              </w:tc>
              <w:tc>
                <w:tcPr>
                  <w:tcW w:w="1070"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w:t>
                  </w:r>
                </w:p>
              </w:tc>
              <w:tc>
                <w:tcPr>
                  <w:tcW w:w="670"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p>
              </w:tc>
            </w:tr>
          </w:tbl>
          <w:p>
            <w:pPr>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由以上分析可知，本项目蒸汽发生器采取低氮燃烧技术属于规范推荐的可行技术。</w:t>
            </w:r>
          </w:p>
          <w:p>
            <w:pPr>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排气筒高度合理性：本项目锅炉房设2台t/h蒸汽发生器，共用一根21m排气筒排放。根据《锅炉大气污染物排放标准》（GB13271-2014）：“4.5 每个新建燃煤锅炉房只能设一根烟囱，烟囱高度应根据锅炉房装机总容量，按表4规定执行，燃油、燃气锅炉烟囱不低于8米，锅炉烟囱的具体高度按批复的环境影响评价文件确定。新建锅炉房的烟囱周围半径200m距离内有建筑物时，其烟囱应高出最高建筑物3m以上。”锅炉房200m范围内最高建筑为本项目宿舍楼，高度18m，本项目蒸汽发生器排气筒高度21m，高于其3m，满足标准要求，排气筒高度设置合理。</w:t>
            </w:r>
          </w:p>
          <w:p>
            <w:pPr>
              <w:tabs>
                <w:tab w:val="left" w:pos="539"/>
              </w:tabs>
              <w:snapToGrid w:val="0"/>
              <w:spacing w:line="360" w:lineRule="auto"/>
              <w:ind w:firstLine="480"/>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（2）炒制油烟、食堂油烟废气处理措施可行性</w:t>
            </w:r>
          </w:p>
          <w:p>
            <w:pPr>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参考《排污许可证申请与核发技术规范 食品制造工业—方便食品、食品及饲料添加剂制造工业》（HJ1030.3-2019），油炸设备、烹饪设备油烟可行技术为如下：</w:t>
            </w:r>
          </w:p>
          <w:p>
            <w:pPr>
              <w:jc w:val="center"/>
              <w:rPr>
                <w:rFonts w:hint="default" w:ascii="Times New Roman" w:hAnsi="Times New Roman" w:eastAsia="宋体" w:cs="Times New Roman"/>
                <w:color w:val="auto"/>
                <w:sz w:val="24"/>
                <w:szCs w:val="24"/>
                <w:u w:val="none"/>
              </w:rPr>
            </w:pPr>
            <w:r>
              <w:rPr>
                <w:rFonts w:hint="default" w:ascii="Times New Roman" w:hAnsi="Times New Roman" w:eastAsia="宋体" w:cs="Times New Roman"/>
                <w:b/>
                <w:bCs/>
                <w:color w:val="auto"/>
                <w:sz w:val="24"/>
                <w:szCs w:val="24"/>
                <w:u w:val="none"/>
              </w:rPr>
              <w:t>表4.2-9 《排污许可证申请与核发技术规范 食品制造工业—方便食品、食品及饲料添加剂制造工业》污染防治可行技术</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643"/>
              <w:gridCol w:w="4563"/>
              <w:gridCol w:w="1884"/>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产生废气设施</w:t>
                  </w:r>
                </w:p>
              </w:tc>
              <w:tc>
                <w:tcPr>
                  <w:tcW w:w="34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污染物</w:t>
                  </w:r>
                </w:p>
              </w:tc>
              <w:tc>
                <w:tcPr>
                  <w:tcW w:w="2436"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可行技术</w:t>
                  </w:r>
                </w:p>
              </w:tc>
              <w:tc>
                <w:tcPr>
                  <w:tcW w:w="1006"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本项目采取措施</w:t>
                  </w:r>
                </w:p>
              </w:tc>
              <w:tc>
                <w:tcPr>
                  <w:tcW w:w="522"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是否为可行技术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93" w:type="pct"/>
                  <w:vMerge w:val="restart"/>
                  <w:tcBorders>
                    <w:top w:val="nil"/>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油炸设备、烹饪设备</w:t>
                  </w:r>
                </w:p>
              </w:tc>
              <w:tc>
                <w:tcPr>
                  <w:tcW w:w="343"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油烟</w:t>
                  </w:r>
                </w:p>
              </w:tc>
              <w:tc>
                <w:tcPr>
                  <w:tcW w:w="2436"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静电油烟处理器;湿法油烟处理器(油烟滤清机、水浴式油烟处理器、旋流板塔油烟处理器、文式管油烟处理器)</w:t>
                  </w:r>
                </w:p>
              </w:tc>
              <w:tc>
                <w:tcPr>
                  <w:tcW w:w="1006"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炒制油烟：二级高效静电油烟净化器</w:t>
                  </w:r>
                </w:p>
              </w:tc>
              <w:tc>
                <w:tcPr>
                  <w:tcW w:w="522"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93"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p>
              </w:tc>
              <w:tc>
                <w:tcPr>
                  <w:tcW w:w="343"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p>
              </w:tc>
              <w:tc>
                <w:tcPr>
                  <w:tcW w:w="2436"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p>
              </w:tc>
              <w:tc>
                <w:tcPr>
                  <w:tcW w:w="1006"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食堂油烟：静电油烟净化器</w:t>
                  </w:r>
                </w:p>
              </w:tc>
              <w:tc>
                <w:tcPr>
                  <w:tcW w:w="522" w:type="pc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是</w:t>
                  </w:r>
                </w:p>
              </w:tc>
            </w:tr>
          </w:tbl>
          <w:p>
            <w:pPr>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由以上分析可知，本项目炒制油烟、食堂油烟处理措施属于规范推荐的可行技术。</w:t>
            </w:r>
          </w:p>
          <w:p>
            <w:pPr>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排气筒位置及高度合理性：本项目油烟废气执行标准《饮食业油烟排放标准（试行）》（GB 18483-2001）未规定具体排放高度要求。参照《饮食业环境保护技术规范》（HJ 554-2010）：“6.2.2经油烟净化后的油烟排放口与周边环境敏感目标距离不应小于20m；经油烟净化和除异味处理后的油烟排放口与周边环境敏感目标的距离不应小于10m。6.2.3饮食业单位所在建筑物高度小于等于15m时，油烟排放口应高出屋顶；建筑物高度大于15m时，油烟排放口高度应大于15m。”本项目炒制油烟排气筒离最近敏感目标新华二组居民距离为170m，食堂油烟排气筒距最近敏感目标</w:t>
            </w:r>
            <w:r>
              <w:rPr>
                <w:rFonts w:hint="eastAsia" w:cs="Times New Roman"/>
                <w:color w:val="auto"/>
                <w:sz w:val="24"/>
                <w:szCs w:val="24"/>
                <w:u w:val="none"/>
                <w:lang w:val="en-US" w:eastAsia="zh-CN"/>
              </w:rPr>
              <w:t>东面凤家山居民点</w:t>
            </w:r>
            <w:r>
              <w:rPr>
                <w:rFonts w:hint="default" w:ascii="Times New Roman" w:hAnsi="Times New Roman" w:eastAsia="宋体" w:cs="Times New Roman"/>
                <w:color w:val="auto"/>
                <w:sz w:val="24"/>
                <w:szCs w:val="24"/>
                <w:u w:val="none"/>
              </w:rPr>
              <w:t>距离为1</w:t>
            </w:r>
            <w:r>
              <w:rPr>
                <w:rFonts w:hint="eastAsia" w:cs="Times New Roman"/>
                <w:color w:val="auto"/>
                <w:sz w:val="24"/>
                <w:szCs w:val="24"/>
                <w:u w:val="none"/>
                <w:lang w:val="en-US" w:eastAsia="zh-CN"/>
              </w:rPr>
              <w:t>6</w:t>
            </w:r>
            <w:r>
              <w:rPr>
                <w:rFonts w:hint="default" w:ascii="Times New Roman" w:hAnsi="Times New Roman" w:eastAsia="宋体" w:cs="Times New Roman"/>
                <w:color w:val="auto"/>
                <w:sz w:val="24"/>
                <w:szCs w:val="24"/>
                <w:u w:val="none"/>
              </w:rPr>
              <w:t>0m，距离均满足20m要求。炒制油烟排气筒高度为1</w:t>
            </w:r>
            <w:r>
              <w:rPr>
                <w:rFonts w:hint="eastAsia" w:ascii="Times New Roman" w:hAnsi="Times New Roman" w:eastAsia="宋体" w:cs="Times New Roman"/>
                <w:color w:val="auto"/>
                <w:sz w:val="24"/>
                <w:szCs w:val="24"/>
                <w:u w:val="none"/>
                <w:lang w:val="en-US" w:eastAsia="zh-CN"/>
              </w:rPr>
              <w:t>5</w:t>
            </w:r>
            <w:r>
              <w:rPr>
                <w:rFonts w:hint="default" w:ascii="Times New Roman" w:hAnsi="Times New Roman" w:eastAsia="宋体" w:cs="Times New Roman"/>
                <w:color w:val="auto"/>
                <w:sz w:val="24"/>
                <w:szCs w:val="24"/>
                <w:u w:val="none"/>
              </w:rPr>
              <w:t>m，所在建筑4#厂房高度为15m，排气筒高度满足规范要求。食堂油烟排气筒高度为</w:t>
            </w:r>
            <w:r>
              <w:rPr>
                <w:rFonts w:hint="eastAsia" w:ascii="Times New Roman" w:hAnsi="Times New Roman" w:eastAsia="宋体" w:cs="Times New Roman"/>
                <w:color w:val="auto"/>
                <w:sz w:val="24"/>
                <w:szCs w:val="24"/>
                <w:u w:val="none"/>
                <w:lang w:val="en-US" w:eastAsia="zh-CN"/>
              </w:rPr>
              <w:t>9</w:t>
            </w:r>
            <w:r>
              <w:rPr>
                <w:rFonts w:hint="default" w:ascii="Times New Roman" w:hAnsi="Times New Roman" w:eastAsia="宋体" w:cs="Times New Roman"/>
                <w:color w:val="auto"/>
                <w:sz w:val="24"/>
                <w:szCs w:val="24"/>
                <w:u w:val="none"/>
              </w:rPr>
              <w:t>m，所在建筑</w:t>
            </w:r>
            <w:r>
              <w:rPr>
                <w:rFonts w:hint="eastAsia" w:ascii="Times New Roman" w:hAnsi="Times New Roman" w:eastAsia="宋体" w:cs="Times New Roman"/>
                <w:color w:val="auto"/>
                <w:sz w:val="24"/>
                <w:szCs w:val="24"/>
                <w:u w:val="none"/>
                <w:lang w:val="en-US" w:eastAsia="zh-CN"/>
              </w:rPr>
              <w:t>科研楼</w:t>
            </w:r>
            <w:r>
              <w:rPr>
                <w:rFonts w:hint="default" w:ascii="Times New Roman" w:hAnsi="Times New Roman" w:eastAsia="宋体" w:cs="Times New Roman"/>
                <w:color w:val="auto"/>
                <w:sz w:val="24"/>
                <w:szCs w:val="24"/>
                <w:u w:val="none"/>
              </w:rPr>
              <w:t>高度为</w:t>
            </w:r>
            <w:r>
              <w:rPr>
                <w:rFonts w:hint="eastAsia" w:ascii="Times New Roman" w:hAnsi="Times New Roman" w:eastAsia="宋体" w:cs="Times New Roman"/>
                <w:color w:val="auto"/>
                <w:sz w:val="24"/>
                <w:szCs w:val="24"/>
                <w:u w:val="none"/>
                <w:lang w:val="en-US" w:eastAsia="zh-CN"/>
              </w:rPr>
              <w:t>9</w:t>
            </w:r>
            <w:r>
              <w:rPr>
                <w:rFonts w:hint="default" w:ascii="Times New Roman" w:hAnsi="Times New Roman" w:eastAsia="宋体" w:cs="Times New Roman"/>
                <w:color w:val="auto"/>
                <w:sz w:val="24"/>
                <w:szCs w:val="24"/>
                <w:u w:val="none"/>
              </w:rPr>
              <w:t>m，</w:t>
            </w:r>
            <w:r>
              <w:rPr>
                <w:rFonts w:hint="eastAsia" w:ascii="Times New Roman" w:hAnsi="Times New Roman" w:eastAsia="宋体" w:cs="Times New Roman"/>
                <w:color w:val="auto"/>
                <w:sz w:val="24"/>
                <w:szCs w:val="24"/>
                <w:u w:val="none"/>
                <w:lang w:val="en-US" w:eastAsia="zh-CN"/>
              </w:rPr>
              <w:t>排气筒高度</w:t>
            </w:r>
            <w:r>
              <w:rPr>
                <w:rFonts w:hint="default" w:ascii="Times New Roman" w:hAnsi="Times New Roman" w:eastAsia="宋体" w:cs="Times New Roman"/>
                <w:color w:val="auto"/>
                <w:sz w:val="24"/>
                <w:szCs w:val="24"/>
                <w:u w:val="none"/>
              </w:rPr>
              <w:t>满足规范要求。排气筒位置及高度设置合理。</w:t>
            </w:r>
          </w:p>
          <w:p>
            <w:pPr>
              <w:spacing w:line="360" w:lineRule="auto"/>
              <w:ind w:firstLine="482" w:firstLineChars="200"/>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（3）污水处理站臭气处理措施可行性</w:t>
            </w:r>
          </w:p>
          <w:p>
            <w:pPr>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根据《调味品、发酵制品制造工业污染防治可行技术指南》（HJ1303-2023），污水处理设施废气污染防治可行技术如下：</w:t>
            </w:r>
          </w:p>
          <w:p>
            <w:pPr>
              <w:jc w:val="center"/>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表4.2-10 《调味品、发酵制品制造工业污染防治可行技术指南》污染防治可行技术</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1957"/>
              <w:gridCol w:w="2748"/>
              <w:gridCol w:w="2812"/>
              <w:gridCol w:w="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1"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使用工序</w:t>
                  </w:r>
                </w:p>
              </w:tc>
              <w:tc>
                <w:tcPr>
                  <w:tcW w:w="1045"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污染</w:t>
                  </w:r>
                </w:p>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治理技术</w:t>
                  </w:r>
                </w:p>
              </w:tc>
              <w:tc>
                <w:tcPr>
                  <w:tcW w:w="146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适用条件</w:t>
                  </w:r>
                </w:p>
              </w:tc>
              <w:tc>
                <w:tcPr>
                  <w:tcW w:w="1501"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本项目采取措施</w:t>
                  </w:r>
                </w:p>
              </w:tc>
              <w:tc>
                <w:tcPr>
                  <w:tcW w:w="47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是否为可行技术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1"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污水处理设施废气</w:t>
                  </w:r>
                </w:p>
              </w:tc>
              <w:tc>
                <w:tcPr>
                  <w:tcW w:w="1045"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①吸收</w:t>
                  </w:r>
                </w:p>
              </w:tc>
              <w:tc>
                <w:tcPr>
                  <w:tcW w:w="146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适用于无厌氧处理设施且进水污染物浓度不高的污水处理设施收集的废气处理</w:t>
                  </w:r>
                </w:p>
              </w:tc>
              <w:tc>
                <w:tcPr>
                  <w:tcW w:w="1501"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本项目污水处理站有厌氧处理设施。臭气采取“二级喷淋+生物滤池”工艺</w:t>
                  </w:r>
                </w:p>
              </w:tc>
              <w:tc>
                <w:tcPr>
                  <w:tcW w:w="474"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1"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p>
              </w:tc>
              <w:tc>
                <w:tcPr>
                  <w:tcW w:w="1045"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①吸收+②生物处理或催化氧化或低温等离子体氧化</w:t>
                  </w:r>
                </w:p>
              </w:tc>
              <w:tc>
                <w:tcPr>
                  <w:tcW w:w="146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适用于污水处理设施收集废气的治理</w:t>
                  </w:r>
                </w:p>
              </w:tc>
              <w:tc>
                <w:tcPr>
                  <w:tcW w:w="1501"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p>
              </w:tc>
              <w:tc>
                <w:tcPr>
                  <w:tcW w:w="474"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kern w:val="0"/>
                      <w:sz w:val="21"/>
                      <w:szCs w:val="21"/>
                      <w:u w:val="none"/>
                    </w:rPr>
                  </w:pPr>
                </w:p>
              </w:tc>
            </w:tr>
          </w:tbl>
          <w:p>
            <w:pPr>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由以上分析可知，本项目污水处理站臭气处理措施属于指南推荐的可行技术。</w:t>
            </w:r>
          </w:p>
          <w:p>
            <w:pPr>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排气筒高度设置合理性：根据《恶臭污染物排放标准》（GB 14554-93）：“6.1.1排气筒的最低高度不得低于15m。”本项目污水处理站臭气排气筒高度为15m，满足标准要求，高度设置合理。</w:t>
            </w:r>
          </w:p>
          <w:p>
            <w:pPr>
              <w:tabs>
                <w:tab w:val="left" w:pos="539"/>
              </w:tabs>
              <w:snapToGrid w:val="0"/>
              <w:spacing w:line="360" w:lineRule="auto"/>
              <w:ind w:firstLine="480"/>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4.2.4 项目废气监测计划</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根据《排污单位自行监测技术指南 火力发电及锅炉》（HJ820-2017）和《排污单位自行监测技术指南 食品制造》（HJ1084-2020），本项目废气监测计划如下：</w:t>
            </w:r>
          </w:p>
          <w:p>
            <w:pPr>
              <w:jc w:val="center"/>
              <w:rPr>
                <w:rFonts w:hint="default" w:ascii="Times New Roman" w:hAnsi="Times New Roman" w:eastAsia="宋体" w:cs="Times New Roman"/>
                <w:b/>
                <w:color w:val="auto"/>
                <w:spacing w:val="4"/>
                <w:sz w:val="24"/>
                <w:szCs w:val="24"/>
                <w:u w:val="none"/>
              </w:rPr>
            </w:pPr>
            <w:r>
              <w:rPr>
                <w:rFonts w:hint="default" w:ascii="Times New Roman" w:hAnsi="Times New Roman" w:eastAsia="宋体" w:cs="Times New Roman"/>
                <w:b/>
                <w:color w:val="auto"/>
                <w:spacing w:val="4"/>
                <w:sz w:val="24"/>
                <w:szCs w:val="24"/>
                <w:u w:val="none"/>
              </w:rPr>
              <w:t>表4.2-11  项目废气监测计划表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1861"/>
              <w:gridCol w:w="1501"/>
              <w:gridCol w:w="1501"/>
              <w:gridCol w:w="3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0" w:type="pct"/>
                  <w:vAlign w:val="center"/>
                </w:tcPr>
                <w:p>
                  <w:pPr>
                    <w:contextualSpacing/>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废气类型</w:t>
                  </w:r>
                </w:p>
              </w:tc>
              <w:tc>
                <w:tcPr>
                  <w:tcW w:w="993" w:type="pct"/>
                  <w:vAlign w:val="center"/>
                </w:tcPr>
                <w:p>
                  <w:pPr>
                    <w:contextualSpacing/>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监测点位</w:t>
                  </w:r>
                </w:p>
              </w:tc>
              <w:tc>
                <w:tcPr>
                  <w:tcW w:w="801" w:type="pct"/>
                  <w:vAlign w:val="center"/>
                </w:tcPr>
                <w:p>
                  <w:pPr>
                    <w:contextualSpacing/>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监测因子</w:t>
                  </w:r>
                </w:p>
              </w:tc>
              <w:tc>
                <w:tcPr>
                  <w:tcW w:w="801" w:type="pct"/>
                  <w:vAlign w:val="center"/>
                </w:tcPr>
                <w:p>
                  <w:pPr>
                    <w:contextualSpacing/>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监测频次</w:t>
                  </w:r>
                </w:p>
              </w:tc>
              <w:tc>
                <w:tcPr>
                  <w:tcW w:w="1653" w:type="pct"/>
                  <w:vAlign w:val="center"/>
                </w:tcPr>
                <w:p>
                  <w:pPr>
                    <w:contextualSpacing/>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0" w:type="pct"/>
                  <w:vMerge w:val="restar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有组织废气</w:t>
                  </w:r>
                </w:p>
              </w:tc>
              <w:tc>
                <w:tcPr>
                  <w:tcW w:w="993" w:type="pct"/>
                  <w:vMerge w:val="restar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蒸汽发生器废气筒排气筒DA001</w:t>
                  </w:r>
                </w:p>
              </w:tc>
              <w:tc>
                <w:tcPr>
                  <w:tcW w:w="801" w:type="pct"/>
                  <w:vAlign w:val="center"/>
                </w:tcPr>
                <w:p>
                  <w:pPr>
                    <w:contextualSpacing/>
                    <w:jc w:val="center"/>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rPr>
                    <w:t>颗粒物、</w:t>
                  </w:r>
                  <w:r>
                    <w:rPr>
                      <w:rFonts w:hint="default" w:ascii="Times New Roman" w:hAnsi="Times New Roman" w:eastAsia="宋体" w:cs="Times New Roman"/>
                      <w:color w:val="auto"/>
                      <w:sz w:val="21"/>
                      <w:szCs w:val="21"/>
                      <w:u w:val="none"/>
                    </w:rPr>
                    <w:t>SO</w:t>
                  </w:r>
                  <w:r>
                    <w:rPr>
                      <w:rFonts w:hint="default" w:ascii="Times New Roman" w:hAnsi="Times New Roman" w:eastAsia="宋体" w:cs="Times New Roman"/>
                      <w:color w:val="auto"/>
                      <w:sz w:val="21"/>
                      <w:szCs w:val="21"/>
                      <w:u w:val="none"/>
                      <w:vertAlign w:val="subscript"/>
                    </w:rPr>
                    <w:t>2</w:t>
                  </w:r>
                  <w:r>
                    <w:rPr>
                      <w:rFonts w:hint="default" w:ascii="Times New Roman" w:hAnsi="Times New Roman" w:eastAsia="宋体" w:cs="Times New Roman"/>
                      <w:color w:val="auto"/>
                      <w:sz w:val="21"/>
                      <w:szCs w:val="21"/>
                      <w:u w:val="none"/>
                    </w:rPr>
                    <w:t>、</w:t>
                  </w:r>
                  <w:r>
                    <w:rPr>
                      <w:rFonts w:hint="default" w:ascii="Times New Roman" w:hAnsi="Times New Roman" w:eastAsia="宋体" w:cs="Times New Roman"/>
                      <w:color w:val="auto"/>
                      <w:sz w:val="21"/>
                      <w:szCs w:val="21"/>
                      <w:u w:val="none"/>
                      <w:lang w:val="en-US" w:eastAsia="zh-CN"/>
                    </w:rPr>
                    <w:t>林格曼黑度</w:t>
                  </w:r>
                </w:p>
              </w:tc>
              <w:tc>
                <w:tcPr>
                  <w:tcW w:w="801"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1次/年</w:t>
                  </w:r>
                </w:p>
              </w:tc>
              <w:tc>
                <w:tcPr>
                  <w:tcW w:w="1653" w:type="pct"/>
                  <w:vMerge w:val="restar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《锅炉大气污染物排放标准》（GB9078-1996）表3燃气锅炉特别排放限值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0"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993"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801"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NO</w:t>
                  </w:r>
                  <w:r>
                    <w:rPr>
                      <w:rFonts w:hint="default" w:ascii="Times New Roman" w:hAnsi="Times New Roman" w:eastAsia="宋体" w:cs="Times New Roman"/>
                      <w:color w:val="auto"/>
                      <w:sz w:val="21"/>
                      <w:szCs w:val="21"/>
                      <w:u w:val="none"/>
                      <w:vertAlign w:val="subscript"/>
                    </w:rPr>
                    <w:t>X</w:t>
                  </w:r>
                </w:p>
              </w:tc>
              <w:tc>
                <w:tcPr>
                  <w:tcW w:w="801" w:type="pct"/>
                  <w:vAlign w:val="center"/>
                </w:tcPr>
                <w:p>
                  <w:pPr>
                    <w:contextualSpacing/>
                    <w:jc w:val="center"/>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rPr>
                    <w:t>1次/</w:t>
                  </w:r>
                  <w:r>
                    <w:rPr>
                      <w:rFonts w:hint="default" w:ascii="Times New Roman" w:hAnsi="Times New Roman" w:eastAsia="宋体" w:cs="Times New Roman"/>
                      <w:bCs/>
                      <w:color w:val="auto"/>
                      <w:sz w:val="21"/>
                      <w:szCs w:val="21"/>
                      <w:u w:val="none"/>
                      <w:lang w:val="en-US" w:eastAsia="zh-CN"/>
                    </w:rPr>
                    <w:t>月</w:t>
                  </w:r>
                </w:p>
              </w:tc>
              <w:tc>
                <w:tcPr>
                  <w:tcW w:w="1653" w:type="pct"/>
                  <w:vMerge w:val="continue"/>
                  <w:vAlign w:val="center"/>
                </w:tcPr>
                <w:p>
                  <w:pPr>
                    <w:contextualSpacing/>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0"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993"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炒制油烟排气筒DA002</w:t>
                  </w:r>
                </w:p>
              </w:tc>
              <w:tc>
                <w:tcPr>
                  <w:tcW w:w="801"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油烟、非甲烷总烃</w:t>
                  </w:r>
                </w:p>
              </w:tc>
              <w:tc>
                <w:tcPr>
                  <w:tcW w:w="801"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1次/半年</w:t>
                  </w:r>
                </w:p>
              </w:tc>
              <w:tc>
                <w:tcPr>
                  <w:tcW w:w="1653"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《饮食业油烟排放标准（试行）》（GB18483-2001）表2标准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0"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993"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污水处理站臭气排气筒（DA004）</w:t>
                  </w:r>
                </w:p>
              </w:tc>
              <w:tc>
                <w:tcPr>
                  <w:tcW w:w="801"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臭气浓度、氨、硫化氢</w:t>
                  </w:r>
                </w:p>
              </w:tc>
              <w:tc>
                <w:tcPr>
                  <w:tcW w:w="801"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1次/季度</w:t>
                  </w:r>
                </w:p>
              </w:tc>
              <w:tc>
                <w:tcPr>
                  <w:tcW w:w="1653"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《恶臭污染物排放标准》（GB 14554-93）表2标准限值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0" w:type="pct"/>
                  <w:vMerge w:val="restar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无组织废气</w:t>
                  </w:r>
                </w:p>
              </w:tc>
              <w:tc>
                <w:tcPr>
                  <w:tcW w:w="993" w:type="pct"/>
                  <w:vMerge w:val="restar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厂界</w:t>
                  </w:r>
                </w:p>
              </w:tc>
              <w:tc>
                <w:tcPr>
                  <w:tcW w:w="801"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H</w:t>
                  </w:r>
                  <w:r>
                    <w:rPr>
                      <w:rFonts w:hint="default" w:ascii="Times New Roman" w:hAnsi="Times New Roman" w:eastAsia="宋体" w:cs="Times New Roman"/>
                      <w:bCs/>
                      <w:color w:val="auto"/>
                      <w:sz w:val="21"/>
                      <w:szCs w:val="21"/>
                      <w:u w:val="none"/>
                      <w:vertAlign w:val="subscript"/>
                    </w:rPr>
                    <w:t>2</w:t>
                  </w:r>
                  <w:r>
                    <w:rPr>
                      <w:rFonts w:hint="default" w:ascii="Times New Roman" w:hAnsi="Times New Roman" w:eastAsia="宋体" w:cs="Times New Roman"/>
                      <w:bCs/>
                      <w:color w:val="auto"/>
                      <w:sz w:val="21"/>
                      <w:szCs w:val="21"/>
                      <w:u w:val="none"/>
                    </w:rPr>
                    <w:t>S、NH</w:t>
                  </w:r>
                  <w:r>
                    <w:rPr>
                      <w:rFonts w:hint="default" w:ascii="Times New Roman" w:hAnsi="Times New Roman" w:eastAsia="宋体" w:cs="Times New Roman"/>
                      <w:bCs/>
                      <w:color w:val="auto"/>
                      <w:sz w:val="21"/>
                      <w:szCs w:val="21"/>
                      <w:u w:val="none"/>
                      <w:vertAlign w:val="subscript"/>
                    </w:rPr>
                    <w:t>3</w:t>
                  </w:r>
                  <w:r>
                    <w:rPr>
                      <w:rFonts w:hint="default" w:ascii="Times New Roman" w:hAnsi="Times New Roman" w:eastAsia="宋体" w:cs="Times New Roman"/>
                      <w:bCs/>
                      <w:color w:val="auto"/>
                      <w:sz w:val="21"/>
                      <w:szCs w:val="21"/>
                      <w:u w:val="none"/>
                    </w:rPr>
                    <w:t>、臭气浓度、</w:t>
                  </w:r>
                </w:p>
              </w:tc>
              <w:tc>
                <w:tcPr>
                  <w:tcW w:w="801"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1次/半年</w:t>
                  </w:r>
                </w:p>
              </w:tc>
              <w:tc>
                <w:tcPr>
                  <w:tcW w:w="1653"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《恶臭污染物排放标准》GB14554-93表1二级新扩改建标准限值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0"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993"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801"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非甲烷总烃、颗粒物</w:t>
                  </w:r>
                </w:p>
              </w:tc>
              <w:tc>
                <w:tcPr>
                  <w:tcW w:w="801"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1次/半年</w:t>
                  </w:r>
                </w:p>
              </w:tc>
              <w:tc>
                <w:tcPr>
                  <w:tcW w:w="1653"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position w:val="-10"/>
                      <w:sz w:val="21"/>
                      <w:szCs w:val="21"/>
                      <w:u w:val="none"/>
                    </w:rPr>
                    <w:t>《大气污染物综合排放标准》（GB16297-1996）表2中无组织排放监控浓度限值</w:t>
                  </w:r>
                </w:p>
              </w:tc>
            </w:tr>
          </w:tbl>
          <w:p>
            <w:pPr>
              <w:spacing w:line="360" w:lineRule="auto"/>
              <w:ind w:firstLine="498" w:firstLineChars="200"/>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
                <w:bCs/>
                <w:color w:val="auto"/>
                <w:spacing w:val="4"/>
                <w:sz w:val="24"/>
                <w:szCs w:val="24"/>
                <w:u w:val="none"/>
              </w:rPr>
              <w:t xml:space="preserve">4.2.5 </w:t>
            </w:r>
            <w:r>
              <w:rPr>
                <w:rFonts w:hint="default" w:ascii="Times New Roman" w:hAnsi="Times New Roman" w:eastAsia="宋体" w:cs="Times New Roman"/>
                <w:b/>
                <w:color w:val="auto"/>
                <w:sz w:val="24"/>
                <w:szCs w:val="24"/>
                <w:u w:val="none"/>
              </w:rPr>
              <w:t>大气环境影响分析结论</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在落实本环评提出的环保措施后，项目产生的废气可做到达标排放，对周边大气环境影响可接受，对周边居民影响较小，措施可行可靠。</w:t>
            </w:r>
          </w:p>
          <w:p>
            <w:pPr>
              <w:spacing w:line="360" w:lineRule="auto"/>
              <w:rPr>
                <w:rFonts w:hint="default" w:ascii="Times New Roman" w:hAnsi="Times New Roman" w:eastAsia="宋体" w:cs="Times New Roman"/>
                <w:b/>
                <w:bCs/>
                <w:color w:val="auto"/>
                <w:spacing w:val="4"/>
                <w:sz w:val="24"/>
                <w:szCs w:val="24"/>
                <w:u w:val="none"/>
              </w:rPr>
            </w:pPr>
            <w:r>
              <w:rPr>
                <w:rFonts w:hint="default" w:ascii="Times New Roman" w:hAnsi="Times New Roman" w:eastAsia="宋体" w:cs="Times New Roman"/>
                <w:b/>
                <w:bCs/>
                <w:color w:val="auto"/>
                <w:spacing w:val="4"/>
                <w:sz w:val="24"/>
                <w:szCs w:val="24"/>
                <w:u w:val="none"/>
              </w:rPr>
              <w:t>4.3 营运期水环境影响和保护措施</w:t>
            </w:r>
          </w:p>
          <w:p>
            <w:pPr>
              <w:spacing w:line="360" w:lineRule="auto"/>
              <w:ind w:firstLine="482" w:firstLineChars="200"/>
              <w:contextualSpacing/>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4.3.1 废水源强</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本项目废水主要为生产工艺废水、生产设备及器具清洗废水、车间地面清洁废水、除臭设施废水、纯水制备废水、质检废水、生活污水。</w:t>
            </w:r>
          </w:p>
          <w:p>
            <w:pPr>
              <w:spacing w:line="360" w:lineRule="auto"/>
              <w:ind w:firstLine="482" w:firstLineChars="200"/>
              <w:contextualSpacing/>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（1）生产工艺废水</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本项目生产工艺废水包括豆豉生产废水，腐乳生产废水，剁辣椒、油辣椒、下饭菜生产废水。</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①豆豉生产工艺废水</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豆豉生产过程中清洗浸泡、蒸煮工序产生废水，根据水平衡分析可知，豆豉生产工艺废水产生量为</w:t>
            </w:r>
            <w:r>
              <w:rPr>
                <w:rFonts w:hint="default" w:ascii="Times New Roman" w:hAnsi="Times New Roman" w:eastAsia="宋体" w:cs="Times New Roman"/>
                <w:bCs/>
                <w:color w:val="auto"/>
                <w:sz w:val="24"/>
                <w:szCs w:val="24"/>
                <w:u w:val="none"/>
                <w:lang w:val="en-US" w:eastAsia="zh-CN"/>
              </w:rPr>
              <w:t>152.4</w:t>
            </w:r>
            <w:r>
              <w:rPr>
                <w:rFonts w:hint="default" w:ascii="Times New Roman" w:hAnsi="Times New Roman" w:eastAsia="宋体" w:cs="Times New Roman"/>
                <w:bCs/>
                <w:color w:val="auto"/>
                <w:sz w:val="24"/>
                <w:szCs w:val="24"/>
                <w:u w:val="none"/>
              </w:rPr>
              <w:t>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/d（3</w:t>
            </w:r>
            <w:r>
              <w:rPr>
                <w:rFonts w:hint="default" w:ascii="Times New Roman" w:hAnsi="Times New Roman" w:eastAsia="宋体" w:cs="Times New Roman"/>
                <w:bCs/>
                <w:color w:val="auto"/>
                <w:sz w:val="24"/>
                <w:szCs w:val="24"/>
                <w:u w:val="none"/>
                <w:lang w:val="en-US" w:eastAsia="zh-CN"/>
              </w:rPr>
              <w:t>81</w:t>
            </w:r>
            <w:r>
              <w:rPr>
                <w:rFonts w:hint="default" w:ascii="Times New Roman" w:hAnsi="Times New Roman" w:eastAsia="宋体" w:cs="Times New Roman"/>
                <w:bCs/>
                <w:color w:val="auto"/>
                <w:sz w:val="24"/>
                <w:szCs w:val="24"/>
                <w:u w:val="none"/>
              </w:rPr>
              <w:t>00m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/a），主要污染物为</w:t>
            </w:r>
            <w:r>
              <w:rPr>
                <w:rFonts w:hint="default" w:ascii="Times New Roman" w:hAnsi="Times New Roman" w:eastAsia="宋体" w:cs="Times New Roman"/>
                <w:color w:val="auto"/>
                <w:sz w:val="24"/>
                <w:szCs w:val="24"/>
                <w:u w:val="none"/>
              </w:rPr>
              <w:t xml:space="preserve"> </w:t>
            </w:r>
            <w:r>
              <w:rPr>
                <w:rFonts w:hint="default" w:ascii="Times New Roman" w:hAnsi="Times New Roman" w:eastAsia="宋体" w:cs="Times New Roman"/>
                <w:bCs/>
                <w:color w:val="auto"/>
                <w:sz w:val="24"/>
                <w:szCs w:val="24"/>
                <w:u w:val="none"/>
              </w:rPr>
              <w:t>COD、NH</w:t>
            </w:r>
            <w:r>
              <w:rPr>
                <w:rFonts w:hint="default" w:ascii="Times New Roman" w:hAnsi="Times New Roman" w:eastAsia="宋体" w:cs="Times New Roman"/>
                <w:bCs/>
                <w:color w:val="auto"/>
                <w:sz w:val="24"/>
                <w:szCs w:val="24"/>
                <w:u w:val="none"/>
                <w:vertAlign w:val="subscript"/>
              </w:rPr>
              <w:t>3</w:t>
            </w:r>
            <w:r>
              <w:rPr>
                <w:rFonts w:hint="default" w:ascii="Times New Roman" w:hAnsi="Times New Roman" w:eastAsia="宋体" w:cs="Times New Roman"/>
                <w:bCs/>
                <w:color w:val="auto"/>
                <w:sz w:val="24"/>
                <w:szCs w:val="24"/>
                <w:u w:val="none"/>
              </w:rPr>
              <w:t>-N、总氮、总磷、SS、BOD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。参照《排放源统计调查产排污核算方法和系数手册》中“1392 豆制品制造行业系数手册”豆腐生产产污系数及产污系数调整表，产污系数如下：</w:t>
            </w:r>
          </w:p>
          <w:p>
            <w:pPr>
              <w:spacing w:line="360" w:lineRule="auto"/>
              <w:contextualSpacing/>
              <w:jc w:val="center"/>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表4.3-1 豆腐生产产污系数表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944"/>
              <w:gridCol w:w="1373"/>
              <w:gridCol w:w="1125"/>
              <w:gridCol w:w="1729"/>
              <w:gridCol w:w="1633"/>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14"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产品</w:t>
                  </w:r>
                </w:p>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名称</w:t>
                  </w:r>
                </w:p>
              </w:tc>
              <w:tc>
                <w:tcPr>
                  <w:tcW w:w="846"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原料名称</w:t>
                  </w:r>
                </w:p>
              </w:tc>
              <w:tc>
                <w:tcPr>
                  <w:tcW w:w="1230"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工艺名称</w:t>
                  </w:r>
                </w:p>
              </w:tc>
              <w:tc>
                <w:tcPr>
                  <w:tcW w:w="1008"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规模等级</w:t>
                  </w:r>
                </w:p>
              </w:tc>
              <w:tc>
                <w:tcPr>
                  <w:tcW w:w="1549"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污染物指标</w:t>
                  </w:r>
                </w:p>
              </w:tc>
              <w:tc>
                <w:tcPr>
                  <w:tcW w:w="1463"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单位</w:t>
                  </w:r>
                </w:p>
              </w:tc>
              <w:tc>
                <w:tcPr>
                  <w:tcW w:w="1277"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产污系数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4"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豆腐</w:t>
                  </w:r>
                </w:p>
              </w:tc>
              <w:tc>
                <w:tcPr>
                  <w:tcW w:w="846"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大豆</w:t>
                  </w:r>
                </w:p>
              </w:tc>
              <w:tc>
                <w:tcPr>
                  <w:tcW w:w="1230"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预处理+制浆+凝固+压制+包装</w:t>
                  </w:r>
                </w:p>
              </w:tc>
              <w:tc>
                <w:tcPr>
                  <w:tcW w:w="1008"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≥5吨-原料/天</w:t>
                  </w:r>
                </w:p>
              </w:tc>
              <w:tc>
                <w:tcPr>
                  <w:tcW w:w="1549"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化学需氧量</w:t>
                  </w:r>
                </w:p>
              </w:tc>
              <w:tc>
                <w:tcPr>
                  <w:tcW w:w="1463"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1277"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4"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46"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230"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008"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549"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氨氮</w:t>
                  </w:r>
                </w:p>
              </w:tc>
              <w:tc>
                <w:tcPr>
                  <w:tcW w:w="1463"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1277"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4"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46"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230"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008"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549"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总氮</w:t>
                  </w:r>
                </w:p>
              </w:tc>
              <w:tc>
                <w:tcPr>
                  <w:tcW w:w="1463"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1277"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4310</w:t>
                  </w:r>
                </w:p>
              </w:tc>
            </w:tr>
          </w:tbl>
          <w:p>
            <w:pPr>
              <w:spacing w:line="360" w:lineRule="auto"/>
              <w:contextualSpacing/>
              <w:jc w:val="center"/>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表4.3-2 豆制品制造行业废水产污系数调整表</w:t>
            </w:r>
          </w:p>
          <w:tbl>
            <w:tblPr>
              <w:tblStyle w:val="27"/>
              <w:tblW w:w="497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98"/>
              <w:gridCol w:w="1758"/>
              <w:gridCol w:w="1186"/>
              <w:gridCol w:w="15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2576" w:type="pct"/>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bCs/>
                      <w:color w:val="auto"/>
                      <w:spacing w:val="3"/>
                      <w:sz w:val="21"/>
                      <w:szCs w:val="21"/>
                      <w:u w:val="none"/>
                    </w:rPr>
                    <w:t>产品</w:t>
                  </w:r>
                </w:p>
              </w:tc>
              <w:tc>
                <w:tcPr>
                  <w:tcW w:w="944" w:type="pct"/>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bCs/>
                      <w:color w:val="auto"/>
                      <w:spacing w:val="7"/>
                      <w:sz w:val="21"/>
                      <w:szCs w:val="21"/>
                      <w:u w:val="none"/>
                    </w:rPr>
                    <w:t>对应的系数表单值</w:t>
                  </w:r>
                </w:p>
              </w:tc>
              <w:tc>
                <w:tcPr>
                  <w:tcW w:w="1479" w:type="pct"/>
                  <w:gridSpan w:val="2"/>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bCs/>
                      <w:color w:val="auto"/>
                      <w:spacing w:val="6"/>
                      <w:sz w:val="21"/>
                      <w:szCs w:val="21"/>
                      <w:u w:val="none"/>
                    </w:rPr>
                    <w:t>调整系数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2576"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944"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37"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bCs/>
                      <w:color w:val="auto"/>
                      <w:spacing w:val="6"/>
                      <w:sz w:val="21"/>
                      <w:szCs w:val="21"/>
                      <w:u w:val="none"/>
                    </w:rPr>
                    <w:t>工业废水量</w:t>
                  </w:r>
                </w:p>
              </w:tc>
              <w:tc>
                <w:tcPr>
                  <w:tcW w:w="842"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bCs/>
                      <w:color w:val="auto"/>
                      <w:spacing w:val="7"/>
                      <w:sz w:val="21"/>
                      <w:szCs w:val="21"/>
                      <w:u w:val="none"/>
                    </w:rPr>
                    <w:t>其他污染物指标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257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pacing w:val="8"/>
                      <w:sz w:val="21"/>
                      <w:szCs w:val="21"/>
                      <w:u w:val="none"/>
                    </w:rPr>
                    <w:t>充填豆腐、豆浆、豆浆粉、腐竹、豆豉、纳豆及豆芽等</w:t>
                  </w:r>
                </w:p>
              </w:tc>
              <w:tc>
                <w:tcPr>
                  <w:tcW w:w="94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pacing w:val="4"/>
                      <w:sz w:val="21"/>
                      <w:szCs w:val="21"/>
                      <w:u w:val="none"/>
                    </w:rPr>
                    <w:t>豆腐</w:t>
                  </w:r>
                </w:p>
              </w:tc>
              <w:tc>
                <w:tcPr>
                  <w:tcW w:w="637"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pacing w:val="-4"/>
                      <w:position w:val="2"/>
                      <w:sz w:val="21"/>
                      <w:szCs w:val="21"/>
                      <w:u w:val="none"/>
                    </w:rPr>
                    <w:t>0.5</w:t>
                  </w:r>
                </w:p>
              </w:tc>
              <w:tc>
                <w:tcPr>
                  <w:tcW w:w="842"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pacing w:val="-4"/>
                      <w:position w:val="2"/>
                      <w:sz w:val="21"/>
                      <w:szCs w:val="21"/>
                      <w:u w:val="none"/>
                    </w:rPr>
                    <w:t>0.3</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本项目豆豉生产线黄豆用量为2670t/a（10.7 t/d），折算后豆豉生产的产污系数及本项目计算结果见下表：</w:t>
            </w:r>
          </w:p>
          <w:p>
            <w:pPr>
              <w:spacing w:line="360" w:lineRule="auto"/>
              <w:contextualSpacing/>
              <w:jc w:val="center"/>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表4.3-3 豆豉生产产污系数及计算结果表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1544"/>
              <w:gridCol w:w="1544"/>
              <w:gridCol w:w="1457"/>
              <w:gridCol w:w="1272"/>
              <w:gridCol w:w="1272"/>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3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产品名称</w:t>
                  </w: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废水量（m</w:t>
                  </w:r>
                  <w:r>
                    <w:rPr>
                      <w:rFonts w:hint="default" w:ascii="Times New Roman" w:hAnsi="Times New Roman" w:eastAsia="宋体" w:cs="Times New Roman"/>
                      <w:b/>
                      <w:bCs/>
                      <w:color w:val="auto"/>
                      <w:sz w:val="21"/>
                      <w:szCs w:val="21"/>
                      <w:u w:val="none"/>
                      <w:vertAlign w:val="superscript"/>
                    </w:rPr>
                    <w:t>3</w:t>
                  </w:r>
                  <w:r>
                    <w:rPr>
                      <w:rFonts w:hint="default" w:ascii="Times New Roman" w:hAnsi="Times New Roman" w:eastAsia="宋体" w:cs="Times New Roman"/>
                      <w:b/>
                      <w:bCs/>
                      <w:color w:val="auto"/>
                      <w:sz w:val="21"/>
                      <w:szCs w:val="21"/>
                      <w:u w:val="none"/>
                    </w:rPr>
                    <w:t>/a）</w:t>
                  </w: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污染物指标</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单位</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产污系数</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产生量（t/a）</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产生浓度（mg/L）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8"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豆豉</w:t>
                  </w:r>
                </w:p>
              </w:tc>
              <w:tc>
                <w:tcPr>
                  <w:tcW w:w="824"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w:t>
                  </w:r>
                  <w:r>
                    <w:rPr>
                      <w:rFonts w:hint="default" w:ascii="Times New Roman" w:hAnsi="Times New Roman" w:eastAsia="宋体" w:cs="Times New Roman"/>
                      <w:color w:val="auto"/>
                      <w:sz w:val="21"/>
                      <w:szCs w:val="21"/>
                      <w:u w:val="none"/>
                      <w:lang w:val="en-US" w:eastAsia="zh-CN"/>
                    </w:rPr>
                    <w:t>81</w:t>
                  </w:r>
                  <w:r>
                    <w:rPr>
                      <w:rFonts w:hint="default" w:ascii="Times New Roman" w:hAnsi="Times New Roman" w:eastAsia="宋体" w:cs="Times New Roman"/>
                      <w:color w:val="auto"/>
                      <w:sz w:val="21"/>
                      <w:szCs w:val="21"/>
                      <w:u w:val="none"/>
                    </w:rPr>
                    <w:t>00</w:t>
                  </w: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化学需氧量</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39000</w:t>
                  </w:r>
                </w:p>
              </w:tc>
              <w:tc>
                <w:tcPr>
                  <w:tcW w:w="113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top"/>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104.13 </w:t>
                  </w:r>
                </w:p>
              </w:tc>
              <w:tc>
                <w:tcPr>
                  <w:tcW w:w="113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top"/>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2733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8"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氨氮</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621</w:t>
                  </w:r>
                </w:p>
              </w:tc>
              <w:tc>
                <w:tcPr>
                  <w:tcW w:w="113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top"/>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1.66 </w:t>
                  </w:r>
                </w:p>
              </w:tc>
              <w:tc>
                <w:tcPr>
                  <w:tcW w:w="113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top"/>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8"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总氮</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1293</w:t>
                  </w:r>
                </w:p>
              </w:tc>
              <w:tc>
                <w:tcPr>
                  <w:tcW w:w="113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top"/>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3.45 </w:t>
                  </w:r>
                </w:p>
              </w:tc>
              <w:tc>
                <w:tcPr>
                  <w:tcW w:w="113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top"/>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91 </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由于产污系数表中无BOD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、SS、总磷系数，参照《豆制品废水生物处理的研究与应用进展》（陈洪斌、高廷耀、唐贤春），豆制品废水可生化性为0.6~0.7，SS浓度700~1670</w:t>
            </w:r>
            <w:r>
              <w:rPr>
                <w:rFonts w:hint="default" w:ascii="Times New Roman" w:hAnsi="Times New Roman" w:eastAsia="宋体" w:cs="Times New Roman"/>
                <w:color w:val="auto"/>
                <w:sz w:val="24"/>
                <w:szCs w:val="24"/>
                <w:u w:val="none"/>
              </w:rPr>
              <w:t xml:space="preserve"> </w:t>
            </w:r>
            <w:r>
              <w:rPr>
                <w:rFonts w:hint="default" w:ascii="Times New Roman" w:hAnsi="Times New Roman" w:eastAsia="宋体" w:cs="Times New Roman"/>
                <w:bCs/>
                <w:color w:val="auto"/>
                <w:sz w:val="24"/>
                <w:szCs w:val="24"/>
                <w:u w:val="none"/>
              </w:rPr>
              <w:t>mg/L，总磷浓度8~26</w:t>
            </w:r>
            <w:r>
              <w:rPr>
                <w:rFonts w:hint="default" w:ascii="Times New Roman" w:hAnsi="Times New Roman" w:eastAsia="宋体" w:cs="Times New Roman"/>
                <w:color w:val="auto"/>
                <w:sz w:val="24"/>
                <w:szCs w:val="24"/>
                <w:u w:val="none"/>
              </w:rPr>
              <w:t xml:space="preserve"> </w:t>
            </w:r>
            <w:r>
              <w:rPr>
                <w:rFonts w:hint="default" w:ascii="Times New Roman" w:hAnsi="Times New Roman" w:eastAsia="宋体" w:cs="Times New Roman"/>
                <w:bCs/>
                <w:color w:val="auto"/>
                <w:sz w:val="24"/>
                <w:szCs w:val="24"/>
                <w:u w:val="none"/>
              </w:rPr>
              <w:t>mg/L、pH 3.5~5.0，本环评取中间值，则BOD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浓度为1896 mg/L，SS浓度1185</w:t>
            </w:r>
            <w:r>
              <w:rPr>
                <w:rFonts w:hint="default" w:ascii="Times New Roman" w:hAnsi="Times New Roman" w:eastAsia="宋体" w:cs="Times New Roman"/>
                <w:color w:val="auto"/>
                <w:sz w:val="24"/>
                <w:szCs w:val="24"/>
                <w:u w:val="none"/>
              </w:rPr>
              <w:t xml:space="preserve"> </w:t>
            </w:r>
            <w:r>
              <w:rPr>
                <w:rFonts w:hint="default" w:ascii="Times New Roman" w:hAnsi="Times New Roman" w:eastAsia="宋体" w:cs="Times New Roman"/>
                <w:bCs/>
                <w:color w:val="auto"/>
                <w:sz w:val="24"/>
                <w:szCs w:val="24"/>
                <w:u w:val="none"/>
              </w:rPr>
              <w:t>mg/L，总磷浓度17</w:t>
            </w:r>
            <w:r>
              <w:rPr>
                <w:rFonts w:hint="default" w:ascii="Times New Roman" w:hAnsi="Times New Roman" w:eastAsia="宋体" w:cs="Times New Roman"/>
                <w:color w:val="auto"/>
                <w:sz w:val="24"/>
                <w:szCs w:val="24"/>
                <w:u w:val="none"/>
              </w:rPr>
              <w:t xml:space="preserve"> </w:t>
            </w:r>
            <w:r>
              <w:rPr>
                <w:rFonts w:hint="default" w:ascii="Times New Roman" w:hAnsi="Times New Roman" w:eastAsia="宋体" w:cs="Times New Roman"/>
                <w:bCs/>
                <w:color w:val="auto"/>
                <w:sz w:val="24"/>
                <w:szCs w:val="24"/>
                <w:u w:val="none"/>
              </w:rPr>
              <w:t>mg/L，pH 3.5~5.0。豆豉生产废水进入厂区污水处理站处理。</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②腐乳生产工艺废水</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腐乳生产过程中清洗浸泡、蒸煮、压榨工序产生废水，根据水平衡分析可知，腐乳生产工艺废水产生量为</w:t>
            </w:r>
            <w:r>
              <w:rPr>
                <w:rFonts w:hint="default" w:ascii="Times New Roman" w:hAnsi="Times New Roman" w:eastAsia="宋体" w:cs="Times New Roman"/>
                <w:bCs/>
                <w:color w:val="auto"/>
                <w:sz w:val="24"/>
                <w:szCs w:val="24"/>
                <w:u w:val="none"/>
                <w:lang w:val="en-US" w:eastAsia="zh-CN"/>
              </w:rPr>
              <w:t>20.4</w:t>
            </w:r>
            <w:r>
              <w:rPr>
                <w:rFonts w:hint="default" w:ascii="Times New Roman" w:hAnsi="Times New Roman" w:eastAsia="宋体" w:cs="Times New Roman"/>
                <w:bCs/>
                <w:color w:val="auto"/>
                <w:sz w:val="24"/>
                <w:szCs w:val="24"/>
                <w:u w:val="none"/>
              </w:rPr>
              <w:t>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w:t>
            </w:r>
            <w:r>
              <w:rPr>
                <w:rFonts w:hint="default" w:ascii="Times New Roman" w:hAnsi="Times New Roman" w:eastAsia="宋体" w:cs="Times New Roman"/>
                <w:bCs/>
                <w:color w:val="auto"/>
                <w:sz w:val="24"/>
                <w:szCs w:val="24"/>
                <w:u w:val="none"/>
                <w:lang w:val="en-US" w:eastAsia="zh-CN"/>
              </w:rPr>
              <w:t>51</w:t>
            </w:r>
            <w:r>
              <w:rPr>
                <w:rFonts w:hint="default" w:ascii="Times New Roman" w:hAnsi="Times New Roman" w:eastAsia="宋体" w:cs="Times New Roman"/>
                <w:bCs/>
                <w:color w:val="auto"/>
                <w:sz w:val="24"/>
                <w:szCs w:val="24"/>
                <w:u w:val="none"/>
              </w:rPr>
              <w:t>00m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/a），主要污染物为pH、COD、NH</w:t>
            </w:r>
            <w:r>
              <w:rPr>
                <w:rFonts w:hint="default" w:ascii="Times New Roman" w:hAnsi="Times New Roman" w:eastAsia="宋体" w:cs="Times New Roman"/>
                <w:bCs/>
                <w:color w:val="auto"/>
                <w:sz w:val="24"/>
                <w:szCs w:val="24"/>
                <w:u w:val="none"/>
                <w:vertAlign w:val="subscript"/>
              </w:rPr>
              <w:t>3</w:t>
            </w:r>
            <w:r>
              <w:rPr>
                <w:rFonts w:hint="default" w:ascii="Times New Roman" w:hAnsi="Times New Roman" w:eastAsia="宋体" w:cs="Times New Roman"/>
                <w:bCs/>
                <w:color w:val="auto"/>
                <w:sz w:val="24"/>
                <w:szCs w:val="24"/>
                <w:u w:val="none"/>
              </w:rPr>
              <w:t>-N、总氮、总磷、SS、BOD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。参照《排放源统计调查产排污核算方法和系数手册》中“1392 豆制品制造行业系数手册”腐乳生产产污系数，产污系数如下：</w:t>
            </w:r>
          </w:p>
          <w:p>
            <w:pPr>
              <w:spacing w:line="360" w:lineRule="auto"/>
              <w:contextualSpacing/>
              <w:jc w:val="center"/>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表4.3-4 腐乳生产产污系数表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898"/>
              <w:gridCol w:w="1728"/>
              <w:gridCol w:w="1058"/>
              <w:gridCol w:w="1727"/>
              <w:gridCol w:w="1631"/>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9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产品</w:t>
                  </w:r>
                </w:p>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名称</w:t>
                  </w:r>
                </w:p>
              </w:tc>
              <w:tc>
                <w:tcPr>
                  <w:tcW w:w="800"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原料名称</w:t>
                  </w:r>
                </w:p>
              </w:tc>
              <w:tc>
                <w:tcPr>
                  <w:tcW w:w="1539"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工艺名称</w:t>
                  </w:r>
                </w:p>
              </w:tc>
              <w:tc>
                <w:tcPr>
                  <w:tcW w:w="94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规模等级</w:t>
                  </w:r>
                </w:p>
              </w:tc>
              <w:tc>
                <w:tcPr>
                  <w:tcW w:w="1538"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污染物指标</w:t>
                  </w:r>
                </w:p>
              </w:tc>
              <w:tc>
                <w:tcPr>
                  <w:tcW w:w="145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单位</w:t>
                  </w:r>
                </w:p>
              </w:tc>
              <w:tc>
                <w:tcPr>
                  <w:tcW w:w="1273"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产污系数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2"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腐乳</w:t>
                  </w:r>
                </w:p>
              </w:tc>
              <w:tc>
                <w:tcPr>
                  <w:tcW w:w="800"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大豆</w:t>
                  </w:r>
                </w:p>
              </w:tc>
              <w:tc>
                <w:tcPr>
                  <w:tcW w:w="1539"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预处理+制浆+凝固+压制+切块+发酵+包装</w:t>
                  </w:r>
                </w:p>
              </w:tc>
              <w:tc>
                <w:tcPr>
                  <w:tcW w:w="942"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＜5吨-原料/天</w:t>
                  </w:r>
                </w:p>
              </w:tc>
              <w:tc>
                <w:tcPr>
                  <w:tcW w:w="1538"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化学需氧量</w:t>
                  </w:r>
                </w:p>
              </w:tc>
              <w:tc>
                <w:tcPr>
                  <w:tcW w:w="145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1273"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132000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792"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00"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539"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942"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538"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氨氮</w:t>
                  </w:r>
                </w:p>
              </w:tc>
              <w:tc>
                <w:tcPr>
                  <w:tcW w:w="145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1273"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2"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00"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539"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942"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538"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总氮</w:t>
                  </w:r>
                </w:p>
              </w:tc>
              <w:tc>
                <w:tcPr>
                  <w:tcW w:w="145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1273"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3460</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本项目腐乳生产线黄豆用量为223t/a（0.89 t/d），本项目计算结果见下表：</w:t>
            </w:r>
          </w:p>
          <w:p>
            <w:pPr>
              <w:spacing w:line="360" w:lineRule="auto"/>
              <w:contextualSpacing/>
              <w:jc w:val="center"/>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表4.3-5 腐乳生产废水计算结果表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1544"/>
              <w:gridCol w:w="1544"/>
              <w:gridCol w:w="1457"/>
              <w:gridCol w:w="1272"/>
              <w:gridCol w:w="1272"/>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3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产品名称</w:t>
                  </w: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废水量（m</w:t>
                  </w:r>
                  <w:r>
                    <w:rPr>
                      <w:rFonts w:hint="default" w:ascii="Times New Roman" w:hAnsi="Times New Roman" w:eastAsia="宋体" w:cs="Times New Roman"/>
                      <w:b/>
                      <w:bCs/>
                      <w:color w:val="auto"/>
                      <w:sz w:val="21"/>
                      <w:szCs w:val="21"/>
                      <w:u w:val="none"/>
                      <w:vertAlign w:val="superscript"/>
                    </w:rPr>
                    <w:t>3</w:t>
                  </w:r>
                  <w:r>
                    <w:rPr>
                      <w:rFonts w:hint="default" w:ascii="Times New Roman" w:hAnsi="Times New Roman" w:eastAsia="宋体" w:cs="Times New Roman"/>
                      <w:b/>
                      <w:bCs/>
                      <w:color w:val="auto"/>
                      <w:sz w:val="21"/>
                      <w:szCs w:val="21"/>
                      <w:u w:val="none"/>
                    </w:rPr>
                    <w:t>/a）</w:t>
                  </w: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污染物指标</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单位</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产污系数</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产生量（t/a）</w:t>
                  </w:r>
                </w:p>
              </w:tc>
              <w:tc>
                <w:tcPr>
                  <w:tcW w:w="6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产生浓度（mg/L）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8"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腐乳</w:t>
                  </w:r>
                </w:p>
              </w:tc>
              <w:tc>
                <w:tcPr>
                  <w:tcW w:w="824"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51</w:t>
                  </w:r>
                  <w:r>
                    <w:rPr>
                      <w:rFonts w:hint="default" w:ascii="Times New Roman" w:hAnsi="Times New Roman" w:eastAsia="宋体" w:cs="Times New Roman"/>
                      <w:color w:val="auto"/>
                      <w:sz w:val="21"/>
                      <w:szCs w:val="21"/>
                      <w:u w:val="none"/>
                    </w:rPr>
                    <w:t>00</w:t>
                  </w: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化学需氧量</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132000</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 xml:space="preserve">29.44 </w:t>
                  </w: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5772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8"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氨氮</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927</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 xml:space="preserve">0.21 </w:t>
                  </w: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8"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总氮</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克/吨-原料</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3460</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 xml:space="preserve">0.77 </w:t>
                  </w:r>
                </w:p>
              </w:tc>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151 </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由于产污系数表中无BOD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、SS、总磷系数，参照《豆制品废水生物处理的研究与应用进展》（陈洪斌、高廷耀、唐贤春），豆制品废水可生化性为0.6~0.7，SS浓度700~1670</w:t>
            </w:r>
            <w:r>
              <w:rPr>
                <w:rFonts w:hint="default" w:ascii="Times New Roman" w:hAnsi="Times New Roman" w:eastAsia="宋体" w:cs="Times New Roman"/>
                <w:color w:val="auto"/>
                <w:sz w:val="24"/>
                <w:szCs w:val="24"/>
                <w:u w:val="none"/>
              </w:rPr>
              <w:t xml:space="preserve"> </w:t>
            </w:r>
            <w:r>
              <w:rPr>
                <w:rFonts w:hint="default" w:ascii="Times New Roman" w:hAnsi="Times New Roman" w:eastAsia="宋体" w:cs="Times New Roman"/>
                <w:bCs/>
                <w:color w:val="auto"/>
                <w:sz w:val="24"/>
                <w:szCs w:val="24"/>
                <w:u w:val="none"/>
              </w:rPr>
              <w:t>mg/L，总磷浓度8~26</w:t>
            </w:r>
            <w:r>
              <w:rPr>
                <w:rFonts w:hint="default" w:ascii="Times New Roman" w:hAnsi="Times New Roman" w:eastAsia="宋体" w:cs="Times New Roman"/>
                <w:color w:val="auto"/>
                <w:sz w:val="24"/>
                <w:szCs w:val="24"/>
                <w:u w:val="none"/>
              </w:rPr>
              <w:t xml:space="preserve"> </w:t>
            </w:r>
            <w:r>
              <w:rPr>
                <w:rFonts w:hint="default" w:ascii="Times New Roman" w:hAnsi="Times New Roman" w:eastAsia="宋体" w:cs="Times New Roman"/>
                <w:bCs/>
                <w:color w:val="auto"/>
                <w:sz w:val="24"/>
                <w:szCs w:val="24"/>
                <w:u w:val="none"/>
              </w:rPr>
              <w:t>mg/L、pH 3.5~5.0，本环评取中间值，则BOD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浓度为4071 mg/L，SS浓度1185</w:t>
            </w:r>
            <w:r>
              <w:rPr>
                <w:rFonts w:hint="default" w:ascii="Times New Roman" w:hAnsi="Times New Roman" w:eastAsia="宋体" w:cs="Times New Roman"/>
                <w:color w:val="auto"/>
                <w:sz w:val="24"/>
                <w:szCs w:val="24"/>
                <w:u w:val="none"/>
              </w:rPr>
              <w:t xml:space="preserve"> </w:t>
            </w:r>
            <w:r>
              <w:rPr>
                <w:rFonts w:hint="default" w:ascii="Times New Roman" w:hAnsi="Times New Roman" w:eastAsia="宋体" w:cs="Times New Roman"/>
                <w:bCs/>
                <w:color w:val="auto"/>
                <w:sz w:val="24"/>
                <w:szCs w:val="24"/>
                <w:u w:val="none"/>
              </w:rPr>
              <w:t>mg/L，总磷浓度17</w:t>
            </w:r>
            <w:r>
              <w:rPr>
                <w:rFonts w:hint="default" w:ascii="Times New Roman" w:hAnsi="Times New Roman" w:eastAsia="宋体" w:cs="Times New Roman"/>
                <w:color w:val="auto"/>
                <w:sz w:val="24"/>
                <w:szCs w:val="24"/>
                <w:u w:val="none"/>
              </w:rPr>
              <w:t xml:space="preserve"> </w:t>
            </w:r>
            <w:r>
              <w:rPr>
                <w:rFonts w:hint="default" w:ascii="Times New Roman" w:hAnsi="Times New Roman" w:eastAsia="宋体" w:cs="Times New Roman"/>
                <w:bCs/>
                <w:color w:val="auto"/>
                <w:sz w:val="24"/>
                <w:szCs w:val="24"/>
                <w:u w:val="none"/>
              </w:rPr>
              <w:t>mg/L、pH 3.5~5.0。腐乳生产废水进入厂区污水处理站处理。</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③剁辣椒、油辣椒、下饭菜生产工艺废水</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剁辣椒、油辣椒、下饭菜共用生产线，生产过程中原料清洗、脱水、蒸煮工序产生废水，根据水平衡分析可知，剁辣椒、油辣椒、下饭菜生产工艺废水产生量为12</w:t>
            </w:r>
            <w:r>
              <w:rPr>
                <w:rFonts w:hint="default" w:ascii="Times New Roman" w:hAnsi="Times New Roman" w:eastAsia="宋体" w:cs="Times New Roman"/>
                <w:bCs/>
                <w:color w:val="auto"/>
                <w:sz w:val="24"/>
                <w:szCs w:val="24"/>
                <w:u w:val="none"/>
                <w:lang w:val="en-US" w:eastAsia="zh-CN"/>
              </w:rPr>
              <w:t>8</w:t>
            </w:r>
            <w:r>
              <w:rPr>
                <w:rFonts w:hint="default" w:ascii="Times New Roman" w:hAnsi="Times New Roman" w:eastAsia="宋体" w:cs="Times New Roman"/>
                <w:bCs/>
                <w:color w:val="auto"/>
                <w:sz w:val="24"/>
                <w:szCs w:val="24"/>
                <w:u w:val="none"/>
              </w:rPr>
              <w:t>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/d（3</w:t>
            </w:r>
            <w:r>
              <w:rPr>
                <w:rFonts w:hint="default" w:ascii="Times New Roman" w:hAnsi="Times New Roman" w:eastAsia="宋体" w:cs="Times New Roman"/>
                <w:bCs/>
                <w:color w:val="auto"/>
                <w:sz w:val="24"/>
                <w:szCs w:val="24"/>
                <w:u w:val="none"/>
                <w:lang w:val="en-US" w:eastAsia="zh-CN"/>
              </w:rPr>
              <w:t>2</w:t>
            </w:r>
            <w:r>
              <w:rPr>
                <w:rFonts w:hint="default" w:ascii="Times New Roman" w:hAnsi="Times New Roman" w:eastAsia="宋体" w:cs="Times New Roman"/>
                <w:bCs/>
                <w:color w:val="auto"/>
                <w:sz w:val="24"/>
                <w:szCs w:val="24"/>
                <w:u w:val="none"/>
              </w:rPr>
              <w:t>000m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/a），主要污染物为pH、COD、NH</w:t>
            </w:r>
            <w:r>
              <w:rPr>
                <w:rFonts w:hint="default" w:ascii="Times New Roman" w:hAnsi="Times New Roman" w:eastAsia="宋体" w:cs="Times New Roman"/>
                <w:bCs/>
                <w:color w:val="auto"/>
                <w:sz w:val="24"/>
                <w:szCs w:val="24"/>
                <w:u w:val="none"/>
                <w:vertAlign w:val="subscript"/>
              </w:rPr>
              <w:t>3</w:t>
            </w:r>
            <w:r>
              <w:rPr>
                <w:rFonts w:hint="default" w:ascii="Times New Roman" w:hAnsi="Times New Roman" w:eastAsia="宋体" w:cs="Times New Roman"/>
                <w:bCs/>
                <w:color w:val="auto"/>
                <w:sz w:val="24"/>
                <w:szCs w:val="24"/>
                <w:u w:val="none"/>
              </w:rPr>
              <w:t>-N、总氮、总磷、SS、BOD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、动植物油、全盐量。参照《排放源统计调查产排污核算方法和系数手册》中“1469 其他调味品、发酵制品制造行业系数手册”，剁辣椒、油辣椒、下饭菜原料及生产工艺与香辣酱相似，香辣酱产污系数如下：</w:t>
            </w:r>
          </w:p>
          <w:p>
            <w:pPr>
              <w:spacing w:line="360" w:lineRule="auto"/>
              <w:ind w:firstLine="480" w:firstLineChars="200"/>
              <w:contextualSpacing/>
              <w:rPr>
                <w:rFonts w:hint="default" w:ascii="Times New Roman" w:hAnsi="Times New Roman" w:eastAsia="宋体" w:cs="Times New Roman"/>
                <w:bCs/>
                <w:color w:val="auto"/>
                <w:sz w:val="24"/>
                <w:szCs w:val="24"/>
                <w:u w:val="none"/>
              </w:rPr>
            </w:pPr>
          </w:p>
          <w:p>
            <w:pPr>
              <w:spacing w:line="360" w:lineRule="auto"/>
              <w:ind w:firstLine="480" w:firstLineChars="200"/>
              <w:contextualSpacing/>
              <w:rPr>
                <w:rFonts w:hint="default" w:ascii="Times New Roman" w:hAnsi="Times New Roman" w:eastAsia="宋体" w:cs="Times New Roman"/>
                <w:bCs/>
                <w:color w:val="auto"/>
                <w:sz w:val="24"/>
                <w:szCs w:val="24"/>
                <w:u w:val="none"/>
              </w:rPr>
            </w:pPr>
          </w:p>
          <w:p>
            <w:pPr>
              <w:spacing w:line="360" w:lineRule="auto"/>
              <w:contextualSpacing/>
              <w:jc w:val="center"/>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表4.3-6 香辣酱生产产污系数表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207"/>
              <w:gridCol w:w="1375"/>
              <w:gridCol w:w="1125"/>
              <w:gridCol w:w="1727"/>
              <w:gridCol w:w="1631"/>
              <w:gridCol w:w="1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75"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产品</w:t>
                  </w:r>
                </w:p>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名称</w:t>
                  </w:r>
                </w:p>
              </w:tc>
              <w:tc>
                <w:tcPr>
                  <w:tcW w:w="1075"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原料名称</w:t>
                  </w:r>
                </w:p>
              </w:tc>
              <w:tc>
                <w:tcPr>
                  <w:tcW w:w="1224"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工艺名称</w:t>
                  </w:r>
                </w:p>
              </w:tc>
              <w:tc>
                <w:tcPr>
                  <w:tcW w:w="100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规模等级</w:t>
                  </w:r>
                </w:p>
              </w:tc>
              <w:tc>
                <w:tcPr>
                  <w:tcW w:w="1538"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污染物指标</w:t>
                  </w:r>
                </w:p>
              </w:tc>
              <w:tc>
                <w:tcPr>
                  <w:tcW w:w="145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单位</w:t>
                  </w:r>
                </w:p>
              </w:tc>
              <w:tc>
                <w:tcPr>
                  <w:tcW w:w="1270"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产污系数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5"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香辣酱</w:t>
                  </w:r>
                </w:p>
              </w:tc>
              <w:tc>
                <w:tcPr>
                  <w:tcW w:w="1075"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辣椒香辛料-植物油-其它辅料</w:t>
                  </w:r>
                </w:p>
              </w:tc>
              <w:tc>
                <w:tcPr>
                  <w:tcW w:w="1224"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破碎、混料、炒制、淋油</w:t>
                  </w:r>
                </w:p>
              </w:tc>
              <w:tc>
                <w:tcPr>
                  <w:tcW w:w="1002" w:type="dxa"/>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所有规模</w:t>
                  </w:r>
                </w:p>
              </w:tc>
              <w:tc>
                <w:tcPr>
                  <w:tcW w:w="1538"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化学需氧量</w:t>
                  </w:r>
                </w:p>
              </w:tc>
              <w:tc>
                <w:tcPr>
                  <w:tcW w:w="145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克/吨-产品</w:t>
                  </w:r>
                </w:p>
              </w:tc>
              <w:tc>
                <w:tcPr>
                  <w:tcW w:w="1270"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5"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075"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224"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002"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538"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氨氮</w:t>
                  </w:r>
                </w:p>
              </w:tc>
              <w:tc>
                <w:tcPr>
                  <w:tcW w:w="145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克/吨-产品</w:t>
                  </w:r>
                </w:p>
              </w:tc>
              <w:tc>
                <w:tcPr>
                  <w:tcW w:w="1270"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5"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075"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224"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002" w:type="dxa"/>
                  <w:vMerge w:val="continue"/>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538"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总氮</w:t>
                  </w:r>
                </w:p>
              </w:tc>
              <w:tc>
                <w:tcPr>
                  <w:tcW w:w="145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克/吨-产品</w:t>
                  </w:r>
                </w:p>
              </w:tc>
              <w:tc>
                <w:tcPr>
                  <w:tcW w:w="1270"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5"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075"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224"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002" w:type="dxa"/>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538"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总磷</w:t>
                  </w:r>
                </w:p>
              </w:tc>
              <w:tc>
                <w:tcPr>
                  <w:tcW w:w="1452"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克/吨-产品</w:t>
                  </w:r>
                </w:p>
              </w:tc>
              <w:tc>
                <w:tcPr>
                  <w:tcW w:w="1270" w:type="dxa"/>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150</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本项目剁辣椒、油辣椒、下饭菜产品产量合计为6200t/a，本项目计算结果见下表：</w:t>
            </w:r>
          </w:p>
          <w:p>
            <w:pPr>
              <w:spacing w:line="360" w:lineRule="auto"/>
              <w:contextualSpacing/>
              <w:jc w:val="center"/>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表4.3-7 剁辣椒、油辣椒、下饭菜生产废水计算结果表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544"/>
              <w:gridCol w:w="1544"/>
              <w:gridCol w:w="1458"/>
              <w:gridCol w:w="1272"/>
              <w:gridCol w:w="1272"/>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3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产品名称</w:t>
                  </w: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废水量（m</w:t>
                  </w:r>
                  <w:r>
                    <w:rPr>
                      <w:rFonts w:hint="default" w:ascii="Times New Roman" w:hAnsi="Times New Roman" w:eastAsia="宋体" w:cs="Times New Roman"/>
                      <w:b/>
                      <w:bCs/>
                      <w:color w:val="auto"/>
                      <w:sz w:val="21"/>
                      <w:szCs w:val="21"/>
                      <w:u w:val="none"/>
                      <w:vertAlign w:val="superscript"/>
                    </w:rPr>
                    <w:t>3</w:t>
                  </w:r>
                  <w:r>
                    <w:rPr>
                      <w:rFonts w:hint="default" w:ascii="Times New Roman" w:hAnsi="Times New Roman" w:eastAsia="宋体" w:cs="Times New Roman"/>
                      <w:b/>
                      <w:bCs/>
                      <w:color w:val="auto"/>
                      <w:sz w:val="21"/>
                      <w:szCs w:val="21"/>
                      <w:u w:val="none"/>
                    </w:rPr>
                    <w:t>/a）</w:t>
                  </w: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污染物指标</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单位</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产污系数</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产生量（t/a）</w:t>
                  </w:r>
                </w:p>
              </w:tc>
              <w:tc>
                <w:tcPr>
                  <w:tcW w:w="6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产生浓度（mg/L）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7"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Cs/>
                      <w:color w:val="auto"/>
                      <w:sz w:val="21"/>
                      <w:szCs w:val="21"/>
                      <w:u w:val="none"/>
                    </w:rPr>
                    <w:t>剁辣椒、油辣椒、下饭菜</w:t>
                  </w:r>
                </w:p>
              </w:tc>
              <w:tc>
                <w:tcPr>
                  <w:tcW w:w="824"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Cs/>
                      <w:color w:val="auto"/>
                      <w:sz w:val="21"/>
                      <w:szCs w:val="21"/>
                      <w:u w:val="none"/>
                    </w:rPr>
                    <w:t>3</w:t>
                  </w:r>
                  <w:r>
                    <w:rPr>
                      <w:rFonts w:hint="default" w:ascii="Times New Roman" w:hAnsi="Times New Roman" w:eastAsia="宋体" w:cs="Times New Roman"/>
                      <w:bCs/>
                      <w:color w:val="auto"/>
                      <w:sz w:val="21"/>
                      <w:szCs w:val="21"/>
                      <w:u w:val="none"/>
                      <w:lang w:val="en-US" w:eastAsia="zh-CN"/>
                    </w:rPr>
                    <w:t>2</w:t>
                  </w:r>
                  <w:r>
                    <w:rPr>
                      <w:rFonts w:hint="default" w:ascii="Times New Roman" w:hAnsi="Times New Roman" w:eastAsia="宋体" w:cs="Times New Roman"/>
                      <w:bCs/>
                      <w:color w:val="auto"/>
                      <w:sz w:val="21"/>
                      <w:szCs w:val="21"/>
                      <w:u w:val="none"/>
                    </w:rPr>
                    <w:t>000</w:t>
                  </w: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化学需氧量</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克/吨-产品</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7500</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46.5</w:t>
                  </w:r>
                </w:p>
              </w:tc>
              <w:tc>
                <w:tcPr>
                  <w:tcW w:w="11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1453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7"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氨氮</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克/吨-产品</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750</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4.65</w:t>
                  </w:r>
                </w:p>
              </w:tc>
              <w:tc>
                <w:tcPr>
                  <w:tcW w:w="11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7"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总氮</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克/吨-产品</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2150</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13.33</w:t>
                  </w:r>
                </w:p>
              </w:tc>
              <w:tc>
                <w:tcPr>
                  <w:tcW w:w="11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7"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2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总磷</w:t>
                  </w:r>
                </w:p>
              </w:tc>
              <w:tc>
                <w:tcPr>
                  <w:tcW w:w="77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克/吨-产品</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150</w:t>
                  </w:r>
                </w:p>
              </w:tc>
              <w:tc>
                <w:tcPr>
                  <w:tcW w:w="679"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0.93</w:t>
                  </w:r>
                </w:p>
              </w:tc>
              <w:tc>
                <w:tcPr>
                  <w:tcW w:w="11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29 </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由于产污系数表中无BOD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、SS、动植物油、全盐量系数，类比“长沙辣道食品有限公司剁辣椒生产线建设项目”生产废水产污情况，可类比性分析如下：</w:t>
            </w:r>
          </w:p>
          <w:p>
            <w:pPr>
              <w:spacing w:line="360" w:lineRule="auto"/>
              <w:contextualSpacing/>
              <w:jc w:val="center"/>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4.3-8 类比项目可类比分析</w:t>
            </w:r>
          </w:p>
          <w:tbl>
            <w:tblPr>
              <w:tblStyle w:val="1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
              <w:gridCol w:w="3820"/>
              <w:gridCol w:w="3624"/>
              <w:gridCol w:w="9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850" w:type="dxa"/>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内容</w:t>
                  </w:r>
                </w:p>
              </w:tc>
              <w:tc>
                <w:tcPr>
                  <w:tcW w:w="3422" w:type="dxa"/>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长沙辣道食品有限公司剁辣椒生产线建设项目</w:t>
                  </w:r>
                </w:p>
              </w:tc>
              <w:tc>
                <w:tcPr>
                  <w:tcW w:w="3246" w:type="dxa"/>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本项目</w:t>
                  </w:r>
                </w:p>
              </w:tc>
              <w:tc>
                <w:tcPr>
                  <w:tcW w:w="872" w:type="dxa"/>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0"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产品</w:t>
                  </w:r>
                </w:p>
              </w:tc>
              <w:tc>
                <w:tcPr>
                  <w:tcW w:w="3422"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酱腌菜（剁辣椒）、辣椒调味品</w:t>
                  </w:r>
                </w:p>
              </w:tc>
              <w:tc>
                <w:tcPr>
                  <w:tcW w:w="3246"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剁辣椒、油辣椒、下饭菜</w:t>
                  </w:r>
                </w:p>
              </w:tc>
              <w:tc>
                <w:tcPr>
                  <w:tcW w:w="872"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相似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0"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年产能</w:t>
                  </w:r>
                </w:p>
              </w:tc>
              <w:tc>
                <w:tcPr>
                  <w:tcW w:w="3422"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1600t/a</w:t>
                  </w:r>
                </w:p>
              </w:tc>
              <w:tc>
                <w:tcPr>
                  <w:tcW w:w="3246"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6200t/a</w:t>
                  </w:r>
                </w:p>
              </w:tc>
              <w:tc>
                <w:tcPr>
                  <w:tcW w:w="872"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小于本项目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850"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主要生产</w:t>
                  </w:r>
                </w:p>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工艺</w:t>
                  </w:r>
                </w:p>
              </w:tc>
              <w:tc>
                <w:tcPr>
                  <w:tcW w:w="3422"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清洗、切碎、烧水消毒、拌料、包装</w:t>
                  </w:r>
                </w:p>
              </w:tc>
              <w:tc>
                <w:tcPr>
                  <w:tcW w:w="3246"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清洗、切剁</w:t>
                  </w:r>
                  <w:r>
                    <w:rPr>
                      <w:rFonts w:hint="default"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 w:val="21"/>
                      <w:szCs w:val="21"/>
                      <w:u w:val="none"/>
                      <w:lang w:val="en-US" w:eastAsia="zh-CN"/>
                    </w:rPr>
                    <w:t>蒸煮</w:t>
                  </w:r>
                  <w:r>
                    <w:rPr>
                      <w:rFonts w:hint="default" w:ascii="Times New Roman" w:hAnsi="Times New Roman" w:eastAsia="宋体" w:cs="Times New Roman"/>
                      <w:color w:val="auto"/>
                      <w:sz w:val="21"/>
                      <w:szCs w:val="21"/>
                      <w:u w:val="none"/>
                    </w:rPr>
                    <w:t>、烧水、炒制、拌料、包装</w:t>
                  </w:r>
                </w:p>
              </w:tc>
              <w:tc>
                <w:tcPr>
                  <w:tcW w:w="872"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相似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850"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原辅材料</w:t>
                  </w:r>
                </w:p>
              </w:tc>
              <w:tc>
                <w:tcPr>
                  <w:tcW w:w="3422"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半成品腌制辣椒、调味料、食用油</w:t>
                  </w:r>
                </w:p>
              </w:tc>
              <w:tc>
                <w:tcPr>
                  <w:tcW w:w="3246"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半成品腌制辣椒、腌制菜、调味料、食用油</w:t>
                  </w:r>
                </w:p>
              </w:tc>
              <w:tc>
                <w:tcPr>
                  <w:tcW w:w="872" w:type="dxa"/>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相似</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“长沙辣道食品有限公司剁辣椒生产线建设项目”生产废水BOD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、SS、动植物油、全盐量产生情况如下：</w:t>
            </w:r>
          </w:p>
          <w:p>
            <w:pPr>
              <w:spacing w:line="360" w:lineRule="auto"/>
              <w:contextualSpacing/>
              <w:jc w:val="center"/>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
                <w:color w:val="auto"/>
                <w:sz w:val="24"/>
                <w:szCs w:val="24"/>
                <w:u w:val="none"/>
              </w:rPr>
              <w:t>4.3-8 类比项目污染物产生情况</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6"/>
              <w:gridCol w:w="2486"/>
              <w:gridCol w:w="234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32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类比项目生产规模（t/a）</w:t>
                  </w:r>
                </w:p>
              </w:tc>
              <w:tc>
                <w:tcPr>
                  <w:tcW w:w="132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污染物</w:t>
                  </w:r>
                </w:p>
              </w:tc>
              <w:tc>
                <w:tcPr>
                  <w:tcW w:w="125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类比项目产生量（t/a）</w:t>
                  </w:r>
                </w:p>
              </w:tc>
              <w:tc>
                <w:tcPr>
                  <w:tcW w:w="109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单位产品产生量（g/t产品）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7"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1600</w:t>
                  </w:r>
                </w:p>
              </w:tc>
              <w:tc>
                <w:tcPr>
                  <w:tcW w:w="132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Cs/>
                      <w:color w:val="auto"/>
                      <w:sz w:val="21"/>
                      <w:szCs w:val="21"/>
                      <w:u w:val="none"/>
                    </w:rPr>
                    <w:t>BOD</w:t>
                  </w:r>
                  <w:r>
                    <w:rPr>
                      <w:rFonts w:hint="default" w:ascii="Times New Roman" w:hAnsi="Times New Roman" w:eastAsia="宋体" w:cs="Times New Roman"/>
                      <w:bCs/>
                      <w:color w:val="auto"/>
                      <w:sz w:val="21"/>
                      <w:szCs w:val="21"/>
                      <w:u w:val="none"/>
                      <w:vertAlign w:val="subscript"/>
                    </w:rPr>
                    <w:t>5</w:t>
                  </w:r>
                </w:p>
              </w:tc>
              <w:tc>
                <w:tcPr>
                  <w:tcW w:w="125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4.91</w:t>
                  </w:r>
                </w:p>
              </w:tc>
              <w:tc>
                <w:tcPr>
                  <w:tcW w:w="109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 xml:space="preserve">3069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7"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32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Cs/>
                      <w:color w:val="auto"/>
                      <w:sz w:val="21"/>
                      <w:szCs w:val="21"/>
                      <w:u w:val="none"/>
                    </w:rPr>
                    <w:t>SS</w:t>
                  </w:r>
                </w:p>
              </w:tc>
              <w:tc>
                <w:tcPr>
                  <w:tcW w:w="125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5.80</w:t>
                  </w:r>
                </w:p>
              </w:tc>
              <w:tc>
                <w:tcPr>
                  <w:tcW w:w="109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 xml:space="preserve">3625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7"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32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动植物油</w:t>
                  </w:r>
                </w:p>
              </w:tc>
              <w:tc>
                <w:tcPr>
                  <w:tcW w:w="125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1.45</w:t>
                  </w:r>
                </w:p>
              </w:tc>
              <w:tc>
                <w:tcPr>
                  <w:tcW w:w="109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 xml:space="preserve">906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7"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132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全盐量</w:t>
                  </w:r>
                </w:p>
              </w:tc>
              <w:tc>
                <w:tcPr>
                  <w:tcW w:w="125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11.47</w:t>
                  </w:r>
                </w:p>
              </w:tc>
              <w:tc>
                <w:tcPr>
                  <w:tcW w:w="1093"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 xml:space="preserve">7169 </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本项目计算结果：</w:t>
            </w:r>
          </w:p>
          <w:p>
            <w:pPr>
              <w:spacing w:line="360" w:lineRule="auto"/>
              <w:contextualSpacing/>
              <w:jc w:val="center"/>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
                <w:color w:val="auto"/>
                <w:sz w:val="24"/>
                <w:szCs w:val="24"/>
                <w:u w:val="none"/>
              </w:rPr>
              <w:t>4.3-8 本项目污染物产生情况计算结果</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4"/>
              <w:gridCol w:w="1675"/>
              <w:gridCol w:w="1675"/>
              <w:gridCol w:w="1624"/>
              <w:gridCol w:w="1311"/>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4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本项目剁辣椒、油辣椒、下饭菜生产规模（t/a）</w:t>
                  </w:r>
                </w:p>
              </w:tc>
              <w:tc>
                <w:tcPr>
                  <w:tcW w:w="89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本项目剁辣椒、油辣椒、下饭菜生产废水量（m</w:t>
                  </w:r>
                  <w:r>
                    <w:rPr>
                      <w:rFonts w:hint="default" w:ascii="Times New Roman" w:hAnsi="Times New Roman" w:eastAsia="宋体" w:cs="Times New Roman"/>
                      <w:b/>
                      <w:bCs/>
                      <w:color w:val="auto"/>
                      <w:sz w:val="21"/>
                      <w:szCs w:val="21"/>
                      <w:u w:val="none"/>
                      <w:vertAlign w:val="superscript"/>
                    </w:rPr>
                    <w:t>3</w:t>
                  </w:r>
                  <w:r>
                    <w:rPr>
                      <w:rFonts w:hint="default" w:ascii="Times New Roman" w:hAnsi="Times New Roman" w:eastAsia="宋体" w:cs="Times New Roman"/>
                      <w:b/>
                      <w:bCs/>
                      <w:color w:val="auto"/>
                      <w:sz w:val="21"/>
                      <w:szCs w:val="21"/>
                      <w:u w:val="none"/>
                    </w:rPr>
                    <w:t>/a）</w:t>
                  </w:r>
                </w:p>
              </w:tc>
              <w:tc>
                <w:tcPr>
                  <w:tcW w:w="89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污染物</w:t>
                  </w:r>
                </w:p>
              </w:tc>
              <w:tc>
                <w:tcPr>
                  <w:tcW w:w="86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单位产品产生量（g/t产品）</w:t>
                  </w:r>
                </w:p>
              </w:tc>
              <w:tc>
                <w:tcPr>
                  <w:tcW w:w="700"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产生量（t/a）</w:t>
                  </w:r>
                </w:p>
              </w:tc>
              <w:tc>
                <w:tcPr>
                  <w:tcW w:w="698"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产生浓度（mg/L）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7"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6200</w:t>
                  </w:r>
                </w:p>
              </w:tc>
              <w:tc>
                <w:tcPr>
                  <w:tcW w:w="894" w:type="pct"/>
                  <w:vMerge w:val="restart"/>
                  <w:tcBorders>
                    <w:top w:val="single" w:color="auto" w:sz="4" w:space="0"/>
                    <w:left w:val="single" w:color="auto" w:sz="4" w:space="0"/>
                    <w:right w:val="single" w:color="auto" w:sz="4" w:space="0"/>
                  </w:tcBorders>
                  <w:vAlign w:val="center"/>
                </w:tcPr>
                <w:p>
                  <w:pPr>
                    <w:autoSpaceDE w:val="0"/>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3</w:t>
                  </w:r>
                  <w:r>
                    <w:rPr>
                      <w:rFonts w:hint="default" w:ascii="Times New Roman" w:hAnsi="Times New Roman" w:eastAsia="宋体" w:cs="Times New Roman"/>
                      <w:bCs/>
                      <w:color w:val="auto"/>
                      <w:sz w:val="21"/>
                      <w:szCs w:val="21"/>
                      <w:u w:val="none"/>
                      <w:lang w:val="en-US" w:eastAsia="zh-CN"/>
                    </w:rPr>
                    <w:t>2</w:t>
                  </w:r>
                  <w:r>
                    <w:rPr>
                      <w:rFonts w:hint="default" w:ascii="Times New Roman" w:hAnsi="Times New Roman" w:eastAsia="宋体" w:cs="Times New Roman"/>
                      <w:bCs/>
                      <w:color w:val="auto"/>
                      <w:sz w:val="21"/>
                      <w:szCs w:val="21"/>
                      <w:u w:val="none"/>
                    </w:rPr>
                    <w:t>000</w:t>
                  </w:r>
                </w:p>
              </w:tc>
              <w:tc>
                <w:tcPr>
                  <w:tcW w:w="89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Cs/>
                      <w:color w:val="auto"/>
                      <w:sz w:val="21"/>
                      <w:szCs w:val="21"/>
                      <w:u w:val="none"/>
                    </w:rPr>
                    <w:t>BOD</w:t>
                  </w:r>
                  <w:r>
                    <w:rPr>
                      <w:rFonts w:hint="default" w:ascii="Times New Roman" w:hAnsi="Times New Roman" w:eastAsia="宋体" w:cs="Times New Roman"/>
                      <w:bCs/>
                      <w:color w:val="auto"/>
                      <w:sz w:val="21"/>
                      <w:szCs w:val="21"/>
                      <w:u w:val="none"/>
                      <w:vertAlign w:val="subscript"/>
                    </w:rPr>
                    <w:t>5</w:t>
                  </w:r>
                </w:p>
              </w:tc>
              <w:tc>
                <w:tcPr>
                  <w:tcW w:w="86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3069</w:t>
                  </w:r>
                </w:p>
              </w:tc>
              <w:tc>
                <w:tcPr>
                  <w:tcW w:w="700"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19.03</w:t>
                  </w:r>
                </w:p>
              </w:tc>
              <w:tc>
                <w:tcPr>
                  <w:tcW w:w="11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595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7"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94"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bCs/>
                      <w:color w:val="auto"/>
                      <w:sz w:val="21"/>
                      <w:szCs w:val="21"/>
                      <w:u w:val="none"/>
                    </w:rPr>
                  </w:pPr>
                </w:p>
              </w:tc>
              <w:tc>
                <w:tcPr>
                  <w:tcW w:w="89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Cs/>
                      <w:color w:val="auto"/>
                      <w:sz w:val="21"/>
                      <w:szCs w:val="21"/>
                      <w:u w:val="none"/>
                    </w:rPr>
                    <w:t>SS</w:t>
                  </w:r>
                </w:p>
              </w:tc>
              <w:tc>
                <w:tcPr>
                  <w:tcW w:w="86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3625</w:t>
                  </w:r>
                </w:p>
              </w:tc>
              <w:tc>
                <w:tcPr>
                  <w:tcW w:w="700"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22.48</w:t>
                  </w:r>
                </w:p>
              </w:tc>
              <w:tc>
                <w:tcPr>
                  <w:tcW w:w="11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702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7"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94" w:type="pct"/>
                  <w:vMerge w:val="continue"/>
                  <w:tcBorders>
                    <w:left w:val="single" w:color="auto" w:sz="4" w:space="0"/>
                    <w:right w:val="single" w:color="auto" w:sz="4" w:space="0"/>
                  </w:tcBorders>
                  <w:vAlign w:val="center"/>
                </w:tcPr>
                <w:p>
                  <w:pPr>
                    <w:autoSpaceDE w:val="0"/>
                    <w:jc w:val="center"/>
                    <w:rPr>
                      <w:rFonts w:hint="default" w:ascii="Times New Roman" w:hAnsi="Times New Roman" w:eastAsia="宋体" w:cs="Times New Roman"/>
                      <w:bCs/>
                      <w:color w:val="auto"/>
                      <w:sz w:val="21"/>
                      <w:szCs w:val="21"/>
                      <w:u w:val="none"/>
                    </w:rPr>
                  </w:pPr>
                </w:p>
              </w:tc>
              <w:tc>
                <w:tcPr>
                  <w:tcW w:w="89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动植物油</w:t>
                  </w:r>
                </w:p>
              </w:tc>
              <w:tc>
                <w:tcPr>
                  <w:tcW w:w="86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906</w:t>
                  </w:r>
                </w:p>
              </w:tc>
              <w:tc>
                <w:tcPr>
                  <w:tcW w:w="700"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5.62</w:t>
                  </w:r>
                </w:p>
              </w:tc>
              <w:tc>
                <w:tcPr>
                  <w:tcW w:w="11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176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7"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94" w:type="pct"/>
                  <w:vMerge w:val="continue"/>
                  <w:tcBorders>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p>
              </w:tc>
              <w:tc>
                <w:tcPr>
                  <w:tcW w:w="894"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全盐量</w:t>
                  </w:r>
                </w:p>
              </w:tc>
              <w:tc>
                <w:tcPr>
                  <w:tcW w:w="867"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7169</w:t>
                  </w:r>
                </w:p>
              </w:tc>
              <w:tc>
                <w:tcPr>
                  <w:tcW w:w="700" w:type="pct"/>
                  <w:tcBorders>
                    <w:top w:val="single" w:color="auto" w:sz="4" w:space="0"/>
                    <w:left w:val="single" w:color="auto" w:sz="4" w:space="0"/>
                    <w:bottom w:val="single" w:color="auto" w:sz="4" w:space="0"/>
                    <w:right w:val="single" w:color="auto" w:sz="4" w:space="0"/>
                  </w:tcBorders>
                  <w:vAlign w:val="center"/>
                </w:tcPr>
                <w:p>
                  <w:pPr>
                    <w:autoSpaceDE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44.45</w:t>
                  </w:r>
                </w:p>
              </w:tc>
              <w:tc>
                <w:tcPr>
                  <w:tcW w:w="11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1389 </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剁辣椒、油辣椒、下饭菜生产废水进入厂区污水处理站处理。</w:t>
            </w:r>
          </w:p>
          <w:p>
            <w:pPr>
              <w:spacing w:line="360" w:lineRule="auto"/>
              <w:ind w:firstLine="482" w:firstLineChars="200"/>
              <w:contextualSpacing/>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（2）生产设备、器具、车间地面清洁废水</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本项目每日需对炒锅、发酵罐、中转箱等设备、器具及车间地面进行清洁，根据水平衡分析可知，清洗废水产生量为15.5m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/d（3875m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/a），主要污染物为pH、COD、NH</w:t>
            </w:r>
            <w:r>
              <w:rPr>
                <w:rFonts w:hint="default" w:ascii="Times New Roman" w:hAnsi="Times New Roman" w:eastAsia="宋体" w:cs="Times New Roman"/>
                <w:bCs/>
                <w:color w:val="auto"/>
                <w:sz w:val="24"/>
                <w:szCs w:val="24"/>
                <w:u w:val="none"/>
                <w:vertAlign w:val="subscript"/>
              </w:rPr>
              <w:t>3</w:t>
            </w:r>
            <w:r>
              <w:rPr>
                <w:rFonts w:hint="default" w:ascii="Times New Roman" w:hAnsi="Times New Roman" w:eastAsia="宋体" w:cs="Times New Roman"/>
                <w:bCs/>
                <w:color w:val="auto"/>
                <w:sz w:val="24"/>
                <w:szCs w:val="24"/>
                <w:u w:val="none"/>
              </w:rPr>
              <w:t>-N、总氮、总磷、SS、BOD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、动植物油、LAS。水质情况与餐饮业废水水质相似，参照《饮食业环境保护技术规范》（HJ554-2010）及同类工程，清洗废水水质为：pH值6-9、SS 400mg/L、BOD</w:t>
            </w:r>
            <w:r>
              <w:rPr>
                <w:rFonts w:hint="default" w:ascii="Times New Roman" w:hAnsi="Times New Roman" w:eastAsia="宋体" w:cs="Times New Roman"/>
                <w:bCs/>
                <w:color w:val="auto"/>
                <w:sz w:val="24"/>
                <w:szCs w:val="24"/>
                <w:u w:val="none"/>
                <w:vertAlign w:val="subscript"/>
              </w:rPr>
              <w:t xml:space="preserve">5 </w:t>
            </w:r>
            <w:r>
              <w:rPr>
                <w:rFonts w:hint="default" w:ascii="Times New Roman" w:hAnsi="Times New Roman" w:eastAsia="宋体" w:cs="Times New Roman"/>
                <w:bCs/>
                <w:color w:val="auto"/>
                <w:sz w:val="24"/>
                <w:szCs w:val="24"/>
                <w:u w:val="none"/>
              </w:rPr>
              <w:t>500mg/L、COD 1000mg/L、NH</w:t>
            </w:r>
            <w:r>
              <w:rPr>
                <w:rFonts w:hint="default" w:ascii="Times New Roman" w:hAnsi="Times New Roman" w:eastAsia="宋体" w:cs="Times New Roman"/>
                <w:bCs/>
                <w:color w:val="auto"/>
                <w:sz w:val="24"/>
                <w:szCs w:val="24"/>
                <w:u w:val="none"/>
                <w:vertAlign w:val="subscript"/>
              </w:rPr>
              <w:t>3</w:t>
            </w:r>
            <w:r>
              <w:rPr>
                <w:rFonts w:hint="default" w:ascii="Times New Roman" w:hAnsi="Times New Roman" w:eastAsia="宋体" w:cs="Times New Roman"/>
                <w:bCs/>
                <w:color w:val="auto"/>
                <w:sz w:val="24"/>
                <w:szCs w:val="24"/>
                <w:u w:val="none"/>
              </w:rPr>
              <w:t>-N 10mg/L、TN 30 mg/L、TP 3mg/L、动植物油150mg/L。清洗废水进入厂区污水处理站处理。</w:t>
            </w:r>
          </w:p>
          <w:p>
            <w:pPr>
              <w:spacing w:line="360" w:lineRule="auto"/>
              <w:ind w:firstLine="482" w:firstLineChars="200"/>
              <w:contextualSpacing/>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（3）除臭设施废水</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本项目污水处理站臭气采用“二级喷淋+生物滤池”处理，废水产生量为1m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/d（250 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/a），水质约为：pH4.5~6.5、CODcr：1500 mg/L、BOD₅：800 mg/L、SS：200mg/L、氨氮100 mg/L、总氮200 mg/L、总磷5 mg/L、</w:t>
            </w:r>
            <w:r>
              <w:rPr>
                <w:rFonts w:hint="default" w:ascii="Times New Roman" w:hAnsi="Times New Roman" w:eastAsia="宋体" w:cs="Times New Roman"/>
                <w:bCs/>
                <w:color w:val="auto"/>
                <w:sz w:val="24"/>
                <w:szCs w:val="24"/>
                <w:u w:val="none"/>
              </w:rPr>
              <w:t>全盐量</w:t>
            </w:r>
            <w:r>
              <w:rPr>
                <w:rFonts w:hint="default" w:ascii="Times New Roman" w:hAnsi="Times New Roman" w:eastAsia="宋体" w:cs="Times New Roman"/>
                <w:bCs/>
                <w:color w:val="auto"/>
                <w:sz w:val="24"/>
                <w:szCs w:val="24"/>
                <w:u w:val="none"/>
                <w:lang w:val="en-US" w:eastAsia="zh-CN"/>
              </w:rPr>
              <w:t>2</w:t>
            </w:r>
            <w:r>
              <w:rPr>
                <w:rFonts w:hint="default" w:ascii="Times New Roman" w:hAnsi="Times New Roman" w:eastAsia="宋体" w:cs="Times New Roman"/>
                <w:bCs/>
                <w:color w:val="auto"/>
                <w:sz w:val="24"/>
                <w:szCs w:val="24"/>
                <w:u w:val="none"/>
              </w:rPr>
              <w:t>000mg/L</w:t>
            </w:r>
            <w:r>
              <w:rPr>
                <w:rFonts w:hint="default" w:ascii="Times New Roman" w:hAnsi="Times New Roman" w:eastAsia="宋体" w:cs="Times New Roman"/>
                <w:bCs/>
                <w:color w:val="auto"/>
                <w:sz w:val="24"/>
                <w:szCs w:val="24"/>
                <w:u w:val="none"/>
              </w:rPr>
              <w:t>。除臭设施废水进入厂区污水处理站处理。</w:t>
            </w:r>
          </w:p>
          <w:p>
            <w:pPr>
              <w:spacing w:line="360" w:lineRule="auto"/>
              <w:ind w:firstLine="482" w:firstLineChars="200"/>
              <w:contextualSpacing/>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（4）纯水制备废水</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本项目纯水机采用“过滤+反渗透”处理，会产生反冲洗废水及反渗透浓水，产生量为</w:t>
            </w:r>
            <w:r>
              <w:rPr>
                <w:rFonts w:hint="default" w:ascii="Times New Roman" w:hAnsi="Times New Roman" w:eastAsia="宋体" w:cs="Times New Roman"/>
                <w:bCs/>
                <w:color w:val="auto"/>
                <w:sz w:val="24"/>
                <w:szCs w:val="24"/>
                <w:u w:val="none"/>
                <w:lang w:val="en-US" w:eastAsia="zh-CN"/>
              </w:rPr>
              <w:t>1.9</w:t>
            </w:r>
            <w:r>
              <w:rPr>
                <w:rFonts w:hint="default" w:ascii="Times New Roman" w:hAnsi="Times New Roman" w:eastAsia="宋体" w:cs="Times New Roman"/>
                <w:bCs/>
                <w:color w:val="auto"/>
                <w:sz w:val="24"/>
                <w:szCs w:val="24"/>
                <w:u w:val="none"/>
              </w:rPr>
              <w:t>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w:t>
            </w:r>
            <w:r>
              <w:rPr>
                <w:rFonts w:hint="default" w:ascii="Times New Roman" w:hAnsi="Times New Roman" w:eastAsia="宋体" w:cs="Times New Roman"/>
                <w:bCs/>
                <w:color w:val="auto"/>
                <w:sz w:val="24"/>
                <w:szCs w:val="24"/>
                <w:u w:val="none"/>
                <w:lang w:val="en-US" w:eastAsia="zh-CN"/>
              </w:rPr>
              <w:t>475</w:t>
            </w:r>
            <w:r>
              <w:rPr>
                <w:rFonts w:hint="default" w:ascii="Times New Roman" w:hAnsi="Times New Roman" w:eastAsia="宋体" w:cs="Times New Roman"/>
                <w:bCs/>
                <w:color w:val="auto"/>
                <w:sz w:val="24"/>
                <w:szCs w:val="24"/>
                <w:u w:val="none"/>
              </w:rPr>
              <w:t>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/a）</w:t>
            </w:r>
            <w:r>
              <w:rPr>
                <w:rFonts w:hint="default" w:ascii="Times New Roman" w:hAnsi="Times New Roman" w:eastAsia="宋体" w:cs="Times New Roman"/>
                <w:bCs/>
                <w:color w:val="auto"/>
                <w:sz w:val="24"/>
                <w:szCs w:val="24"/>
                <w:u w:val="none"/>
              </w:rPr>
              <w:t>，水质较为清洁，主要污染物及浓度为COD80mg/L、</w:t>
            </w:r>
            <w:r>
              <w:rPr>
                <w:rFonts w:hint="default" w:ascii="Times New Roman" w:hAnsi="Times New Roman" w:eastAsia="宋体" w:cs="Times New Roman"/>
                <w:bCs/>
                <w:color w:val="auto"/>
                <w:sz w:val="24"/>
                <w:szCs w:val="24"/>
                <w:u w:val="none"/>
              </w:rPr>
              <w:t>全盐量</w:t>
            </w:r>
            <w:r>
              <w:rPr>
                <w:rFonts w:hint="default" w:ascii="Times New Roman" w:hAnsi="Times New Roman" w:eastAsia="宋体" w:cs="Times New Roman"/>
                <w:bCs/>
                <w:color w:val="auto"/>
                <w:sz w:val="24"/>
                <w:szCs w:val="24"/>
                <w:u w:val="none"/>
                <w:lang w:val="en-US" w:eastAsia="zh-CN"/>
              </w:rPr>
              <w:t>2</w:t>
            </w:r>
            <w:r>
              <w:rPr>
                <w:rFonts w:hint="default" w:ascii="Times New Roman" w:hAnsi="Times New Roman" w:eastAsia="宋体" w:cs="Times New Roman"/>
                <w:bCs/>
                <w:color w:val="auto"/>
                <w:sz w:val="24"/>
                <w:szCs w:val="24"/>
                <w:u w:val="none"/>
              </w:rPr>
              <w:t>000mg/L</w:t>
            </w:r>
            <w:r>
              <w:rPr>
                <w:rFonts w:hint="default" w:ascii="Times New Roman" w:hAnsi="Times New Roman" w:eastAsia="宋体" w:cs="Times New Roman"/>
                <w:bCs/>
                <w:color w:val="auto"/>
                <w:sz w:val="24"/>
                <w:szCs w:val="24"/>
                <w:u w:val="none"/>
              </w:rPr>
              <w:t>、SS200mg/L。纯水制备废水进入厂区污水处理站处理。</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上述生产废水合计</w:t>
            </w:r>
            <w:r>
              <w:rPr>
                <w:rFonts w:hint="default" w:ascii="Times New Roman" w:hAnsi="Times New Roman" w:eastAsia="宋体" w:cs="Times New Roman"/>
                <w:bCs/>
                <w:color w:val="auto"/>
                <w:sz w:val="24"/>
                <w:szCs w:val="24"/>
                <w:u w:val="none"/>
                <w:lang w:val="en-US" w:eastAsia="zh-CN"/>
              </w:rPr>
              <w:t>319.2</w:t>
            </w:r>
            <w:r>
              <w:rPr>
                <w:rFonts w:hint="default" w:ascii="Times New Roman" w:hAnsi="Times New Roman" w:eastAsia="宋体" w:cs="Times New Roman"/>
                <w:bCs/>
                <w:color w:val="auto"/>
                <w:sz w:val="24"/>
                <w:szCs w:val="24"/>
                <w:u w:val="none"/>
              </w:rPr>
              <w:t>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w:t>
            </w:r>
            <w:r>
              <w:rPr>
                <w:rFonts w:hint="default" w:ascii="Times New Roman" w:hAnsi="Times New Roman" w:eastAsia="宋体" w:cs="Times New Roman"/>
                <w:bCs/>
                <w:color w:val="auto"/>
                <w:sz w:val="24"/>
                <w:szCs w:val="24"/>
                <w:u w:val="none"/>
                <w:lang w:val="en-US" w:eastAsia="zh-CN"/>
              </w:rPr>
              <w:t>79800</w:t>
            </w:r>
            <w:r>
              <w:rPr>
                <w:rFonts w:hint="default" w:ascii="Times New Roman" w:hAnsi="Times New Roman" w:eastAsia="宋体" w:cs="Times New Roman"/>
                <w:bCs/>
                <w:color w:val="auto"/>
                <w:sz w:val="24"/>
                <w:szCs w:val="24"/>
                <w:u w:val="none"/>
              </w:rPr>
              <w:t xml:space="preserve"> 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/a）</w:t>
            </w:r>
            <w:r>
              <w:rPr>
                <w:rFonts w:hint="default" w:ascii="Times New Roman" w:hAnsi="Times New Roman" w:eastAsia="宋体" w:cs="Times New Roman"/>
                <w:bCs/>
                <w:color w:val="auto"/>
                <w:sz w:val="24"/>
                <w:szCs w:val="24"/>
                <w:u w:val="none"/>
              </w:rPr>
              <w:t>，进入厂区污水处理站处理，采用“</w:t>
            </w:r>
            <w:r>
              <w:rPr>
                <w:rFonts w:hint="eastAsia" w:ascii="Times New Roman" w:hAnsi="Times New Roman" w:eastAsia="宋体" w:cs="Times New Roman"/>
                <w:bCs/>
                <w:color w:val="auto"/>
                <w:sz w:val="24"/>
                <w:szCs w:val="24"/>
                <w:u w:val="none"/>
                <w:lang w:eastAsia="zh-CN"/>
              </w:rPr>
              <w:t>格栅+隔油+调节+气浮</w:t>
            </w:r>
            <w:r>
              <w:rPr>
                <w:rFonts w:hint="default" w:ascii="Times New Roman" w:hAnsi="Times New Roman" w:eastAsia="宋体" w:cs="Times New Roman"/>
                <w:bCs/>
                <w:color w:val="auto"/>
                <w:sz w:val="24"/>
                <w:szCs w:val="24"/>
                <w:u w:val="none"/>
                <w:lang w:eastAsia="zh-CN"/>
              </w:rPr>
              <w:t>+A</w:t>
            </w:r>
            <w:r>
              <w:rPr>
                <w:rFonts w:hint="default" w:ascii="Times New Roman" w:hAnsi="Times New Roman" w:eastAsia="宋体" w:cs="Times New Roman"/>
                <w:bCs/>
                <w:color w:val="auto"/>
                <w:sz w:val="24"/>
                <w:szCs w:val="24"/>
                <w:u w:val="none"/>
                <w:vertAlign w:val="superscript"/>
                <w:lang w:eastAsia="zh-CN"/>
              </w:rPr>
              <w:t>2</w:t>
            </w:r>
            <w:r>
              <w:rPr>
                <w:rFonts w:hint="default" w:ascii="Times New Roman" w:hAnsi="Times New Roman" w:eastAsia="宋体" w:cs="Times New Roman"/>
                <w:bCs/>
                <w:color w:val="auto"/>
                <w:sz w:val="24"/>
                <w:szCs w:val="24"/>
                <w:u w:val="none"/>
                <w:lang w:eastAsia="zh-CN"/>
              </w:rPr>
              <w:t>O+二沉</w:t>
            </w:r>
            <w:r>
              <w:rPr>
                <w:rFonts w:hint="default" w:ascii="Times New Roman" w:hAnsi="Times New Roman" w:eastAsia="宋体" w:cs="Times New Roman"/>
                <w:bCs/>
                <w:color w:val="auto"/>
                <w:sz w:val="24"/>
                <w:szCs w:val="24"/>
                <w:u w:val="none"/>
              </w:rPr>
              <w:t>”处理工艺，参照《排放源统计调查产排污核算方法和系数手册》中“1392 豆制品制造行业系数手册”腐乳废水处理效率及“1469 其他调味品、发酵制品制造行业系数手册”香辣酱废水处理效率：</w:t>
            </w:r>
          </w:p>
          <w:p>
            <w:pPr>
              <w:spacing w:line="360" w:lineRule="auto"/>
              <w:ind w:firstLine="480" w:firstLineChars="200"/>
              <w:contextualSpacing/>
              <w:rPr>
                <w:rFonts w:hint="default" w:ascii="Times New Roman" w:hAnsi="Times New Roman" w:eastAsia="宋体" w:cs="Times New Roman"/>
                <w:bCs/>
                <w:color w:val="auto"/>
                <w:sz w:val="24"/>
                <w:szCs w:val="24"/>
                <w:u w:val="none"/>
              </w:rPr>
            </w:pPr>
          </w:p>
          <w:p>
            <w:pPr>
              <w:spacing w:line="360" w:lineRule="auto"/>
              <w:ind w:firstLine="480" w:firstLineChars="200"/>
              <w:contextualSpacing/>
              <w:rPr>
                <w:rFonts w:hint="default" w:ascii="Times New Roman" w:hAnsi="Times New Roman" w:eastAsia="宋体" w:cs="Times New Roman"/>
                <w:bCs/>
                <w:color w:val="auto"/>
                <w:sz w:val="24"/>
                <w:szCs w:val="24"/>
                <w:u w:val="none"/>
              </w:rPr>
            </w:pPr>
          </w:p>
          <w:p>
            <w:pPr>
              <w:spacing w:line="360" w:lineRule="auto"/>
              <w:contextualSpacing/>
              <w:jc w:val="center"/>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表4.3-9 系数手册废水污染物去除效率</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725"/>
              <w:gridCol w:w="744"/>
              <w:gridCol w:w="1719"/>
              <w:gridCol w:w="1442"/>
              <w:gridCol w:w="17"/>
              <w:gridCol w:w="646"/>
              <w:gridCol w:w="1800"/>
              <w:gridCol w:w="1450"/>
              <w:gridCol w:w="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pct"/>
              </w:trPr>
              <w:tc>
                <w:tcPr>
                  <w:tcW w:w="422" w:type="pct"/>
                  <w:vMerge w:val="restar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污染物</w:t>
                  </w:r>
                </w:p>
              </w:tc>
              <w:tc>
                <w:tcPr>
                  <w:tcW w:w="2472" w:type="pct"/>
                  <w:gridSpan w:val="4"/>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1392 豆制品制造行业系数手册</w:t>
                  </w:r>
                </w:p>
              </w:tc>
              <w:tc>
                <w:tcPr>
                  <w:tcW w:w="2089" w:type="pct"/>
                  <w:gridSpan w:val="4"/>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1469 其他调味品、发酵制品制造行业系数手册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387"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产品</w:t>
                  </w:r>
                </w:p>
              </w:tc>
              <w:tc>
                <w:tcPr>
                  <w:tcW w:w="397" w:type="pct"/>
                  <w:vAlign w:val="center"/>
                </w:tcPr>
                <w:p>
                  <w:pPr>
                    <w:contextualSpacing/>
                    <w:jc w:val="center"/>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lang w:val="en-US" w:eastAsia="zh-CN"/>
                    </w:rPr>
                    <w:t>规模</w:t>
                  </w:r>
                </w:p>
              </w:tc>
              <w:tc>
                <w:tcPr>
                  <w:tcW w:w="918"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末端治理技术</w:t>
                  </w:r>
                </w:p>
              </w:tc>
              <w:tc>
                <w:tcPr>
                  <w:tcW w:w="779" w:type="pct"/>
                  <w:gridSpan w:val="2"/>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平均去除效率（%）</w:t>
                  </w:r>
                </w:p>
              </w:tc>
              <w:tc>
                <w:tcPr>
                  <w:tcW w:w="345"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产品</w:t>
                  </w:r>
                </w:p>
              </w:tc>
              <w:tc>
                <w:tcPr>
                  <w:tcW w:w="961"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末端治理技术</w:t>
                  </w:r>
                </w:p>
              </w:tc>
              <w:tc>
                <w:tcPr>
                  <w:tcW w:w="786" w:type="pct"/>
                  <w:gridSpan w:val="2"/>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平均去除效率（%）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COD</w:t>
                  </w:r>
                </w:p>
              </w:tc>
              <w:tc>
                <w:tcPr>
                  <w:tcW w:w="387" w:type="pct"/>
                  <w:vMerge w:val="restart"/>
                  <w:vAlign w:val="center"/>
                </w:tcPr>
                <w:p>
                  <w:pPr>
                    <w:contextualSpacing/>
                    <w:jc w:val="center"/>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rPr>
                    <w:t>腐乳</w:t>
                  </w:r>
                </w:p>
              </w:tc>
              <w:tc>
                <w:tcPr>
                  <w:tcW w:w="397" w:type="pct"/>
                  <w:vMerge w:val="restar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＜5吨-原料/天</w:t>
                  </w:r>
                </w:p>
              </w:tc>
              <w:tc>
                <w:tcPr>
                  <w:tcW w:w="918" w:type="pct"/>
                  <w:vMerge w:val="restar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物理处理法+厌氧生物处理法+好氧生物处理法</w:t>
                  </w:r>
                </w:p>
              </w:tc>
              <w:tc>
                <w:tcPr>
                  <w:tcW w:w="779" w:type="pct"/>
                  <w:gridSpan w:val="2"/>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97.82</w:t>
                  </w:r>
                </w:p>
              </w:tc>
              <w:tc>
                <w:tcPr>
                  <w:tcW w:w="345" w:type="pct"/>
                  <w:vMerge w:val="restar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香辣酱</w:t>
                  </w:r>
                </w:p>
              </w:tc>
              <w:tc>
                <w:tcPr>
                  <w:tcW w:w="961" w:type="pct"/>
                  <w:vMerge w:val="restar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物理法+厌氧/好氧组合法+化学法</w:t>
                  </w:r>
                </w:p>
              </w:tc>
              <w:tc>
                <w:tcPr>
                  <w:tcW w:w="786" w:type="pct"/>
                  <w:gridSpan w:val="2"/>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氨氮</w:t>
                  </w:r>
                </w:p>
              </w:tc>
              <w:tc>
                <w:tcPr>
                  <w:tcW w:w="387"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397"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918"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779" w:type="pct"/>
                  <w:gridSpan w:val="2"/>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74.67</w:t>
                  </w:r>
                </w:p>
              </w:tc>
              <w:tc>
                <w:tcPr>
                  <w:tcW w:w="345"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961"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786" w:type="pct"/>
                  <w:gridSpan w:val="2"/>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总氮</w:t>
                  </w:r>
                </w:p>
              </w:tc>
              <w:tc>
                <w:tcPr>
                  <w:tcW w:w="387"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397"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918"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779" w:type="pct"/>
                  <w:gridSpan w:val="2"/>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83.92</w:t>
                  </w:r>
                </w:p>
              </w:tc>
              <w:tc>
                <w:tcPr>
                  <w:tcW w:w="345"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961"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786" w:type="pct"/>
                  <w:gridSpan w:val="2"/>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总磷</w:t>
                  </w:r>
                </w:p>
              </w:tc>
              <w:tc>
                <w:tcPr>
                  <w:tcW w:w="387"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397"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918"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779" w:type="pct"/>
                  <w:gridSpan w:val="2"/>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w:t>
                  </w:r>
                </w:p>
              </w:tc>
              <w:tc>
                <w:tcPr>
                  <w:tcW w:w="345"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961" w:type="pct"/>
                  <w:vMerge w:val="continue"/>
                  <w:vAlign w:val="center"/>
                </w:tcPr>
                <w:p>
                  <w:pPr>
                    <w:contextualSpacing/>
                    <w:jc w:val="center"/>
                    <w:rPr>
                      <w:rFonts w:hint="default" w:ascii="Times New Roman" w:hAnsi="Times New Roman" w:eastAsia="宋体" w:cs="Times New Roman"/>
                      <w:bCs/>
                      <w:color w:val="auto"/>
                      <w:sz w:val="21"/>
                      <w:szCs w:val="21"/>
                      <w:u w:val="none"/>
                    </w:rPr>
                  </w:pPr>
                </w:p>
              </w:tc>
              <w:tc>
                <w:tcPr>
                  <w:tcW w:w="786" w:type="pct"/>
                  <w:gridSpan w:val="2"/>
                  <w:vAlign w:val="center"/>
                </w:tcPr>
                <w:p>
                  <w:pPr>
                    <w:contextualSpacing/>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73</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本环评COD、BOD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去除效率取平均值87%，氨氮取70%，总氮取84%，总磷取73%，按照同类工程，</w:t>
            </w:r>
            <w:r>
              <w:rPr>
                <w:rFonts w:hint="eastAsia" w:ascii="Times New Roman" w:hAnsi="Times New Roman" w:eastAsia="宋体" w:cs="Times New Roman"/>
                <w:bCs/>
                <w:color w:val="auto"/>
                <w:sz w:val="24"/>
                <w:szCs w:val="24"/>
                <w:u w:val="none"/>
                <w:lang w:val="en-US" w:eastAsia="zh-CN"/>
              </w:rPr>
              <w:t>隔油池+</w:t>
            </w:r>
            <w:r>
              <w:rPr>
                <w:rFonts w:hint="default" w:ascii="Times New Roman" w:hAnsi="Times New Roman" w:eastAsia="宋体" w:cs="Times New Roman"/>
                <w:bCs/>
                <w:color w:val="auto"/>
                <w:sz w:val="24"/>
                <w:szCs w:val="24"/>
                <w:u w:val="none"/>
              </w:rPr>
              <w:t>气浮池对动植物油及SS的去处效率约为90%。本项目污水处理站进出水情况如下：</w:t>
            </w:r>
          </w:p>
          <w:p>
            <w:pPr>
              <w:spacing w:line="360" w:lineRule="auto"/>
              <w:contextualSpacing/>
              <w:jc w:val="center"/>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表4.3-10 污水处理站处理前后水质及达标情况</w:t>
            </w:r>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1"/>
              <w:gridCol w:w="901"/>
              <w:gridCol w:w="1178"/>
              <w:gridCol w:w="845"/>
              <w:gridCol w:w="837"/>
              <w:gridCol w:w="733"/>
              <w:gridCol w:w="622"/>
              <w:gridCol w:w="733"/>
              <w:gridCol w:w="622"/>
              <w:gridCol w:w="693"/>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类别</w:t>
                  </w:r>
                </w:p>
              </w:tc>
              <w:tc>
                <w:tcPr>
                  <w:tcW w:w="481"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废水量(m</w:t>
                  </w:r>
                  <w:r>
                    <w:rPr>
                      <w:rFonts w:hint="default" w:ascii="Times New Roman" w:hAnsi="Times New Roman" w:eastAsia="宋体" w:cs="Times New Roman"/>
                      <w:b/>
                      <w:color w:val="auto"/>
                      <w:sz w:val="21"/>
                      <w:szCs w:val="21"/>
                      <w:u w:val="none"/>
                      <w:vertAlign w:val="superscript"/>
                    </w:rPr>
                    <w:t>3</w:t>
                  </w:r>
                  <w:r>
                    <w:rPr>
                      <w:rFonts w:hint="default" w:ascii="Times New Roman" w:hAnsi="Times New Roman" w:eastAsia="宋体" w:cs="Times New Roman"/>
                      <w:b/>
                      <w:color w:val="auto"/>
                      <w:sz w:val="21"/>
                      <w:szCs w:val="21"/>
                      <w:u w:val="none"/>
                    </w:rPr>
                    <w:t>/a)</w:t>
                  </w:r>
                </w:p>
              </w:tc>
              <w:tc>
                <w:tcPr>
                  <w:tcW w:w="629"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项目</w:t>
                  </w:r>
                </w:p>
              </w:tc>
              <w:tc>
                <w:tcPr>
                  <w:tcW w:w="451"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COD</w:t>
                  </w:r>
                </w:p>
              </w:tc>
              <w:tc>
                <w:tcPr>
                  <w:tcW w:w="447"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BOD</w:t>
                  </w:r>
                  <w:r>
                    <w:rPr>
                      <w:rFonts w:hint="default" w:ascii="Times New Roman" w:hAnsi="Times New Roman" w:eastAsia="宋体" w:cs="Times New Roman"/>
                      <w:b/>
                      <w:color w:val="auto"/>
                      <w:sz w:val="21"/>
                      <w:szCs w:val="21"/>
                      <w:u w:val="none"/>
                      <w:vertAlign w:val="subscript"/>
                    </w:rPr>
                    <w:t>5</w:t>
                  </w:r>
                </w:p>
              </w:tc>
              <w:tc>
                <w:tcPr>
                  <w:tcW w:w="391"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SS</w:t>
                  </w:r>
                </w:p>
              </w:tc>
              <w:tc>
                <w:tcPr>
                  <w:tcW w:w="332"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氨氮</w:t>
                  </w:r>
                </w:p>
              </w:tc>
              <w:tc>
                <w:tcPr>
                  <w:tcW w:w="391"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TN</w:t>
                  </w:r>
                </w:p>
              </w:tc>
              <w:tc>
                <w:tcPr>
                  <w:tcW w:w="332"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TP</w:t>
                  </w:r>
                </w:p>
              </w:tc>
              <w:tc>
                <w:tcPr>
                  <w:tcW w:w="370"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动植物油</w:t>
                  </w:r>
                </w:p>
              </w:tc>
              <w:tc>
                <w:tcPr>
                  <w:tcW w:w="391"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全盐量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豆豉生产废水</w:t>
                  </w:r>
                </w:p>
              </w:tc>
              <w:tc>
                <w:tcPr>
                  <w:tcW w:w="481"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38100</w:t>
                  </w: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产生浓度(mg/L)</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2733</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1896</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1185</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44</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91</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17</w:t>
                  </w:r>
                </w:p>
              </w:tc>
              <w:tc>
                <w:tcPr>
                  <w:tcW w:w="370" w:type="pct"/>
                  <w:vAlign w:val="center"/>
                </w:tcPr>
                <w:p>
                  <w:pPr>
                    <w:widowControl/>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81"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产生量(t/a)</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104.13</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72.24</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45.15</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1.68</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3.47</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0.65</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腐乳生产废水</w:t>
                  </w:r>
                </w:p>
              </w:tc>
              <w:tc>
                <w:tcPr>
                  <w:tcW w:w="481"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5100</w:t>
                  </w: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产生浓度(mg/L)</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5772</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4071</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1185</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41</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151</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17</w:t>
                  </w:r>
                </w:p>
              </w:tc>
              <w:tc>
                <w:tcPr>
                  <w:tcW w:w="370" w:type="pct"/>
                  <w:vAlign w:val="center"/>
                </w:tcPr>
                <w:p>
                  <w:pPr>
                    <w:widowControl/>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81"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产生量(t/a)</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29.44</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20.76</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6.04</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0.21</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0.77</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0.09</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剁辣椒、油辣椒、下饭菜生产废水</w:t>
                  </w:r>
                </w:p>
              </w:tc>
              <w:tc>
                <w:tcPr>
                  <w:tcW w:w="481"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32000</w:t>
                  </w: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产生浓度(mg/L)</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1453</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595</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702</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145</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417</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29</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176</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81"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产生量(t/a)</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46.50</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19.04</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22.46</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4.64</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13.34</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0.93</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5.63</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780"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清洁废水</w:t>
                  </w:r>
                </w:p>
              </w:tc>
              <w:tc>
                <w:tcPr>
                  <w:tcW w:w="481"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3875</w:t>
                  </w: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产生浓度(mg/L)</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1000</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500</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400</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10</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30</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150</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81"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产生量(t/a)</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3.88</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1.94</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1.55</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0.04</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0.12</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0.01</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0.58</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除臭设施废水</w:t>
                  </w:r>
                </w:p>
              </w:tc>
              <w:tc>
                <w:tcPr>
                  <w:tcW w:w="481"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250</w:t>
                  </w: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产生浓度(mg/L)</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1500</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800</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200</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100</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200</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780"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81"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产生量(t/a)</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0.38</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0.20</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0.05</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0.03</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0.05</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0.00</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纯水制备废水</w:t>
                  </w:r>
                </w:p>
              </w:tc>
              <w:tc>
                <w:tcPr>
                  <w:tcW w:w="481"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475</w:t>
                  </w: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产生浓度(mg/L)</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80</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200</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81"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产生量(t/a)</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0.04</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0.10</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污水处理站进水</w:t>
                  </w:r>
                </w:p>
              </w:tc>
              <w:tc>
                <w:tcPr>
                  <w:tcW w:w="481"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79800</w:t>
                  </w: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产生浓度(mg/L)</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2310</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1431</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944</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83</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222</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21</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78</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81"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产生量(t/a)</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184.35</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114.18</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75.35</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6.59</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17.75</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1.68</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6.21</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污水处理站处理效率（%）</w:t>
                  </w:r>
                </w:p>
              </w:tc>
              <w:tc>
                <w:tcPr>
                  <w:tcW w:w="48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w:t>
                  </w: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87</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87</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90</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70</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84</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73</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90</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污水处理站出水</w:t>
                  </w:r>
                </w:p>
              </w:tc>
              <w:tc>
                <w:tcPr>
                  <w:tcW w:w="481"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79800</w:t>
                  </w: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排放浓度(mg/L)</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300</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186</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94</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25</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36</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6</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8</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80"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81"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排放量(t/a)</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23.97</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14.84</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7.54</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1.98</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2.84</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0.45</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0.62</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61" w:type="pct"/>
                  <w:gridSpan w:val="2"/>
                  <w:vAlign w:val="center"/>
                </w:tcPr>
                <w:p>
                  <w:pPr>
                    <w:widowControl/>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执行标准</w:t>
                  </w: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浓度（mg/L）</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500</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350</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400</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45</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70</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8</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100</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eastAsia" w:cs="Times New Roman"/>
                      <w:color w:val="auto"/>
                      <w:sz w:val="21"/>
                      <w:szCs w:val="21"/>
                      <w:u w:val="none"/>
                      <w:lang w:val="en-US" w:eastAsia="zh-CN"/>
                    </w:rPr>
                    <w:t>3</w:t>
                  </w:r>
                  <w:r>
                    <w:rPr>
                      <w:rFonts w:hint="default" w:ascii="Times New Roman" w:hAnsi="Times New Roman" w:eastAsia="宋体" w:cs="Times New Roman"/>
                      <w:color w:val="auto"/>
                      <w:sz w:val="21"/>
                      <w:szCs w:val="21"/>
                      <w:u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61" w:type="pct"/>
                  <w:gridSpan w:val="2"/>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达标情况</w:t>
                  </w:r>
                </w:p>
              </w:tc>
              <w:tc>
                <w:tcPr>
                  <w:tcW w:w="62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c>
                <w:tcPr>
                  <w:tcW w:w="45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447"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3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370"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391"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由上表可知，各类生产废水统一经污水处理站处理后，出水可达《食品加工制造业水污染物排放标准》（GB 46817—2025）间接排放标准</w:t>
            </w:r>
            <w:r>
              <w:rPr>
                <w:rFonts w:hint="default" w:ascii="Times New Roman" w:hAnsi="Times New Roman" w:eastAsia="宋体" w:cs="Times New Roman"/>
                <w:bCs/>
                <w:color w:val="auto"/>
                <w:sz w:val="24"/>
                <w:szCs w:val="24"/>
                <w:u w:val="none"/>
                <w:lang w:val="en-US" w:eastAsia="zh-CN"/>
              </w:rPr>
              <w:t>及湘阴第二污水处理厂进水水质要求</w:t>
            </w:r>
            <w:r>
              <w:rPr>
                <w:rFonts w:hint="default" w:ascii="Times New Roman" w:hAnsi="Times New Roman" w:eastAsia="宋体" w:cs="Times New Roman"/>
                <w:bCs/>
                <w:color w:val="auto"/>
                <w:sz w:val="24"/>
                <w:szCs w:val="24"/>
                <w:u w:val="none"/>
              </w:rPr>
              <w:t>。</w:t>
            </w:r>
          </w:p>
          <w:p>
            <w:pPr>
              <w:spacing w:line="360" w:lineRule="auto"/>
              <w:ind w:firstLine="482" w:firstLineChars="200"/>
              <w:contextualSpacing/>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（6）质检废水</w:t>
            </w:r>
          </w:p>
          <w:p>
            <w:pPr>
              <w:spacing w:line="360" w:lineRule="auto"/>
              <w:ind w:firstLine="480"/>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项目检验室对每批次产品进行检验，检验量较少，质检废水产生量为0.04m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/d（10m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/a），主要污染因子产生浓度约为COD 250mg/L、BOD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 xml:space="preserve"> 180mg/L、SS 150mg/L、NH</w:t>
            </w:r>
            <w:r>
              <w:rPr>
                <w:rFonts w:hint="default" w:ascii="Times New Roman" w:hAnsi="Times New Roman" w:eastAsia="宋体" w:cs="Times New Roman"/>
                <w:bCs/>
                <w:color w:val="auto"/>
                <w:sz w:val="24"/>
                <w:szCs w:val="24"/>
                <w:u w:val="none"/>
                <w:vertAlign w:val="subscript"/>
              </w:rPr>
              <w:t>3</w:t>
            </w:r>
            <w:r>
              <w:rPr>
                <w:rFonts w:hint="default" w:ascii="Times New Roman" w:hAnsi="Times New Roman" w:eastAsia="宋体" w:cs="Times New Roman"/>
                <w:bCs/>
                <w:color w:val="auto"/>
                <w:sz w:val="24"/>
                <w:szCs w:val="24"/>
                <w:u w:val="none"/>
              </w:rPr>
              <w:t>-N 25mg/L、动植物油 30mg/L、总氮 30mg/L、总磷 3mg/L，与生活污水一同进入化粪池处理。</w:t>
            </w:r>
          </w:p>
          <w:p>
            <w:pPr>
              <w:spacing w:line="360" w:lineRule="auto"/>
              <w:ind w:firstLine="482" w:firstLineChars="200"/>
              <w:contextualSpacing/>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（7）生活污水</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生活污水量约11.8m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/d（2950 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/a），</w:t>
            </w:r>
            <w:r>
              <w:rPr>
                <w:rFonts w:hint="default" w:ascii="Times New Roman" w:hAnsi="Times New Roman" w:eastAsia="宋体" w:cs="Times New Roman"/>
                <w:color w:val="auto"/>
                <w:sz w:val="24"/>
                <w:szCs w:val="24"/>
                <w:u w:val="none"/>
              </w:rPr>
              <w:t>参照《给水排水设计手册城镇排水》的典型生活污水水质，污染物及浓度为：SS 200mg/L、BOD</w:t>
            </w:r>
            <w:r>
              <w:rPr>
                <w:rFonts w:hint="default" w:ascii="Times New Roman" w:hAnsi="Times New Roman" w:eastAsia="宋体" w:cs="Times New Roman"/>
                <w:color w:val="auto"/>
                <w:sz w:val="24"/>
                <w:szCs w:val="24"/>
                <w:u w:val="none"/>
                <w:vertAlign w:val="subscript"/>
              </w:rPr>
              <w:t>5</w:t>
            </w:r>
            <w:r>
              <w:rPr>
                <w:rFonts w:hint="default" w:ascii="Times New Roman" w:hAnsi="Times New Roman" w:eastAsia="宋体" w:cs="Times New Roman"/>
                <w:color w:val="auto"/>
                <w:sz w:val="24"/>
                <w:szCs w:val="24"/>
                <w:u w:val="none"/>
              </w:rPr>
              <w:t xml:space="preserve"> 220mg/L、COD 400mg/L、NH</w:t>
            </w:r>
            <w:r>
              <w:rPr>
                <w:rFonts w:hint="default" w:ascii="Times New Roman" w:hAnsi="Times New Roman" w:eastAsia="宋体" w:cs="Times New Roman"/>
                <w:color w:val="auto"/>
                <w:sz w:val="24"/>
                <w:szCs w:val="24"/>
                <w:u w:val="none"/>
                <w:vertAlign w:val="subscript"/>
              </w:rPr>
              <w:t>3</w:t>
            </w:r>
            <w:r>
              <w:rPr>
                <w:rFonts w:hint="default" w:ascii="Times New Roman" w:hAnsi="Times New Roman" w:eastAsia="宋体" w:cs="Times New Roman"/>
                <w:color w:val="auto"/>
                <w:sz w:val="24"/>
                <w:szCs w:val="24"/>
                <w:u w:val="none"/>
              </w:rPr>
              <w:t>-N 15mg/L、TN 40 mg/L、TP 8mg/L、动植物油100 mg/L。</w:t>
            </w:r>
            <w:r>
              <w:rPr>
                <w:rFonts w:hint="default" w:ascii="Times New Roman" w:hAnsi="Times New Roman" w:eastAsia="宋体" w:cs="Times New Roman"/>
                <w:bCs/>
                <w:color w:val="auto"/>
                <w:sz w:val="24"/>
                <w:szCs w:val="24"/>
                <w:u w:val="none"/>
              </w:rPr>
              <w:t>食堂废水经隔油池+化粪池处理，其他生活污水经化粪池处理。</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质检废水与生活污水一同经化粪池处理，食堂废水经隔油池+化粪池处理。参照《村镇生活污染防治最佳可行技术指南（试行）》（HJ-BAT-9），三格化粪池对SS、BOD</w:t>
            </w:r>
            <w:r>
              <w:rPr>
                <w:rFonts w:hint="default" w:ascii="Times New Roman" w:hAnsi="Times New Roman" w:eastAsia="宋体" w:cs="Times New Roman"/>
                <w:bCs/>
                <w:color w:val="auto"/>
                <w:sz w:val="24"/>
                <w:szCs w:val="24"/>
                <w:u w:val="none"/>
                <w:vertAlign w:val="subscript"/>
              </w:rPr>
              <w:t>5</w:t>
            </w:r>
            <w:r>
              <w:rPr>
                <w:rFonts w:hint="default" w:ascii="Times New Roman" w:hAnsi="Times New Roman" w:eastAsia="宋体" w:cs="Times New Roman"/>
                <w:bCs/>
                <w:color w:val="auto"/>
                <w:sz w:val="24"/>
                <w:szCs w:val="24"/>
                <w:u w:val="none"/>
              </w:rPr>
              <w:t>、COD、NH</w:t>
            </w:r>
            <w:r>
              <w:rPr>
                <w:rFonts w:hint="default" w:ascii="Times New Roman" w:hAnsi="Times New Roman" w:eastAsia="宋体" w:cs="Times New Roman"/>
                <w:bCs/>
                <w:color w:val="auto"/>
                <w:sz w:val="24"/>
                <w:szCs w:val="24"/>
                <w:u w:val="none"/>
                <w:vertAlign w:val="subscript"/>
              </w:rPr>
              <w:t>3</w:t>
            </w:r>
            <w:r>
              <w:rPr>
                <w:rFonts w:hint="default" w:ascii="Times New Roman" w:hAnsi="Times New Roman" w:eastAsia="宋体" w:cs="Times New Roman"/>
                <w:bCs/>
                <w:color w:val="auto"/>
                <w:sz w:val="24"/>
                <w:szCs w:val="24"/>
                <w:u w:val="none"/>
              </w:rPr>
              <w:t>-N、TP的处理效率分别约65%、45%、45%、10%、20%。本项目质检废水与生活污水产生及排放情况如下：</w:t>
            </w:r>
          </w:p>
          <w:p>
            <w:pPr>
              <w:spacing w:line="360" w:lineRule="auto"/>
              <w:contextualSpacing/>
              <w:jc w:val="center"/>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表4.3-11 质检废水与生活污水产生及排放情况</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933"/>
              <w:gridCol w:w="1185"/>
              <w:gridCol w:w="793"/>
              <w:gridCol w:w="793"/>
              <w:gridCol w:w="793"/>
              <w:gridCol w:w="793"/>
              <w:gridCol w:w="793"/>
              <w:gridCol w:w="898"/>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49"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类别</w:t>
                  </w:r>
                </w:p>
              </w:tc>
              <w:tc>
                <w:tcPr>
                  <w:tcW w:w="498"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废水量(m</w:t>
                  </w:r>
                  <w:r>
                    <w:rPr>
                      <w:rFonts w:hint="default" w:ascii="Times New Roman" w:hAnsi="Times New Roman" w:eastAsia="宋体" w:cs="Times New Roman"/>
                      <w:b/>
                      <w:color w:val="auto"/>
                      <w:sz w:val="21"/>
                      <w:szCs w:val="21"/>
                      <w:u w:val="none"/>
                      <w:vertAlign w:val="superscript"/>
                    </w:rPr>
                    <w:t>3</w:t>
                  </w:r>
                  <w:r>
                    <w:rPr>
                      <w:rFonts w:hint="default" w:ascii="Times New Roman" w:hAnsi="Times New Roman" w:eastAsia="宋体" w:cs="Times New Roman"/>
                      <w:b/>
                      <w:color w:val="auto"/>
                      <w:sz w:val="21"/>
                      <w:szCs w:val="21"/>
                      <w:u w:val="none"/>
                    </w:rPr>
                    <w:t>/a)</w:t>
                  </w:r>
                </w:p>
              </w:tc>
              <w:tc>
                <w:tcPr>
                  <w:tcW w:w="632"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项目</w:t>
                  </w:r>
                </w:p>
              </w:tc>
              <w:tc>
                <w:tcPr>
                  <w:tcW w:w="423"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COD</w:t>
                  </w:r>
                </w:p>
              </w:tc>
              <w:tc>
                <w:tcPr>
                  <w:tcW w:w="423"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BOD</w:t>
                  </w:r>
                  <w:r>
                    <w:rPr>
                      <w:rFonts w:hint="default" w:ascii="Times New Roman" w:hAnsi="Times New Roman" w:eastAsia="宋体" w:cs="Times New Roman"/>
                      <w:b/>
                      <w:color w:val="auto"/>
                      <w:sz w:val="21"/>
                      <w:szCs w:val="21"/>
                      <w:u w:val="none"/>
                      <w:vertAlign w:val="subscript"/>
                    </w:rPr>
                    <w:t>5</w:t>
                  </w:r>
                </w:p>
              </w:tc>
              <w:tc>
                <w:tcPr>
                  <w:tcW w:w="423"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SS</w:t>
                  </w:r>
                </w:p>
              </w:tc>
              <w:tc>
                <w:tcPr>
                  <w:tcW w:w="423"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氨氮</w:t>
                  </w:r>
                </w:p>
              </w:tc>
              <w:tc>
                <w:tcPr>
                  <w:tcW w:w="423"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TN</w:t>
                  </w:r>
                </w:p>
              </w:tc>
              <w:tc>
                <w:tcPr>
                  <w:tcW w:w="479"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TP</w:t>
                  </w:r>
                </w:p>
              </w:tc>
              <w:tc>
                <w:tcPr>
                  <w:tcW w:w="423"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动植物油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49" w:type="pct"/>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质检废水</w:t>
                  </w:r>
                </w:p>
              </w:tc>
              <w:tc>
                <w:tcPr>
                  <w:tcW w:w="498" w:type="pct"/>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632"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产生浓度(mg/L)</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250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180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25</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30</w:t>
                  </w:r>
                </w:p>
              </w:tc>
              <w:tc>
                <w:tcPr>
                  <w:tcW w:w="47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49"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98"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产生量(t/a)</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0.0025</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0.0018</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0.0015</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0.0003</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0.0003</w:t>
                  </w:r>
                </w:p>
              </w:tc>
              <w:tc>
                <w:tcPr>
                  <w:tcW w:w="47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0.00003</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49"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生活污水</w:t>
                  </w:r>
                </w:p>
              </w:tc>
              <w:tc>
                <w:tcPr>
                  <w:tcW w:w="498"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2950</w:t>
                  </w:r>
                </w:p>
              </w:tc>
              <w:tc>
                <w:tcPr>
                  <w:tcW w:w="6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产生浓度(mg/L)</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400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220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200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40</w:t>
                  </w:r>
                </w:p>
              </w:tc>
              <w:tc>
                <w:tcPr>
                  <w:tcW w:w="47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8</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49"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98"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产生量(t/a)</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1.180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0.649</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0.590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0.044</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0.118</w:t>
                  </w:r>
                </w:p>
              </w:tc>
              <w:tc>
                <w:tcPr>
                  <w:tcW w:w="47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0.024</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49"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合计</w:t>
                  </w:r>
                </w:p>
              </w:tc>
              <w:tc>
                <w:tcPr>
                  <w:tcW w:w="498"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2960</w:t>
                  </w:r>
                </w:p>
              </w:tc>
              <w:tc>
                <w:tcPr>
                  <w:tcW w:w="6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产生浓度(mg/L)</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399</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220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200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40</w:t>
                  </w:r>
                </w:p>
              </w:tc>
              <w:tc>
                <w:tcPr>
                  <w:tcW w:w="47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8</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49"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98"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产生量(t/a)</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1.183</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0.651</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0.592</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0.045</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0.118</w:t>
                  </w:r>
                </w:p>
              </w:tc>
              <w:tc>
                <w:tcPr>
                  <w:tcW w:w="47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0.024</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4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隔油、化粪池处理效率（%）</w:t>
                  </w:r>
                </w:p>
              </w:tc>
              <w:tc>
                <w:tcPr>
                  <w:tcW w:w="498"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c>
                <w:tcPr>
                  <w:tcW w:w="6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45</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45</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65</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47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49"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化粪池出水</w:t>
                  </w:r>
                </w:p>
              </w:tc>
              <w:tc>
                <w:tcPr>
                  <w:tcW w:w="498"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2960</w:t>
                  </w:r>
                </w:p>
              </w:tc>
              <w:tc>
                <w:tcPr>
                  <w:tcW w:w="6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排放浓度(mg/L)</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220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121</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70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14</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36</w:t>
                  </w:r>
                </w:p>
              </w:tc>
              <w:tc>
                <w:tcPr>
                  <w:tcW w:w="47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6</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49"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98"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排放量(t/a)</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0.650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0.358</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0.207</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0.040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0.106</w:t>
                  </w:r>
                </w:p>
              </w:tc>
              <w:tc>
                <w:tcPr>
                  <w:tcW w:w="47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0.019</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7" w:type="pct"/>
                  <w:gridSpan w:val="2"/>
                  <w:vAlign w:val="center"/>
                </w:tcPr>
                <w:p>
                  <w:pPr>
                    <w:widowControl/>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执行标准</w:t>
                  </w:r>
                </w:p>
              </w:tc>
              <w:tc>
                <w:tcPr>
                  <w:tcW w:w="6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浓度（mg/L）</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350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400</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45</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70</w:t>
                  </w:r>
                </w:p>
              </w:tc>
              <w:tc>
                <w:tcPr>
                  <w:tcW w:w="47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8</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7" w:type="pct"/>
                  <w:gridSpan w:val="2"/>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达标情况</w:t>
                  </w:r>
                </w:p>
              </w:tc>
              <w:tc>
                <w:tcPr>
                  <w:tcW w:w="63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47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423"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r>
          </w:tbl>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由上表可知，质检废水及生活污水经化粪池处理后，出水可达《食品加工制造业水污染物排放标准》（GB 46817—2025）间接排放标准</w:t>
            </w:r>
            <w:r>
              <w:rPr>
                <w:rFonts w:hint="default" w:ascii="Times New Roman" w:hAnsi="Times New Roman" w:eastAsia="宋体" w:cs="Times New Roman"/>
                <w:bCs/>
                <w:color w:val="auto"/>
                <w:sz w:val="24"/>
                <w:szCs w:val="24"/>
                <w:u w:val="none"/>
                <w:lang w:val="en-US" w:eastAsia="zh-CN"/>
              </w:rPr>
              <w:t>及湘阴第二污水处理厂进水水质要求</w:t>
            </w:r>
            <w:r>
              <w:rPr>
                <w:rFonts w:hint="default" w:ascii="Times New Roman" w:hAnsi="Times New Roman" w:eastAsia="宋体" w:cs="Times New Roman"/>
                <w:bCs/>
                <w:color w:val="auto"/>
                <w:sz w:val="24"/>
                <w:szCs w:val="24"/>
                <w:u w:val="none"/>
              </w:rPr>
              <w:t>。</w:t>
            </w:r>
          </w:p>
          <w:p>
            <w:pPr>
              <w:spacing w:line="360" w:lineRule="auto"/>
              <w:ind w:firstLine="482" w:firstLineChars="200"/>
              <w:contextualSpacing/>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4.3.2 废水处置去向</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本项目污水处理站出水及化粪池出水经厂区总排口DW001排入园区管网，进入湘阴县第二污水处理厂，处理达《城镇污水处理厂污染物排放标准》（GB 18918-2002）及其修改单一级A标准后排入洋沙湖闸外流入湘江。本项目污水最总排放情况如下：</w:t>
            </w:r>
          </w:p>
          <w:p>
            <w:pPr>
              <w:spacing w:line="360" w:lineRule="auto"/>
              <w:contextualSpacing/>
              <w:jc w:val="center"/>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表4.3-12 项目废水经湘阴县第二污水处理厂处理后排放情况</w:t>
            </w:r>
          </w:p>
          <w:tbl>
            <w:tblPr>
              <w:tblStyle w:val="27"/>
              <w:tblW w:w="9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927"/>
              <w:gridCol w:w="1202"/>
              <w:gridCol w:w="730"/>
              <w:gridCol w:w="783"/>
              <w:gridCol w:w="730"/>
              <w:gridCol w:w="730"/>
              <w:gridCol w:w="730"/>
              <w:gridCol w:w="832"/>
              <w:gridCol w:w="775"/>
              <w:gridCol w:w="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78"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类别</w:t>
                  </w:r>
                </w:p>
              </w:tc>
              <w:tc>
                <w:tcPr>
                  <w:tcW w:w="490"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废水量(m</w:t>
                  </w:r>
                  <w:r>
                    <w:rPr>
                      <w:rFonts w:hint="default" w:ascii="Times New Roman" w:hAnsi="Times New Roman" w:eastAsia="宋体" w:cs="Times New Roman"/>
                      <w:b/>
                      <w:color w:val="auto"/>
                      <w:sz w:val="21"/>
                      <w:szCs w:val="21"/>
                      <w:u w:val="none"/>
                      <w:vertAlign w:val="superscript"/>
                    </w:rPr>
                    <w:t>3</w:t>
                  </w:r>
                  <w:r>
                    <w:rPr>
                      <w:rFonts w:hint="default" w:ascii="Times New Roman" w:hAnsi="Times New Roman" w:eastAsia="宋体" w:cs="Times New Roman"/>
                      <w:b/>
                      <w:color w:val="auto"/>
                      <w:sz w:val="21"/>
                      <w:szCs w:val="21"/>
                      <w:u w:val="none"/>
                    </w:rPr>
                    <w:t>/a)</w:t>
                  </w:r>
                </w:p>
              </w:tc>
              <w:tc>
                <w:tcPr>
                  <w:tcW w:w="635"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项目</w:t>
                  </w:r>
                </w:p>
              </w:tc>
              <w:tc>
                <w:tcPr>
                  <w:tcW w:w="386"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COD</w:t>
                  </w:r>
                </w:p>
              </w:tc>
              <w:tc>
                <w:tcPr>
                  <w:tcW w:w="414"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BOD</w:t>
                  </w:r>
                  <w:r>
                    <w:rPr>
                      <w:rFonts w:hint="default" w:ascii="Times New Roman" w:hAnsi="Times New Roman" w:eastAsia="宋体" w:cs="Times New Roman"/>
                      <w:b/>
                      <w:color w:val="auto"/>
                      <w:sz w:val="21"/>
                      <w:szCs w:val="21"/>
                      <w:u w:val="none"/>
                      <w:vertAlign w:val="subscript"/>
                    </w:rPr>
                    <w:t>5</w:t>
                  </w:r>
                </w:p>
              </w:tc>
              <w:tc>
                <w:tcPr>
                  <w:tcW w:w="386"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SS</w:t>
                  </w:r>
                </w:p>
              </w:tc>
              <w:tc>
                <w:tcPr>
                  <w:tcW w:w="386"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氨氮</w:t>
                  </w:r>
                </w:p>
              </w:tc>
              <w:tc>
                <w:tcPr>
                  <w:tcW w:w="386"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TN</w:t>
                  </w:r>
                </w:p>
              </w:tc>
              <w:tc>
                <w:tcPr>
                  <w:tcW w:w="439"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TP</w:t>
                  </w:r>
                </w:p>
              </w:tc>
              <w:tc>
                <w:tcPr>
                  <w:tcW w:w="409"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动植物油</w:t>
                  </w:r>
                </w:p>
              </w:tc>
              <w:tc>
                <w:tcPr>
                  <w:tcW w:w="386" w:type="pc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全盐量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78" w:type="pct"/>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污水处理站出水</w:t>
                  </w:r>
                </w:p>
              </w:tc>
              <w:tc>
                <w:tcPr>
                  <w:tcW w:w="490" w:type="pct"/>
                  <w:vMerge w:val="restart"/>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rPr>
                    <w:t>7</w:t>
                  </w:r>
                  <w:r>
                    <w:rPr>
                      <w:rFonts w:hint="default" w:ascii="Times New Roman" w:hAnsi="Times New Roman" w:eastAsia="宋体" w:cs="Times New Roman"/>
                      <w:color w:val="auto"/>
                      <w:sz w:val="21"/>
                      <w:szCs w:val="21"/>
                      <w:u w:val="none"/>
                      <w:lang w:val="en-US" w:eastAsia="zh-CN"/>
                    </w:rPr>
                    <w:t>9800</w:t>
                  </w:r>
                </w:p>
              </w:tc>
              <w:tc>
                <w:tcPr>
                  <w:tcW w:w="635"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排放浓度(mg/L)</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300</w:t>
                  </w:r>
                </w:p>
              </w:tc>
              <w:tc>
                <w:tcPr>
                  <w:tcW w:w="414"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186</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94</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25</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36</w:t>
                  </w:r>
                </w:p>
              </w:tc>
              <w:tc>
                <w:tcPr>
                  <w:tcW w:w="43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6</w:t>
                  </w:r>
                </w:p>
              </w:tc>
              <w:tc>
                <w:tcPr>
                  <w:tcW w:w="40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8</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78"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90"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35"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排放量(t/a)</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23.97</w:t>
                  </w:r>
                </w:p>
              </w:tc>
              <w:tc>
                <w:tcPr>
                  <w:tcW w:w="414"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14.84</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7.54</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1.98</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2.84</w:t>
                  </w:r>
                </w:p>
              </w:tc>
              <w:tc>
                <w:tcPr>
                  <w:tcW w:w="43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0.45</w:t>
                  </w:r>
                </w:p>
              </w:tc>
              <w:tc>
                <w:tcPr>
                  <w:tcW w:w="40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0.62</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78"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化粪池出水</w:t>
                  </w:r>
                </w:p>
              </w:tc>
              <w:tc>
                <w:tcPr>
                  <w:tcW w:w="490"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2960</w:t>
                  </w:r>
                </w:p>
              </w:tc>
              <w:tc>
                <w:tcPr>
                  <w:tcW w:w="635"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排放浓度(mg/L)</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220</w:t>
                  </w:r>
                </w:p>
              </w:tc>
              <w:tc>
                <w:tcPr>
                  <w:tcW w:w="414"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121</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70</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14</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36</w:t>
                  </w:r>
                </w:p>
              </w:tc>
              <w:tc>
                <w:tcPr>
                  <w:tcW w:w="43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6</w:t>
                  </w:r>
                </w:p>
              </w:tc>
              <w:tc>
                <w:tcPr>
                  <w:tcW w:w="40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20</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78"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90"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35"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排放量(t/a)</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0.650</w:t>
                  </w:r>
                </w:p>
              </w:tc>
              <w:tc>
                <w:tcPr>
                  <w:tcW w:w="414"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0.358</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0.207</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0.040</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0.106</w:t>
                  </w:r>
                </w:p>
              </w:tc>
              <w:tc>
                <w:tcPr>
                  <w:tcW w:w="43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0.019</w:t>
                  </w:r>
                </w:p>
              </w:tc>
              <w:tc>
                <w:tcPr>
                  <w:tcW w:w="40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0.059</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78" w:type="pct"/>
                  <w:vMerge w:val="restar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经湘阴县第二污水处理厂处理后</w:t>
                  </w:r>
                </w:p>
              </w:tc>
              <w:tc>
                <w:tcPr>
                  <w:tcW w:w="490" w:type="pct"/>
                  <w:vMerge w:val="restart"/>
                  <w:vAlign w:val="center"/>
                </w:tcPr>
                <w:p>
                  <w:pPr>
                    <w:widowControl/>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82760</w:t>
                  </w:r>
                </w:p>
              </w:tc>
              <w:tc>
                <w:tcPr>
                  <w:tcW w:w="635"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排放浓度(mg/L)</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w:t>
                  </w:r>
                </w:p>
              </w:tc>
              <w:tc>
                <w:tcPr>
                  <w:tcW w:w="414"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w:t>
                  </w:r>
                </w:p>
              </w:tc>
              <w:tc>
                <w:tcPr>
                  <w:tcW w:w="43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0.5</w:t>
                  </w:r>
                </w:p>
              </w:tc>
              <w:tc>
                <w:tcPr>
                  <w:tcW w:w="40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78"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490" w:type="pct"/>
                  <w:vMerge w:val="continue"/>
                  <w:vAlign w:val="center"/>
                </w:tcPr>
                <w:p>
                  <w:pPr>
                    <w:widowControl/>
                    <w:jc w:val="center"/>
                    <w:rPr>
                      <w:rFonts w:hint="default" w:ascii="Times New Roman" w:hAnsi="Times New Roman" w:eastAsia="宋体" w:cs="Times New Roman"/>
                      <w:color w:val="auto"/>
                      <w:sz w:val="21"/>
                      <w:szCs w:val="21"/>
                      <w:u w:val="none"/>
                    </w:rPr>
                  </w:pPr>
                </w:p>
              </w:tc>
              <w:tc>
                <w:tcPr>
                  <w:tcW w:w="635"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排放量(t/a)</w:t>
                  </w:r>
                </w:p>
              </w:tc>
              <w:tc>
                <w:tcPr>
                  <w:tcW w:w="386" w:type="pct"/>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4.14</w:t>
                  </w:r>
                </w:p>
              </w:tc>
              <w:tc>
                <w:tcPr>
                  <w:tcW w:w="414" w:type="pct"/>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0.83</w:t>
                  </w:r>
                </w:p>
              </w:tc>
              <w:tc>
                <w:tcPr>
                  <w:tcW w:w="386" w:type="pct"/>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0.83</w:t>
                  </w:r>
                </w:p>
              </w:tc>
              <w:tc>
                <w:tcPr>
                  <w:tcW w:w="386" w:type="pct"/>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0.41</w:t>
                  </w:r>
                </w:p>
              </w:tc>
              <w:tc>
                <w:tcPr>
                  <w:tcW w:w="386" w:type="pct"/>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1.24</w:t>
                  </w:r>
                </w:p>
              </w:tc>
              <w:tc>
                <w:tcPr>
                  <w:tcW w:w="439" w:type="pct"/>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0.04</w:t>
                  </w:r>
                </w:p>
              </w:tc>
              <w:tc>
                <w:tcPr>
                  <w:tcW w:w="409" w:type="pct"/>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0.08</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168" w:type="pct"/>
                  <w:gridSpan w:val="2"/>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GB 18918-2002及其修改单一级A标准</w:t>
                  </w:r>
                </w:p>
              </w:tc>
              <w:tc>
                <w:tcPr>
                  <w:tcW w:w="635"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浓度（mg/L）</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w:t>
                  </w:r>
                </w:p>
              </w:tc>
              <w:tc>
                <w:tcPr>
                  <w:tcW w:w="414"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5(8)</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w:t>
                  </w:r>
                </w:p>
              </w:tc>
              <w:tc>
                <w:tcPr>
                  <w:tcW w:w="43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0.5</w:t>
                  </w:r>
                </w:p>
              </w:tc>
              <w:tc>
                <w:tcPr>
                  <w:tcW w:w="40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w:t>
                  </w:r>
                </w:p>
              </w:tc>
              <w:tc>
                <w:tcPr>
                  <w:tcW w:w="38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r>
          </w:tbl>
          <w:p>
            <w:pPr>
              <w:tabs>
                <w:tab w:val="left" w:pos="539"/>
              </w:tabs>
              <w:snapToGrid w:val="0"/>
              <w:spacing w:line="360" w:lineRule="auto"/>
              <w:ind w:firstLine="472" w:firstLineChars="196"/>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4.3.3 废水处理设施可行性分析</w:t>
            </w:r>
          </w:p>
          <w:p>
            <w:pPr>
              <w:tabs>
                <w:tab w:val="left" w:pos="539"/>
              </w:tabs>
              <w:snapToGrid w:val="0"/>
              <w:spacing w:line="360" w:lineRule="auto"/>
              <w:ind w:firstLine="472" w:firstLineChars="196"/>
              <w:jc w:val="left"/>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（1）生产废水经污水处理站处理可行性分析</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生产工艺废水，生产设备、器具、车间地面清洁废水，除臭设施废水、蒸汽发生器排污水、纯水制备废水一同经厂区污水处理站处理后排入园区管网。</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①处理规模：由水平衡分析可知，生产综合废水量为</w:t>
            </w:r>
            <w:r>
              <w:rPr>
                <w:rFonts w:hint="default" w:ascii="Times New Roman" w:hAnsi="Times New Roman" w:eastAsia="宋体" w:cs="Times New Roman"/>
                <w:bCs/>
                <w:color w:val="auto"/>
                <w:sz w:val="24"/>
                <w:szCs w:val="24"/>
                <w:u w:val="none"/>
                <w:lang w:val="en-US" w:eastAsia="zh-CN"/>
              </w:rPr>
              <w:t>319.2</w:t>
            </w:r>
            <w:r>
              <w:rPr>
                <w:rFonts w:hint="default" w:ascii="Times New Roman" w:hAnsi="Times New Roman" w:eastAsia="宋体" w:cs="Times New Roman"/>
                <w:bCs/>
                <w:color w:val="auto"/>
                <w:sz w:val="24"/>
                <w:szCs w:val="24"/>
                <w:u w:val="none"/>
              </w:rPr>
              <w:t>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w:t>
            </w:r>
            <w:r>
              <w:rPr>
                <w:rFonts w:hint="default" w:ascii="Times New Roman" w:hAnsi="Times New Roman" w:eastAsia="宋体" w:cs="Times New Roman"/>
                <w:bCs/>
                <w:color w:val="auto"/>
                <w:sz w:val="24"/>
                <w:szCs w:val="24"/>
                <w:u w:val="none"/>
              </w:rPr>
              <w:t>，考虑后续扩建需求，污水处理站设计处理能力为360m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②处理工艺及处理效果：污水处理站采用“</w:t>
            </w:r>
            <w:r>
              <w:rPr>
                <w:rFonts w:hint="eastAsia" w:ascii="Times New Roman" w:hAnsi="Times New Roman" w:eastAsia="宋体" w:cs="Times New Roman"/>
                <w:bCs/>
                <w:color w:val="auto"/>
                <w:sz w:val="24"/>
                <w:szCs w:val="24"/>
                <w:u w:val="none"/>
                <w:lang w:eastAsia="zh-CN"/>
              </w:rPr>
              <w:t>格栅+隔油+调节+气浮</w:t>
            </w:r>
            <w:r>
              <w:rPr>
                <w:rFonts w:hint="default" w:ascii="Times New Roman" w:hAnsi="Times New Roman" w:eastAsia="宋体" w:cs="Times New Roman"/>
                <w:bCs/>
                <w:color w:val="auto"/>
                <w:sz w:val="24"/>
                <w:szCs w:val="24"/>
                <w:u w:val="none"/>
                <w:lang w:eastAsia="zh-CN"/>
              </w:rPr>
              <w:t>+A</w:t>
            </w:r>
            <w:r>
              <w:rPr>
                <w:rFonts w:hint="default" w:ascii="Times New Roman" w:hAnsi="Times New Roman" w:eastAsia="宋体" w:cs="Times New Roman"/>
                <w:bCs/>
                <w:color w:val="auto"/>
                <w:sz w:val="24"/>
                <w:szCs w:val="24"/>
                <w:u w:val="none"/>
                <w:vertAlign w:val="superscript"/>
                <w:lang w:eastAsia="zh-CN"/>
              </w:rPr>
              <w:t>2</w:t>
            </w:r>
            <w:r>
              <w:rPr>
                <w:rFonts w:hint="default" w:ascii="Times New Roman" w:hAnsi="Times New Roman" w:eastAsia="宋体" w:cs="Times New Roman"/>
                <w:bCs/>
                <w:color w:val="auto"/>
                <w:sz w:val="24"/>
                <w:szCs w:val="24"/>
                <w:u w:val="none"/>
                <w:lang w:eastAsia="zh-CN"/>
              </w:rPr>
              <w:t>O+二沉</w:t>
            </w:r>
            <w:r>
              <w:rPr>
                <w:rFonts w:hint="default" w:ascii="Times New Roman" w:hAnsi="Times New Roman" w:eastAsia="宋体" w:cs="Times New Roman"/>
                <w:bCs/>
                <w:color w:val="auto"/>
                <w:sz w:val="24"/>
                <w:szCs w:val="24"/>
                <w:u w:val="none"/>
              </w:rPr>
              <w:t>”处理工艺，工艺流程图如下：</w:t>
            </w:r>
          </w:p>
          <w:p>
            <w:pPr>
              <w:tabs>
                <w:tab w:val="left" w:pos="539"/>
              </w:tabs>
              <w:snapToGrid w:val="0"/>
              <w:spacing w:line="360" w:lineRule="auto"/>
              <w:jc w:val="center"/>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object>
                <v:shape id="_x0000_i1036" o:spt="75" type="#_x0000_t75" style="height:346.6pt;width:288.1pt;" o:ole="t" filled="f" o:preferrelative="t" stroked="f" coordsize="21600,21600">
                  <v:path/>
                  <v:fill on="f" focussize="0,0"/>
                  <v:stroke on="f"/>
                  <v:imagedata r:id="rId31" o:title=""/>
                  <o:lock v:ext="edit" aspectratio="f"/>
                  <w10:wrap type="none"/>
                  <w10:anchorlock/>
                </v:shape>
                <o:OLEObject Type="Embed" ProgID="Visio.Drawing.15" ShapeID="_x0000_i1036" DrawAspect="Content" ObjectID="_1468075736" r:id="rId30">
                  <o:LockedField>false</o:LockedField>
                </o:OLEObject>
              </w:object>
            </w:r>
          </w:p>
          <w:p>
            <w:pPr>
              <w:tabs>
                <w:tab w:val="left" w:pos="539"/>
              </w:tabs>
              <w:snapToGrid w:val="0"/>
              <w:spacing w:line="360" w:lineRule="auto"/>
              <w:jc w:val="center"/>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图4.3-1 污水处理站工艺流程图</w:t>
            </w:r>
          </w:p>
          <w:p>
            <w:pPr>
              <w:tabs>
                <w:tab w:val="left" w:pos="539"/>
              </w:tabs>
              <w:snapToGrid w:val="0"/>
              <w:spacing w:line="360" w:lineRule="auto"/>
              <w:ind w:firstLine="472" w:firstLineChars="196"/>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工艺流程简介：</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lang w:val="en-US" w:eastAsia="zh-CN"/>
              </w:rPr>
            </w:pPr>
            <w:r>
              <w:rPr>
                <w:rFonts w:hint="default" w:ascii="Times New Roman" w:hAnsi="Times New Roman" w:eastAsia="宋体" w:cs="Times New Roman"/>
                <w:bCs/>
                <w:color w:val="auto"/>
                <w:sz w:val="24"/>
                <w:szCs w:val="24"/>
                <w:u w:val="none"/>
                <w:lang w:val="en-US" w:eastAsia="zh-CN"/>
              </w:rPr>
              <w:t>格栅：车间产生的废水自流入格栅池，格栅可防治悬浮物及辣椒籽等堵塞废水提升泵和气浮设备。</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lang w:val="en-US" w:eastAsia="zh-CN"/>
              </w:rPr>
            </w:pPr>
            <w:r>
              <w:rPr>
                <w:rFonts w:hint="eastAsia" w:ascii="Times New Roman" w:hAnsi="Times New Roman" w:eastAsia="宋体" w:cs="Times New Roman"/>
                <w:bCs/>
                <w:color w:val="auto"/>
                <w:sz w:val="24"/>
                <w:szCs w:val="24"/>
                <w:u w:val="none"/>
                <w:lang w:val="en-US" w:eastAsia="zh-CN"/>
              </w:rPr>
              <w:t>隔油池：格栅池的废水自流入初沉隔油池隔除浮油。</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lang w:val="en-US" w:eastAsia="zh-CN"/>
              </w:rPr>
            </w:pPr>
            <w:r>
              <w:rPr>
                <w:rFonts w:hint="default" w:ascii="Times New Roman" w:hAnsi="Times New Roman" w:eastAsia="宋体" w:cs="Times New Roman"/>
                <w:bCs/>
                <w:color w:val="auto"/>
                <w:sz w:val="24"/>
                <w:szCs w:val="24"/>
                <w:u w:val="none"/>
                <w:lang w:val="en-US" w:eastAsia="zh-CN"/>
              </w:rPr>
              <w:t>调节池：调节池主要对废水起到均化水质和均化水量的作用。也可以是生产厂区在发生事故、检修等特殊情况下，暂时贮存排除废液的水池。</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lang w:val="en-US" w:eastAsia="zh-CN"/>
              </w:rPr>
            </w:pPr>
            <w:r>
              <w:rPr>
                <w:rFonts w:hint="default" w:ascii="Times New Roman" w:hAnsi="Times New Roman" w:eastAsia="宋体" w:cs="Times New Roman"/>
                <w:bCs/>
                <w:color w:val="auto"/>
                <w:sz w:val="24"/>
                <w:szCs w:val="24"/>
                <w:u w:val="none"/>
                <w:lang w:val="en-US" w:eastAsia="zh-CN"/>
              </w:rPr>
              <w:t>气浮池：气浮主要对废水中的浮油、细小悬浮物、部分可被絮凝剂捕捉的有机物进行沉淀去除，采用气浮机设备。</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lang w:val="en-US" w:eastAsia="zh-CN"/>
              </w:rPr>
            </w:pPr>
            <w:r>
              <w:rPr>
                <w:rFonts w:hint="default" w:ascii="Times New Roman" w:hAnsi="Times New Roman" w:eastAsia="宋体" w:cs="Times New Roman"/>
                <w:bCs/>
                <w:color w:val="auto"/>
                <w:sz w:val="24"/>
                <w:szCs w:val="24"/>
                <w:u w:val="none"/>
                <w:lang w:val="en-US" w:eastAsia="zh-CN"/>
              </w:rPr>
              <w:t>中间池：对气浮池出水进行收集处理，均匀配水。</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lang w:val="en-US" w:eastAsia="zh-CN"/>
              </w:rPr>
            </w:pPr>
            <w:r>
              <w:rPr>
                <w:rFonts w:hint="default" w:ascii="Times New Roman" w:hAnsi="Times New Roman" w:eastAsia="宋体" w:cs="Times New Roman"/>
                <w:bCs/>
                <w:color w:val="auto"/>
                <w:sz w:val="24"/>
                <w:szCs w:val="24"/>
                <w:u w:val="none"/>
                <w:lang w:val="en-US" w:eastAsia="zh-CN"/>
              </w:rPr>
              <w:t>ABR厌氧池：主要对废水进行厌氧生化处理。将废水中有机质进行水解酸化和甲烷化去除生成甲烷，废水中总氮水解成氨氮，硝酸盐氮在反硝化菌作用下反应生成氮气。</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lang w:val="en-US" w:eastAsia="zh-CN"/>
              </w:rPr>
            </w:pPr>
            <w:r>
              <w:rPr>
                <w:rFonts w:hint="default" w:ascii="Times New Roman" w:hAnsi="Times New Roman" w:eastAsia="宋体" w:cs="Times New Roman"/>
                <w:bCs/>
                <w:color w:val="auto"/>
                <w:sz w:val="24"/>
                <w:szCs w:val="24"/>
                <w:u w:val="none"/>
                <w:lang w:val="en-US" w:eastAsia="zh-CN"/>
              </w:rPr>
              <w:t>缺氧池：主要对废水进行缺氧反硝化处理，降低有机质和氨氮。</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lang w:val="en-US" w:eastAsia="zh-CN"/>
              </w:rPr>
            </w:pPr>
            <w:r>
              <w:rPr>
                <w:rFonts w:hint="default" w:ascii="Times New Roman" w:hAnsi="Times New Roman" w:eastAsia="宋体" w:cs="Times New Roman"/>
                <w:bCs/>
                <w:color w:val="auto"/>
                <w:sz w:val="24"/>
                <w:szCs w:val="24"/>
                <w:u w:val="none"/>
                <w:lang w:val="en-US" w:eastAsia="zh-CN"/>
              </w:rPr>
              <w:t>好氧池：主要对废水进行一级好氧处理，进一步去除有机质。</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lang w:val="en-US" w:eastAsia="zh-CN"/>
              </w:rPr>
            </w:pPr>
            <w:r>
              <w:rPr>
                <w:rFonts w:hint="default" w:ascii="Times New Roman" w:hAnsi="Times New Roman" w:eastAsia="宋体" w:cs="Times New Roman"/>
                <w:bCs/>
                <w:color w:val="auto"/>
                <w:sz w:val="24"/>
                <w:szCs w:val="24"/>
                <w:u w:val="none"/>
                <w:lang w:val="en-US" w:eastAsia="zh-CN"/>
              </w:rPr>
              <w:t>二沉池：存放好氧池出水，进一步净化出水。</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lang w:val="en-US" w:eastAsia="zh-CN"/>
              </w:rPr>
            </w:pPr>
            <w:r>
              <w:rPr>
                <w:rFonts w:hint="default" w:ascii="Times New Roman" w:hAnsi="Times New Roman" w:eastAsia="宋体" w:cs="Times New Roman"/>
                <w:bCs/>
                <w:color w:val="auto"/>
                <w:sz w:val="24"/>
                <w:szCs w:val="24"/>
                <w:u w:val="none"/>
                <w:lang w:val="en-US" w:eastAsia="zh-CN"/>
              </w:rPr>
              <w:t>污泥浓缩池：存放污泥，利用重力作用进行初步污泥脱水。</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lang w:val="en-US" w:eastAsia="zh-CN"/>
              </w:rPr>
              <w:t>污泥脱水：浓缩污泥采用叠螺机</w:t>
            </w:r>
            <w:r>
              <w:rPr>
                <w:rFonts w:hint="default" w:ascii="Times New Roman" w:hAnsi="Times New Roman" w:eastAsia="宋体" w:cs="Times New Roman"/>
                <w:bCs/>
                <w:color w:val="auto"/>
                <w:sz w:val="24"/>
                <w:szCs w:val="24"/>
                <w:u w:val="none"/>
              </w:rPr>
              <w:t>进行脱水。干泥人工清理装袋，滤液流回废水调节池。</w:t>
            </w:r>
          </w:p>
          <w:p>
            <w:pPr>
              <w:spacing w:line="360" w:lineRule="auto"/>
              <w:ind w:firstLine="480" w:firstLineChars="200"/>
              <w:contextualSpacing/>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由前文分析可知，各类生产废水统一经污水处理站处理后，出水可达《食品加工制造业水污染物排放标准》（GB 46817—2025）间接排放标准</w:t>
            </w:r>
            <w:r>
              <w:rPr>
                <w:rFonts w:hint="default" w:ascii="Times New Roman" w:hAnsi="Times New Roman" w:eastAsia="宋体" w:cs="Times New Roman"/>
                <w:bCs/>
                <w:color w:val="auto"/>
                <w:sz w:val="24"/>
                <w:szCs w:val="24"/>
                <w:u w:val="none"/>
                <w:lang w:val="en-US" w:eastAsia="zh-CN"/>
              </w:rPr>
              <w:t>及湘阴县第二污水处理厂进水水质要求</w:t>
            </w:r>
            <w:r>
              <w:rPr>
                <w:rFonts w:hint="default" w:ascii="Times New Roman" w:hAnsi="Times New Roman" w:eastAsia="宋体" w:cs="Times New Roman"/>
                <w:bCs/>
                <w:color w:val="auto"/>
                <w:sz w:val="24"/>
                <w:szCs w:val="24"/>
                <w:u w:val="none"/>
              </w:rPr>
              <w:t>。</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③可行技术分析：参照《排污许可证申请与核发技术规范食品制造工业一调味品、发酵制品制造工业》（HJ 1030.2-2019）废水污染防治可行技术，可行技术与本项目采取技术对比分析如下：</w:t>
            </w:r>
          </w:p>
          <w:p>
            <w:pPr>
              <w:tabs>
                <w:tab w:val="left" w:pos="539"/>
              </w:tabs>
              <w:snapToGrid w:val="0"/>
              <w:spacing w:line="360" w:lineRule="auto"/>
              <w:jc w:val="center"/>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表4.3-13 污水处理工艺可行技术分析</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2"/>
              <w:gridCol w:w="1990"/>
              <w:gridCol w:w="822"/>
              <w:gridCol w:w="2143"/>
              <w:gridCol w:w="1476"/>
              <w:gridCol w:w="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805" w:type="pct"/>
                  <w:gridSpan w:val="4"/>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《排污许可证申请与核发技术规范 食品制造工业一调味品、发酵制品制造工业》（HJ 1030.2-2019）废水污染防治可行技术</w:t>
                  </w:r>
                </w:p>
              </w:tc>
              <w:tc>
                <w:tcPr>
                  <w:tcW w:w="788" w:type="pct"/>
                  <w:vMerge w:val="restar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本项目情况</w:t>
                  </w:r>
                </w:p>
              </w:tc>
              <w:tc>
                <w:tcPr>
                  <w:tcW w:w="406" w:type="pct"/>
                  <w:vMerge w:val="restart"/>
                  <w:vAlign w:val="center"/>
                </w:tcPr>
                <w:p>
                  <w:pPr>
                    <w:widowControl/>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是否为可行技术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15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废水类别</w:t>
                  </w:r>
                </w:p>
              </w:tc>
              <w:tc>
                <w:tcPr>
                  <w:tcW w:w="1062"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污染控制项目</w:t>
                  </w:r>
                </w:p>
              </w:tc>
              <w:tc>
                <w:tcPr>
                  <w:tcW w:w="438"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排放去向</w:t>
                  </w:r>
                </w:p>
              </w:tc>
              <w:tc>
                <w:tcPr>
                  <w:tcW w:w="114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可行技术（一般排污单位）</w:t>
                  </w:r>
                </w:p>
              </w:tc>
              <w:tc>
                <w:tcPr>
                  <w:tcW w:w="788" w:type="pct"/>
                  <w:vMerge w:val="continue"/>
                  <w:vAlign w:val="center"/>
                </w:tcPr>
                <w:p>
                  <w:pPr>
                    <w:jc w:val="center"/>
                    <w:rPr>
                      <w:rFonts w:hint="default" w:ascii="Times New Roman" w:hAnsi="Times New Roman" w:eastAsia="宋体" w:cs="Times New Roman"/>
                      <w:color w:val="auto"/>
                      <w:sz w:val="21"/>
                      <w:szCs w:val="21"/>
                      <w:u w:val="none"/>
                    </w:rPr>
                  </w:pPr>
                </w:p>
              </w:tc>
              <w:tc>
                <w:tcPr>
                  <w:tcW w:w="406" w:type="pct"/>
                  <w:vMerge w:val="continue"/>
                  <w:vAlign w:val="center"/>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159"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厂内综合污水站的综合污水（除柠檬酸、味精、酵母制造以外的其他制造）</w:t>
                  </w:r>
                </w:p>
              </w:tc>
              <w:tc>
                <w:tcPr>
                  <w:tcW w:w="1062"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pH值、CODcr、氨氮、SS、BOD</w:t>
                  </w:r>
                  <w:r>
                    <w:rPr>
                      <w:rFonts w:hint="default" w:ascii="Times New Roman" w:hAnsi="Times New Roman" w:eastAsia="宋体" w:cs="Times New Roman"/>
                      <w:color w:val="auto"/>
                      <w:sz w:val="21"/>
                      <w:szCs w:val="21"/>
                      <w:u w:val="none"/>
                      <w:vertAlign w:val="subscript"/>
                    </w:rPr>
                    <w:t>5</w:t>
                  </w:r>
                  <w:r>
                    <w:rPr>
                      <w:rFonts w:hint="default" w:ascii="Times New Roman" w:hAnsi="Times New Roman" w:eastAsia="宋体" w:cs="Times New Roman"/>
                      <w:color w:val="auto"/>
                      <w:sz w:val="21"/>
                      <w:szCs w:val="21"/>
                      <w:u w:val="none"/>
                    </w:rPr>
                    <w:t>、总磷、色度、动植物油</w:t>
                  </w:r>
                </w:p>
              </w:tc>
              <w:tc>
                <w:tcPr>
                  <w:tcW w:w="438"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间接排放</w:t>
                  </w:r>
                </w:p>
              </w:tc>
              <w:tc>
                <w:tcPr>
                  <w:tcW w:w="1144"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1)预处理:粗(细)格栅;调节;酸化;沉淀;气浮。</w:t>
                  </w:r>
                </w:p>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2)生化处理:厌氧处理(UASB、IC反应器等)+好氧处理。</w:t>
                  </w:r>
                </w:p>
              </w:tc>
              <w:tc>
                <w:tcPr>
                  <w:tcW w:w="788"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1）预处理：</w:t>
                  </w:r>
                  <w:r>
                    <w:rPr>
                      <w:rFonts w:hint="eastAsia" w:ascii="Times New Roman" w:hAnsi="Times New Roman" w:eastAsia="宋体" w:cs="Times New Roman"/>
                      <w:color w:val="auto"/>
                      <w:sz w:val="21"/>
                      <w:szCs w:val="21"/>
                      <w:u w:val="none"/>
                      <w:lang w:eastAsia="zh-CN"/>
                    </w:rPr>
                    <w:t>格栅+隔油+调节+气浮</w:t>
                  </w:r>
                  <w:r>
                    <w:rPr>
                      <w:rFonts w:hint="default" w:ascii="Times New Roman" w:hAnsi="Times New Roman" w:eastAsia="宋体" w:cs="Times New Roman"/>
                      <w:color w:val="auto"/>
                      <w:sz w:val="21"/>
                      <w:szCs w:val="21"/>
                      <w:u w:val="none"/>
                    </w:rPr>
                    <w:t>。</w:t>
                  </w:r>
                </w:p>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2）生化处理：厌氧+</w:t>
                  </w:r>
                  <w:r>
                    <w:rPr>
                      <w:rFonts w:hint="default" w:ascii="Times New Roman" w:hAnsi="Times New Roman" w:eastAsia="宋体" w:cs="Times New Roman"/>
                      <w:color w:val="auto"/>
                      <w:sz w:val="21"/>
                      <w:szCs w:val="21"/>
                      <w:u w:val="none"/>
                      <w:lang w:val="en-US" w:eastAsia="zh-CN"/>
                    </w:rPr>
                    <w:t>缺氧+</w:t>
                  </w:r>
                  <w:r>
                    <w:rPr>
                      <w:rFonts w:hint="default" w:ascii="Times New Roman" w:hAnsi="Times New Roman" w:eastAsia="宋体" w:cs="Times New Roman"/>
                      <w:color w:val="auto"/>
                      <w:sz w:val="21"/>
                      <w:szCs w:val="21"/>
                      <w:u w:val="none"/>
                    </w:rPr>
                    <w:t>好氧。</w:t>
                  </w:r>
                </w:p>
              </w:tc>
              <w:tc>
                <w:tcPr>
                  <w:tcW w:w="406" w:type="pct"/>
                  <w:vAlign w:val="center"/>
                </w:tcPr>
                <w:p>
                  <w:pPr>
                    <w:widowControl/>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是</w:t>
                  </w:r>
                </w:p>
              </w:tc>
            </w:tr>
          </w:tbl>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综上分析可知，本项目污水处理站设计规模满足项目废水处理需求，处理后出水预计可达《食品加工制造业水污染物排放标准》（GB 46817—2025）间接排放标准</w:t>
            </w:r>
            <w:r>
              <w:rPr>
                <w:rFonts w:hint="default" w:ascii="Times New Roman" w:hAnsi="Times New Roman" w:eastAsia="宋体" w:cs="Times New Roman"/>
                <w:bCs/>
                <w:color w:val="auto"/>
                <w:sz w:val="24"/>
                <w:szCs w:val="24"/>
                <w:u w:val="none"/>
                <w:lang w:val="en-US" w:eastAsia="zh-CN"/>
              </w:rPr>
              <w:t>及湘阴县第二污水处理厂进水水质要求</w:t>
            </w:r>
            <w:r>
              <w:rPr>
                <w:rFonts w:hint="default" w:ascii="Times New Roman" w:hAnsi="Times New Roman" w:eastAsia="宋体" w:cs="Times New Roman"/>
                <w:bCs/>
                <w:color w:val="auto"/>
                <w:sz w:val="24"/>
                <w:szCs w:val="24"/>
                <w:u w:val="none"/>
              </w:rPr>
              <w:t>，所用工艺技术为排污许可规范中推荐的可行技术，因此生产废水处理措施可行。</w:t>
            </w:r>
          </w:p>
          <w:p>
            <w:pPr>
              <w:tabs>
                <w:tab w:val="left" w:pos="539"/>
              </w:tabs>
              <w:snapToGrid w:val="0"/>
              <w:spacing w:line="360" w:lineRule="auto"/>
              <w:ind w:firstLine="472" w:firstLineChars="196"/>
              <w:jc w:val="left"/>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（2）质检废水、生活污水处理可行性分析</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本质检废水产生量为0.04m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/d（10m</w:t>
            </w:r>
            <w:r>
              <w:rPr>
                <w:rFonts w:hint="default" w:ascii="Times New Roman" w:hAnsi="Times New Roman" w:eastAsia="宋体" w:cs="Times New Roman"/>
                <w:bCs/>
                <w:color w:val="auto"/>
                <w:sz w:val="24"/>
                <w:szCs w:val="24"/>
                <w:u w:val="none"/>
                <w:vertAlign w:val="superscript"/>
              </w:rPr>
              <w:t>3</w:t>
            </w:r>
            <w:r>
              <w:rPr>
                <w:rFonts w:hint="default" w:ascii="Times New Roman" w:hAnsi="Times New Roman" w:eastAsia="宋体" w:cs="Times New Roman"/>
                <w:bCs/>
                <w:color w:val="auto"/>
                <w:sz w:val="24"/>
                <w:szCs w:val="24"/>
                <w:u w:val="none"/>
              </w:rPr>
              <w:t>/a），质检废水量很小，且不含重金属等有毒有害物质，与生活污水一同经化粪池处理，食堂废水经隔油池+化粪池处理，经DW001排污口排入园区管网，化粪池主要采用厌氧发酵/沉淀工艺，该工艺对污水中的化学需氧量、生化需氧量、氨氮以及悬浮物均有一定的处理效率，根据前文计算可知，出水的水质可满足《食品加工制造业水污染物排放标准》（GB 46817—2025）间接排放标准</w:t>
            </w:r>
            <w:r>
              <w:rPr>
                <w:rFonts w:hint="default" w:ascii="Times New Roman" w:hAnsi="Times New Roman" w:eastAsia="宋体" w:cs="Times New Roman"/>
                <w:bCs/>
                <w:color w:val="auto"/>
                <w:sz w:val="24"/>
                <w:szCs w:val="24"/>
                <w:u w:val="none"/>
                <w:lang w:val="en-US" w:eastAsia="zh-CN"/>
              </w:rPr>
              <w:t>及湘阴县第二污水处理厂进水水质要求</w:t>
            </w:r>
            <w:r>
              <w:rPr>
                <w:rFonts w:hint="default" w:ascii="Times New Roman" w:hAnsi="Times New Roman" w:eastAsia="宋体" w:cs="Times New Roman"/>
                <w:bCs/>
                <w:color w:val="auto"/>
                <w:sz w:val="24"/>
                <w:szCs w:val="24"/>
                <w:u w:val="none"/>
              </w:rPr>
              <w:t>，故生活污水经化粪池处理可行。</w:t>
            </w:r>
          </w:p>
          <w:p>
            <w:pPr>
              <w:tabs>
                <w:tab w:val="left" w:pos="539"/>
              </w:tabs>
              <w:snapToGrid w:val="0"/>
              <w:spacing w:line="360" w:lineRule="auto"/>
              <w:ind w:firstLine="472" w:firstLineChars="196"/>
              <w:jc w:val="left"/>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（3）废水处理依托可行性分析</w:t>
            </w:r>
          </w:p>
          <w:p>
            <w:pPr>
              <w:adjustRightInd w:val="0"/>
              <w:snapToGrid w:val="0"/>
              <w:spacing w:line="360" w:lineRule="auto"/>
              <w:ind w:firstLine="480" w:firstLineChars="200"/>
              <w:textAlignment w:val="baseline"/>
              <w:rPr>
                <w:rFonts w:hint="default" w:ascii="Times New Roman" w:hAnsi="Times New Roman" w:eastAsia="宋体" w:cs="Times New Roman"/>
                <w:color w:val="auto"/>
                <w:kern w:val="24"/>
                <w:sz w:val="24"/>
                <w:szCs w:val="24"/>
                <w:u w:val="none"/>
              </w:rPr>
            </w:pPr>
            <w:r>
              <w:rPr>
                <w:rFonts w:hint="default" w:ascii="Times New Roman" w:hAnsi="Times New Roman" w:eastAsia="宋体" w:cs="Times New Roman"/>
                <w:color w:val="auto"/>
                <w:kern w:val="24"/>
                <w:sz w:val="24"/>
                <w:szCs w:val="24"/>
                <w:u w:val="none"/>
              </w:rPr>
              <w:t>本项目废水经预处理后由园区管网排入湘阴县第二污水处理厂，湘阴县第二污水处理厂于2016年11月建成运行。2018年4月，原岳阳市环保局对湘阴县第二污水处理厂提标改造工程进行了批复，根据批复，湘阴县第二污水处理厂提标改造工程设计规模为1万m</w:t>
            </w:r>
            <w:r>
              <w:rPr>
                <w:rFonts w:hint="default" w:ascii="Times New Roman" w:hAnsi="Times New Roman" w:eastAsia="宋体" w:cs="Times New Roman"/>
                <w:color w:val="auto"/>
                <w:kern w:val="24"/>
                <w:sz w:val="24"/>
                <w:szCs w:val="24"/>
                <w:u w:val="none"/>
                <w:vertAlign w:val="superscript"/>
              </w:rPr>
              <w:t>3</w:t>
            </w:r>
            <w:r>
              <w:rPr>
                <w:rFonts w:hint="default" w:ascii="Times New Roman" w:hAnsi="Times New Roman" w:eastAsia="宋体" w:cs="Times New Roman"/>
                <w:color w:val="auto"/>
                <w:kern w:val="24"/>
                <w:sz w:val="24"/>
                <w:szCs w:val="24"/>
                <w:u w:val="none"/>
              </w:rPr>
              <w:t>/d，目前提标改造工程已建设完成。本项目依托污水处理厂的可行性分析基于污水厂提标改造后进行分析。</w:t>
            </w:r>
          </w:p>
          <w:p>
            <w:pPr>
              <w:adjustRightInd w:val="0"/>
              <w:snapToGrid w:val="0"/>
              <w:spacing w:line="360" w:lineRule="auto"/>
              <w:ind w:firstLine="482"/>
              <w:textAlignment w:val="baseline"/>
              <w:rPr>
                <w:rFonts w:hint="default" w:ascii="Times New Roman" w:hAnsi="Times New Roman" w:eastAsia="宋体" w:cs="Times New Roman"/>
                <w:color w:val="auto"/>
                <w:kern w:val="24"/>
                <w:sz w:val="24"/>
                <w:szCs w:val="24"/>
                <w:u w:val="none"/>
              </w:rPr>
            </w:pPr>
            <w:r>
              <w:rPr>
                <w:rFonts w:hint="default" w:ascii="Times New Roman" w:hAnsi="Times New Roman" w:eastAsia="宋体" w:cs="Times New Roman"/>
                <w:color w:val="auto"/>
                <w:kern w:val="24"/>
                <w:sz w:val="24"/>
                <w:szCs w:val="24"/>
                <w:u w:val="none"/>
              </w:rPr>
              <w:t>湘阴县第二污水处理厂位于湘阴县洋沙湖大道南侧，原设计处理规模为1万m</w:t>
            </w:r>
            <w:r>
              <w:rPr>
                <w:rFonts w:hint="default" w:ascii="Times New Roman" w:hAnsi="Times New Roman" w:eastAsia="宋体" w:cs="Times New Roman"/>
                <w:color w:val="auto"/>
                <w:kern w:val="24"/>
                <w:sz w:val="24"/>
                <w:szCs w:val="24"/>
                <w:u w:val="none"/>
                <w:vertAlign w:val="superscript"/>
              </w:rPr>
              <w:t>3</w:t>
            </w:r>
            <w:r>
              <w:rPr>
                <w:rFonts w:hint="default" w:ascii="Times New Roman" w:hAnsi="Times New Roman" w:eastAsia="宋体" w:cs="Times New Roman"/>
                <w:color w:val="auto"/>
                <w:kern w:val="24"/>
                <w:sz w:val="24"/>
                <w:szCs w:val="24"/>
                <w:u w:val="none"/>
              </w:rPr>
              <w:t>/d，主要服务范围为</w:t>
            </w:r>
            <w:r>
              <w:rPr>
                <w:rFonts w:hint="default" w:ascii="Times New Roman" w:hAnsi="Times New Roman" w:eastAsia="宋体" w:cs="Times New Roman"/>
                <w:color w:val="auto"/>
                <w:spacing w:val="4"/>
                <w:kern w:val="28"/>
                <w:sz w:val="24"/>
                <w:szCs w:val="24"/>
                <w:u w:val="none"/>
              </w:rPr>
              <w:t>湘阴县工业园、轻工产业园、东湖生态新城、洋沙湖东部片区等，即南至顺天大道以南的轻工产业园，北至新白水江—烈士公园；西以湘江为界，东至规划的环城大道，总纳污面积28.10平方公里。</w:t>
            </w:r>
            <w:r>
              <w:rPr>
                <w:rFonts w:hint="default" w:ascii="Times New Roman" w:hAnsi="Times New Roman" w:eastAsia="宋体" w:cs="Times New Roman"/>
                <w:color w:val="auto"/>
                <w:kern w:val="24"/>
                <w:sz w:val="24"/>
                <w:szCs w:val="24"/>
                <w:u w:val="none"/>
              </w:rPr>
              <w:t>出水水质标准为《城镇污水处理厂污染物排放标准》（GB18918-2002）及其修改单一级A标准，处理后的尾水排入</w:t>
            </w:r>
            <w:r>
              <w:rPr>
                <w:rFonts w:hint="default" w:ascii="Times New Roman" w:hAnsi="Times New Roman" w:eastAsia="宋体" w:cs="Times New Roman"/>
                <w:color w:val="auto"/>
                <w:kern w:val="0"/>
                <w:sz w:val="24"/>
                <w:szCs w:val="24"/>
                <w:u w:val="none"/>
              </w:rPr>
              <w:t>洋沙湖闸后汇入湘江</w:t>
            </w:r>
            <w:r>
              <w:rPr>
                <w:rFonts w:hint="default" w:ascii="Times New Roman" w:hAnsi="Times New Roman" w:eastAsia="宋体" w:cs="Times New Roman"/>
                <w:color w:val="auto"/>
                <w:kern w:val="24"/>
                <w:sz w:val="24"/>
                <w:szCs w:val="24"/>
                <w:u w:val="none"/>
              </w:rPr>
              <w:t>。</w:t>
            </w:r>
          </w:p>
          <w:p>
            <w:pPr>
              <w:numPr>
                <w:ilvl w:val="0"/>
                <w:numId w:val="2"/>
              </w:numPr>
              <w:adjustRightInd w:val="0"/>
              <w:snapToGrid w:val="0"/>
              <w:spacing w:line="360" w:lineRule="auto"/>
              <w:ind w:left="0" w:firstLine="480" w:firstLineChars="200"/>
              <w:textAlignment w:val="baseline"/>
              <w:rPr>
                <w:rFonts w:hint="default" w:ascii="Times New Roman" w:hAnsi="Times New Roman" w:eastAsia="宋体" w:cs="Times New Roman"/>
                <w:color w:val="auto"/>
                <w:kern w:val="18"/>
                <w:sz w:val="24"/>
                <w:szCs w:val="24"/>
                <w:u w:val="none"/>
              </w:rPr>
            </w:pPr>
            <w:r>
              <w:rPr>
                <w:rFonts w:hint="default" w:ascii="Times New Roman" w:hAnsi="Times New Roman" w:eastAsia="宋体" w:cs="Times New Roman"/>
                <w:color w:val="auto"/>
                <w:kern w:val="24"/>
                <w:sz w:val="24"/>
                <w:szCs w:val="24"/>
                <w:u w:val="none"/>
              </w:rPr>
              <w:t>处理能力</w:t>
            </w:r>
          </w:p>
          <w:p>
            <w:pPr>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rPr>
            </w:pPr>
            <w:r>
              <w:rPr>
                <w:rFonts w:hint="default" w:ascii="Times New Roman" w:hAnsi="Times New Roman" w:eastAsia="宋体" w:cs="Times New Roman"/>
                <w:color w:val="auto"/>
                <w:sz w:val="24"/>
                <w:szCs w:val="24"/>
                <w:u w:val="none"/>
              </w:rPr>
              <w:t>项目排放的废水量为</w:t>
            </w:r>
            <w:r>
              <w:rPr>
                <w:rFonts w:hint="default" w:ascii="Times New Roman" w:hAnsi="Times New Roman" w:eastAsia="宋体" w:cs="Times New Roman"/>
                <w:color w:val="auto"/>
                <w:sz w:val="24"/>
                <w:szCs w:val="24"/>
                <w:u w:val="none"/>
              </w:rPr>
              <w:t>3</w:t>
            </w:r>
            <w:r>
              <w:rPr>
                <w:rFonts w:hint="default" w:ascii="Times New Roman" w:hAnsi="Times New Roman" w:eastAsia="宋体" w:cs="Times New Roman"/>
                <w:color w:val="auto"/>
                <w:sz w:val="24"/>
                <w:szCs w:val="24"/>
                <w:u w:val="none"/>
                <w:lang w:val="en-US" w:eastAsia="zh-CN"/>
              </w:rPr>
              <w:t>31.04</w:t>
            </w:r>
            <w:r>
              <w:rPr>
                <w:rFonts w:hint="default" w:ascii="Times New Roman" w:hAnsi="Times New Roman" w:eastAsia="宋体" w:cs="Times New Roman"/>
                <w:color w:val="auto"/>
                <w:sz w:val="24"/>
                <w:szCs w:val="24"/>
                <w:u w:val="none"/>
              </w:rPr>
              <w:t>m</w:t>
            </w:r>
            <w:r>
              <w:rPr>
                <w:rFonts w:hint="default" w:ascii="Times New Roman" w:hAnsi="Times New Roman" w:eastAsia="宋体" w:cs="Times New Roman"/>
                <w:color w:val="auto"/>
                <w:sz w:val="24"/>
                <w:szCs w:val="24"/>
                <w:u w:val="none"/>
                <w:vertAlign w:val="superscript"/>
              </w:rPr>
              <w:t>3</w:t>
            </w:r>
            <w:r>
              <w:rPr>
                <w:rFonts w:hint="default" w:ascii="Times New Roman" w:hAnsi="Times New Roman" w:eastAsia="宋体" w:cs="Times New Roman"/>
                <w:color w:val="auto"/>
                <w:sz w:val="24"/>
                <w:szCs w:val="24"/>
                <w:u w:val="none"/>
              </w:rPr>
              <w:t>/d，根据调查，目前湘阴县第二污水处理厂实际工业废水处理量约为3000~5000m</w:t>
            </w:r>
            <w:r>
              <w:rPr>
                <w:rFonts w:hint="default" w:ascii="Times New Roman" w:hAnsi="Times New Roman" w:eastAsia="宋体" w:cs="Times New Roman"/>
                <w:color w:val="auto"/>
                <w:sz w:val="24"/>
                <w:szCs w:val="24"/>
                <w:u w:val="none"/>
                <w:vertAlign w:val="superscript"/>
              </w:rPr>
              <w:t>3</w:t>
            </w:r>
            <w:r>
              <w:rPr>
                <w:rFonts w:hint="default" w:ascii="Times New Roman" w:hAnsi="Times New Roman" w:eastAsia="宋体" w:cs="Times New Roman"/>
                <w:color w:val="auto"/>
                <w:sz w:val="24"/>
                <w:szCs w:val="24"/>
                <w:u w:val="none"/>
              </w:rPr>
              <w:t>/d，以最大每天5000m</w:t>
            </w:r>
            <w:r>
              <w:rPr>
                <w:rFonts w:hint="default" w:ascii="Times New Roman" w:hAnsi="Times New Roman" w:eastAsia="宋体" w:cs="Times New Roman"/>
                <w:color w:val="auto"/>
                <w:sz w:val="24"/>
                <w:szCs w:val="24"/>
                <w:u w:val="none"/>
                <w:vertAlign w:val="superscript"/>
              </w:rPr>
              <w:t>3</w:t>
            </w:r>
            <w:r>
              <w:rPr>
                <w:rFonts w:hint="default" w:ascii="Times New Roman" w:hAnsi="Times New Roman" w:eastAsia="宋体" w:cs="Times New Roman"/>
                <w:color w:val="auto"/>
                <w:sz w:val="24"/>
                <w:szCs w:val="24"/>
                <w:u w:val="none"/>
              </w:rPr>
              <w:t>/d计，尚有5000m</w:t>
            </w:r>
            <w:r>
              <w:rPr>
                <w:rFonts w:hint="default" w:ascii="Times New Roman" w:hAnsi="Times New Roman" w:eastAsia="宋体" w:cs="Times New Roman"/>
                <w:color w:val="auto"/>
                <w:sz w:val="24"/>
                <w:szCs w:val="24"/>
                <w:u w:val="none"/>
                <w:vertAlign w:val="superscript"/>
              </w:rPr>
              <w:t>3</w:t>
            </w:r>
            <w:r>
              <w:rPr>
                <w:rFonts w:hint="default" w:ascii="Times New Roman" w:hAnsi="Times New Roman" w:eastAsia="宋体" w:cs="Times New Roman"/>
                <w:color w:val="auto"/>
                <w:sz w:val="24"/>
                <w:szCs w:val="24"/>
                <w:u w:val="none"/>
              </w:rPr>
              <w:t>/d的剩余容量，完全可以接纳本项目废水。</w:t>
            </w:r>
          </w:p>
          <w:p>
            <w:pPr>
              <w:numPr>
                <w:ilvl w:val="0"/>
                <w:numId w:val="2"/>
              </w:numPr>
              <w:adjustRightInd w:val="0"/>
              <w:snapToGrid w:val="0"/>
              <w:spacing w:line="360" w:lineRule="auto"/>
              <w:ind w:left="0" w:firstLine="480" w:firstLineChars="200"/>
              <w:textAlignment w:val="baseline"/>
              <w:rPr>
                <w:rFonts w:hint="default" w:ascii="Times New Roman" w:hAnsi="Times New Roman" w:eastAsia="宋体" w:cs="Times New Roman"/>
                <w:color w:val="auto"/>
                <w:kern w:val="24"/>
                <w:sz w:val="24"/>
                <w:szCs w:val="24"/>
                <w:u w:val="none"/>
              </w:rPr>
            </w:pPr>
            <w:r>
              <w:rPr>
                <w:rFonts w:hint="default" w:ascii="Times New Roman" w:hAnsi="Times New Roman" w:eastAsia="宋体" w:cs="Times New Roman"/>
                <w:color w:val="auto"/>
                <w:kern w:val="24"/>
                <w:sz w:val="24"/>
                <w:szCs w:val="24"/>
                <w:u w:val="none"/>
              </w:rPr>
              <w:t>设计进水水质</w:t>
            </w:r>
          </w:p>
          <w:p>
            <w:pPr>
              <w:spacing w:before="120" w:beforeLines="50"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lang w:val="en-US" w:eastAsia="zh-CN"/>
              </w:rPr>
              <w:t>经前文分析，</w:t>
            </w:r>
            <w:r>
              <w:rPr>
                <w:rFonts w:hint="default" w:ascii="Times New Roman" w:hAnsi="Times New Roman" w:eastAsia="宋体" w:cs="Times New Roman"/>
                <w:color w:val="auto"/>
                <w:sz w:val="24"/>
                <w:szCs w:val="24"/>
                <w:u w:val="none"/>
              </w:rPr>
              <w:t>本项目废水经预处理后外排废水水质能满足湘阴县第二污水处理厂设计进水水质，且</w:t>
            </w:r>
            <w:r>
              <w:rPr>
                <w:rFonts w:hint="default" w:ascii="Times New Roman" w:hAnsi="Times New Roman" w:eastAsia="宋体" w:cs="Times New Roman"/>
                <w:color w:val="auto"/>
                <w:sz w:val="24"/>
                <w:szCs w:val="24"/>
                <w:u w:val="none"/>
                <w:lang w:val="en-US" w:eastAsia="zh-CN"/>
              </w:rPr>
              <w:t>无</w:t>
            </w:r>
            <w:r>
              <w:rPr>
                <w:rFonts w:hint="default" w:ascii="Times New Roman" w:hAnsi="Times New Roman" w:eastAsia="宋体" w:cs="Times New Roman"/>
                <w:color w:val="auto"/>
                <w:sz w:val="24"/>
                <w:szCs w:val="24"/>
                <w:u w:val="none"/>
              </w:rPr>
              <w:t>特殊及有毒有害的污染因子。</w:t>
            </w:r>
          </w:p>
          <w:p>
            <w:pPr>
              <w:numPr>
                <w:ilvl w:val="0"/>
                <w:numId w:val="2"/>
              </w:numPr>
              <w:adjustRightInd w:val="0"/>
              <w:snapToGrid w:val="0"/>
              <w:spacing w:line="360" w:lineRule="auto"/>
              <w:ind w:left="0" w:firstLine="482"/>
              <w:textAlignment w:val="baseline"/>
              <w:rPr>
                <w:rFonts w:hint="default" w:ascii="Times New Roman" w:hAnsi="Times New Roman" w:eastAsia="宋体" w:cs="Times New Roman"/>
                <w:color w:val="auto"/>
                <w:kern w:val="24"/>
                <w:sz w:val="24"/>
                <w:szCs w:val="24"/>
                <w:u w:val="none"/>
              </w:rPr>
            </w:pPr>
            <w:r>
              <w:rPr>
                <w:rFonts w:hint="default" w:ascii="Times New Roman" w:hAnsi="Times New Roman" w:eastAsia="宋体" w:cs="Times New Roman"/>
                <w:color w:val="auto"/>
                <w:kern w:val="24"/>
                <w:sz w:val="24"/>
                <w:szCs w:val="24"/>
                <w:u w:val="none"/>
              </w:rPr>
              <w:t>设计出水水质</w:t>
            </w:r>
          </w:p>
          <w:p>
            <w:pPr>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提质改造后，湘阴县第二污水处理厂的设计出水执行《城镇污水处理厂污染物排放标准》(GB18918-2002)及其修改单一级A标准，具体如下：</w:t>
            </w:r>
          </w:p>
          <w:p>
            <w:pPr>
              <w:spacing w:line="360" w:lineRule="auto"/>
              <w:ind w:left="119"/>
              <w:jc w:val="center"/>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表4.3-1</w:t>
            </w:r>
            <w:r>
              <w:rPr>
                <w:rFonts w:hint="default" w:ascii="Times New Roman" w:hAnsi="Times New Roman" w:eastAsia="宋体" w:cs="Times New Roman"/>
                <w:b/>
                <w:color w:val="auto"/>
                <w:sz w:val="24"/>
                <w:szCs w:val="24"/>
                <w:u w:val="none"/>
                <w:lang w:val="en-US" w:eastAsia="zh-CN"/>
              </w:rPr>
              <w:t>7</w:t>
            </w:r>
            <w:r>
              <w:rPr>
                <w:rFonts w:hint="default" w:ascii="Times New Roman" w:hAnsi="Times New Roman" w:eastAsia="宋体" w:cs="Times New Roman"/>
                <w:b/>
                <w:color w:val="auto"/>
                <w:sz w:val="24"/>
                <w:szCs w:val="24"/>
                <w:u w:val="none"/>
              </w:rPr>
              <w:t xml:space="preserve">  工业废水设计出水水质mg/L</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088"/>
              <w:gridCol w:w="1241"/>
              <w:gridCol w:w="933"/>
              <w:gridCol w:w="934"/>
              <w:gridCol w:w="933"/>
              <w:gridCol w:w="1051"/>
              <w:gridCol w:w="1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0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项目</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COD</w:t>
                  </w:r>
                </w:p>
              </w:tc>
              <w:tc>
                <w:tcPr>
                  <w:tcW w:w="111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BOD</w:t>
                  </w:r>
                  <w:r>
                    <w:rPr>
                      <w:rFonts w:hint="default" w:ascii="Times New Roman" w:hAnsi="Times New Roman" w:eastAsia="宋体" w:cs="Times New Roman"/>
                      <w:color w:val="auto"/>
                      <w:sz w:val="21"/>
                      <w:szCs w:val="21"/>
                      <w:u w:val="none"/>
                      <w:vertAlign w:val="subscript"/>
                    </w:rPr>
                    <w:t>5</w:t>
                  </w:r>
                </w:p>
              </w:tc>
              <w:tc>
                <w:tcPr>
                  <w:tcW w:w="83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SS</w:t>
                  </w:r>
                </w:p>
              </w:tc>
              <w:tc>
                <w:tcPr>
                  <w:tcW w:w="83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NH</w:t>
                  </w:r>
                  <w:r>
                    <w:rPr>
                      <w:rFonts w:hint="default" w:ascii="Times New Roman" w:hAnsi="Times New Roman" w:eastAsia="宋体" w:cs="Times New Roman"/>
                      <w:color w:val="auto"/>
                      <w:sz w:val="21"/>
                      <w:szCs w:val="21"/>
                      <w:u w:val="none"/>
                      <w:vertAlign w:val="subscript"/>
                    </w:rPr>
                    <w:t>3</w:t>
                  </w:r>
                  <w:r>
                    <w:rPr>
                      <w:rFonts w:hint="default" w:ascii="Times New Roman" w:hAnsi="Times New Roman" w:eastAsia="宋体" w:cs="Times New Roman"/>
                      <w:color w:val="auto"/>
                      <w:sz w:val="21"/>
                      <w:szCs w:val="21"/>
                      <w:u w:val="none"/>
                    </w:rPr>
                    <w:t>-N</w:t>
                  </w:r>
                </w:p>
              </w:tc>
              <w:tc>
                <w:tcPr>
                  <w:tcW w:w="83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TN</w:t>
                  </w:r>
                </w:p>
              </w:tc>
              <w:tc>
                <w:tcPr>
                  <w:tcW w:w="9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TP</w:t>
                  </w:r>
                </w:p>
              </w:tc>
              <w:tc>
                <w:tcPr>
                  <w:tcW w:w="9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动植物油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09" w:type="dxa"/>
                  <w:tcBorders>
                    <w:top w:val="single" w:color="auto" w:sz="4" w:space="0"/>
                    <w:left w:val="single" w:color="auto" w:sz="4" w:space="0"/>
                    <w:bottom w:val="single" w:color="auto" w:sz="4" w:space="0"/>
                    <w:right w:val="single" w:color="auto" w:sz="4" w:space="0"/>
                  </w:tcBorders>
                  <w:vAlign w:val="center"/>
                </w:tcPr>
                <w:p>
                  <w:pPr>
                    <w:ind w:left="-105" w:leftChars="-50" w:right="-105" w:rightChars="-5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工业废水出水水质</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w:t>
                  </w:r>
                </w:p>
              </w:tc>
              <w:tc>
                <w:tcPr>
                  <w:tcW w:w="111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83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83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≤5（8）</w:t>
                  </w:r>
                </w:p>
              </w:tc>
              <w:tc>
                <w:tcPr>
                  <w:tcW w:w="83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w:t>
                  </w:r>
                </w:p>
              </w:tc>
              <w:tc>
                <w:tcPr>
                  <w:tcW w:w="9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≤0.5</w:t>
                  </w:r>
                </w:p>
              </w:tc>
              <w:tc>
                <w:tcPr>
                  <w:tcW w:w="9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rPr>
                    <w:t>≤</w:t>
                  </w:r>
                  <w:r>
                    <w:rPr>
                      <w:rFonts w:hint="default" w:ascii="Times New Roman" w:hAnsi="Times New Roman" w:eastAsia="宋体" w:cs="Times New Roman"/>
                      <w:color w:val="auto"/>
                      <w:sz w:val="21"/>
                      <w:szCs w:val="21"/>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09" w:type="dxa"/>
                  <w:tcBorders>
                    <w:top w:val="single" w:color="auto" w:sz="4" w:space="0"/>
                    <w:left w:val="single" w:color="auto" w:sz="4" w:space="0"/>
                    <w:bottom w:val="single" w:color="auto" w:sz="4" w:space="0"/>
                    <w:right w:val="single" w:color="auto" w:sz="4" w:space="0"/>
                  </w:tcBorders>
                  <w:vAlign w:val="center"/>
                </w:tcPr>
                <w:p>
                  <w:pPr>
                    <w:ind w:left="-105" w:leftChars="-50" w:right="-105" w:rightChars="-5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瞬时值</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≤75</w:t>
                  </w:r>
                </w:p>
              </w:tc>
              <w:tc>
                <w:tcPr>
                  <w:tcW w:w="111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c>
                <w:tcPr>
                  <w:tcW w:w="83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w:t>
                  </w:r>
                </w:p>
              </w:tc>
              <w:tc>
                <w:tcPr>
                  <w:tcW w:w="83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≤10（15）</w:t>
                  </w:r>
                </w:p>
              </w:tc>
              <w:tc>
                <w:tcPr>
                  <w:tcW w:w="83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≤20</w:t>
                  </w:r>
                </w:p>
              </w:tc>
              <w:tc>
                <w:tcPr>
                  <w:tcW w:w="9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w:t>
                  </w:r>
                </w:p>
              </w:tc>
              <w:tc>
                <w:tcPr>
                  <w:tcW w:w="9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w:t>
                  </w:r>
                </w:p>
              </w:tc>
            </w:tr>
          </w:tbl>
          <w:p>
            <w:pPr>
              <w:numPr>
                <w:ilvl w:val="0"/>
                <w:numId w:val="2"/>
              </w:numPr>
              <w:adjustRightInd w:val="0"/>
              <w:snapToGrid w:val="0"/>
              <w:spacing w:before="120" w:beforeLines="50" w:line="360" w:lineRule="auto"/>
              <w:ind w:left="839" w:hanging="357"/>
              <w:textAlignment w:val="baseline"/>
              <w:rPr>
                <w:rFonts w:hint="default" w:ascii="Times New Roman" w:hAnsi="Times New Roman" w:eastAsia="宋体" w:cs="Times New Roman"/>
                <w:color w:val="auto"/>
                <w:kern w:val="24"/>
                <w:sz w:val="24"/>
                <w:szCs w:val="24"/>
                <w:u w:val="none"/>
              </w:rPr>
            </w:pPr>
            <w:r>
              <w:rPr>
                <w:rFonts w:hint="default" w:ascii="Times New Roman" w:hAnsi="Times New Roman" w:eastAsia="宋体" w:cs="Times New Roman"/>
                <w:color w:val="auto"/>
                <w:kern w:val="24"/>
                <w:sz w:val="24"/>
                <w:szCs w:val="24"/>
                <w:u w:val="none"/>
              </w:rPr>
              <w:t>配套管网建设情况</w:t>
            </w:r>
          </w:p>
          <w:p>
            <w:pPr>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项目位于湘阴县高新区洋沙湖片区芙蓉北路，属于湘阴县第二污水处理厂服务范围内，目前项目区域污水管网已铺设到位，项目污水经厂区污水处理设施预处理达标后汇入芙蓉北路污水干管。</w:t>
            </w:r>
          </w:p>
          <w:p>
            <w:pPr>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综上所述，本项目废水依托湘阴县第二污水处理厂处理是可行的。</w:t>
            </w:r>
          </w:p>
          <w:p>
            <w:pPr>
              <w:tabs>
                <w:tab w:val="left" w:pos="539"/>
              </w:tabs>
              <w:snapToGrid w:val="0"/>
              <w:spacing w:line="360" w:lineRule="auto"/>
              <w:ind w:firstLine="472" w:firstLineChars="196"/>
              <w:jc w:val="left"/>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4.3.4 废水排放情况汇总</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（1）废水类别、污染物及污染治理设施</w:t>
            </w:r>
          </w:p>
          <w:p>
            <w:pPr>
              <w:jc w:val="center"/>
              <w:rPr>
                <w:rFonts w:hint="default" w:ascii="Times New Roman" w:hAnsi="Times New Roman" w:eastAsia="宋体" w:cs="Times New Roman"/>
                <w:b/>
                <w:color w:val="auto"/>
                <w:spacing w:val="4"/>
                <w:sz w:val="24"/>
                <w:szCs w:val="24"/>
                <w:u w:val="none"/>
              </w:rPr>
            </w:pPr>
            <w:r>
              <w:rPr>
                <w:rFonts w:hint="default" w:ascii="Times New Roman" w:hAnsi="Times New Roman" w:eastAsia="宋体" w:cs="Times New Roman"/>
                <w:b/>
                <w:color w:val="auto"/>
                <w:spacing w:val="4"/>
                <w:sz w:val="24"/>
                <w:szCs w:val="24"/>
                <w:u w:val="none"/>
              </w:rPr>
              <w:t>表4.3-19  本项目废水类别、污染物及污染治理措施信息表</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521"/>
              <w:gridCol w:w="1559"/>
              <w:gridCol w:w="686"/>
              <w:gridCol w:w="521"/>
              <w:gridCol w:w="1182"/>
              <w:gridCol w:w="802"/>
              <w:gridCol w:w="1163"/>
              <w:gridCol w:w="974"/>
              <w:gridCol w:w="656"/>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2" w:type="pct"/>
                  <w:vMerge w:val="restar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序号</w:t>
                  </w:r>
                </w:p>
              </w:tc>
              <w:tc>
                <w:tcPr>
                  <w:tcW w:w="278" w:type="pct"/>
                  <w:vMerge w:val="restar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废水类别</w:t>
                  </w:r>
                </w:p>
              </w:tc>
              <w:tc>
                <w:tcPr>
                  <w:tcW w:w="832" w:type="pct"/>
                  <w:vMerge w:val="restar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污染物种类</w:t>
                  </w:r>
                </w:p>
              </w:tc>
              <w:tc>
                <w:tcPr>
                  <w:tcW w:w="366" w:type="pct"/>
                  <w:vMerge w:val="restar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排放去向</w:t>
                  </w:r>
                </w:p>
              </w:tc>
              <w:tc>
                <w:tcPr>
                  <w:tcW w:w="278" w:type="pct"/>
                  <w:vMerge w:val="restar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排放规律</w:t>
                  </w:r>
                </w:p>
              </w:tc>
              <w:tc>
                <w:tcPr>
                  <w:tcW w:w="1680" w:type="pct"/>
                  <w:gridSpan w:val="3"/>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污染治理设施</w:t>
                  </w:r>
                </w:p>
              </w:tc>
              <w:tc>
                <w:tcPr>
                  <w:tcW w:w="520" w:type="pct"/>
                  <w:vMerge w:val="restar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排放口编号</w:t>
                  </w:r>
                </w:p>
              </w:tc>
              <w:tc>
                <w:tcPr>
                  <w:tcW w:w="350" w:type="pct"/>
                  <w:vMerge w:val="restar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排放口设置是否符合要求</w:t>
                  </w:r>
                </w:p>
              </w:tc>
              <w:tc>
                <w:tcPr>
                  <w:tcW w:w="440" w:type="pct"/>
                  <w:vMerge w:val="restar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排放口类型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b/>
                      <w:bCs/>
                      <w:color w:val="auto"/>
                      <w:sz w:val="21"/>
                      <w:szCs w:val="21"/>
                      <w:u w:val="none"/>
                    </w:rPr>
                  </w:pPr>
                </w:p>
              </w:tc>
              <w:tc>
                <w:tcPr>
                  <w:tcW w:w="27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b/>
                      <w:bCs/>
                      <w:color w:val="auto"/>
                      <w:sz w:val="21"/>
                      <w:szCs w:val="21"/>
                      <w:u w:val="none"/>
                    </w:rPr>
                  </w:pPr>
                </w:p>
              </w:tc>
              <w:tc>
                <w:tcPr>
                  <w:tcW w:w="83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b/>
                      <w:bCs/>
                      <w:color w:val="auto"/>
                      <w:sz w:val="21"/>
                      <w:szCs w:val="21"/>
                      <w:u w:val="none"/>
                    </w:rPr>
                  </w:pPr>
                </w:p>
              </w:tc>
              <w:tc>
                <w:tcPr>
                  <w:tcW w:w="36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b/>
                      <w:bCs/>
                      <w:color w:val="auto"/>
                      <w:sz w:val="21"/>
                      <w:szCs w:val="21"/>
                      <w:u w:val="none"/>
                    </w:rPr>
                  </w:pPr>
                </w:p>
              </w:tc>
              <w:tc>
                <w:tcPr>
                  <w:tcW w:w="27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b/>
                      <w:bCs/>
                      <w:color w:val="auto"/>
                      <w:sz w:val="21"/>
                      <w:szCs w:val="21"/>
                      <w:u w:val="none"/>
                    </w:rPr>
                  </w:pPr>
                </w:p>
              </w:tc>
              <w:tc>
                <w:tcPr>
                  <w:tcW w:w="631"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污染治理设施编号</w:t>
                  </w:r>
                </w:p>
              </w:tc>
              <w:tc>
                <w:tcPr>
                  <w:tcW w:w="428"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污染治理设施名称</w:t>
                  </w:r>
                </w:p>
              </w:tc>
              <w:tc>
                <w:tcPr>
                  <w:tcW w:w="620"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污染治理设施工艺</w:t>
                  </w:r>
                </w:p>
              </w:tc>
              <w:tc>
                <w:tcPr>
                  <w:tcW w:w="52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b/>
                      <w:bCs/>
                      <w:color w:val="auto"/>
                      <w:sz w:val="21"/>
                      <w:szCs w:val="21"/>
                      <w:u w:val="none"/>
                    </w:rPr>
                  </w:pPr>
                </w:p>
              </w:tc>
              <w:tc>
                <w:tcPr>
                  <w:tcW w:w="35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b/>
                      <w:bCs/>
                      <w:color w:val="auto"/>
                      <w:sz w:val="21"/>
                      <w:szCs w:val="21"/>
                      <w:u w:val="none"/>
                    </w:rPr>
                  </w:pPr>
                </w:p>
              </w:tc>
              <w:tc>
                <w:tcPr>
                  <w:tcW w:w="44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b/>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2"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w:t>
                  </w:r>
                </w:p>
              </w:tc>
              <w:tc>
                <w:tcPr>
                  <w:tcW w:w="278"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生产废水</w:t>
                  </w:r>
                </w:p>
              </w:tc>
              <w:tc>
                <w:tcPr>
                  <w:tcW w:w="832"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pH、COD、BOD</w:t>
                  </w:r>
                  <w:r>
                    <w:rPr>
                      <w:rFonts w:hint="default" w:ascii="Times New Roman" w:hAnsi="Times New Roman" w:eastAsia="宋体" w:cs="Times New Roman"/>
                      <w:color w:val="auto"/>
                      <w:sz w:val="21"/>
                      <w:szCs w:val="21"/>
                      <w:u w:val="none"/>
                      <w:vertAlign w:val="subscript"/>
                    </w:rPr>
                    <w:t>5</w:t>
                  </w:r>
                  <w:r>
                    <w:rPr>
                      <w:rFonts w:hint="default" w:ascii="Times New Roman" w:hAnsi="Times New Roman" w:eastAsia="宋体" w:cs="Times New Roman"/>
                      <w:color w:val="auto"/>
                      <w:sz w:val="21"/>
                      <w:szCs w:val="21"/>
                      <w:u w:val="none"/>
                    </w:rPr>
                    <w:t>、SS、氨氮、TP、TN、动植物油、全盐量</w:t>
                  </w:r>
                </w:p>
              </w:tc>
              <w:tc>
                <w:tcPr>
                  <w:tcW w:w="366"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湘阴县第二污水处理厂</w:t>
                  </w:r>
                </w:p>
              </w:tc>
              <w:tc>
                <w:tcPr>
                  <w:tcW w:w="278"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连续排放</w:t>
                  </w:r>
                </w:p>
              </w:tc>
              <w:tc>
                <w:tcPr>
                  <w:tcW w:w="631"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TW001</w:t>
                  </w:r>
                </w:p>
              </w:tc>
              <w:tc>
                <w:tcPr>
                  <w:tcW w:w="428"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废水处理站</w:t>
                  </w:r>
                </w:p>
              </w:tc>
              <w:tc>
                <w:tcPr>
                  <w:tcW w:w="620"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lang w:eastAsia="zh-CN"/>
                    </w:rPr>
                  </w:pPr>
                  <w:r>
                    <w:rPr>
                      <w:rFonts w:hint="eastAsia" w:ascii="Times New Roman" w:hAnsi="Times New Roman" w:eastAsia="宋体" w:cs="Times New Roman"/>
                      <w:color w:val="auto"/>
                      <w:sz w:val="21"/>
                      <w:szCs w:val="21"/>
                      <w:u w:val="none"/>
                      <w:lang w:eastAsia="zh-CN"/>
                    </w:rPr>
                    <w:t>格栅+隔油+调节+气浮</w:t>
                  </w:r>
                  <w:r>
                    <w:rPr>
                      <w:rFonts w:hint="default" w:ascii="Times New Roman" w:hAnsi="Times New Roman" w:eastAsia="宋体" w:cs="Times New Roman"/>
                      <w:color w:val="auto"/>
                      <w:sz w:val="21"/>
                      <w:szCs w:val="21"/>
                      <w:u w:val="none"/>
                      <w:lang w:eastAsia="zh-CN"/>
                    </w:rPr>
                    <w:t>+A</w:t>
                  </w:r>
                  <w:r>
                    <w:rPr>
                      <w:rFonts w:hint="default" w:ascii="Times New Roman" w:hAnsi="Times New Roman" w:eastAsia="宋体" w:cs="Times New Roman"/>
                      <w:color w:val="auto"/>
                      <w:sz w:val="21"/>
                      <w:szCs w:val="21"/>
                      <w:u w:val="none"/>
                      <w:vertAlign w:val="superscript"/>
                      <w:lang w:eastAsia="zh-CN"/>
                    </w:rPr>
                    <w:t>2</w:t>
                  </w:r>
                  <w:r>
                    <w:rPr>
                      <w:rFonts w:hint="default" w:ascii="Times New Roman" w:hAnsi="Times New Roman" w:eastAsia="宋体" w:cs="Times New Roman"/>
                      <w:color w:val="auto"/>
                      <w:sz w:val="21"/>
                      <w:szCs w:val="21"/>
                      <w:u w:val="none"/>
                      <w:lang w:eastAsia="zh-CN"/>
                    </w:rPr>
                    <w:t>O+二沉</w:t>
                  </w:r>
                </w:p>
              </w:tc>
              <w:tc>
                <w:tcPr>
                  <w:tcW w:w="520" w:type="pct"/>
                  <w:vMerge w:val="restart"/>
                  <w:tcBorders>
                    <w:top w:val="single" w:color="auto" w:sz="4" w:space="0"/>
                    <w:left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DW001</w:t>
                  </w:r>
                </w:p>
              </w:tc>
              <w:tc>
                <w:tcPr>
                  <w:tcW w:w="350" w:type="pct"/>
                  <w:vMerge w:val="restart"/>
                  <w:tcBorders>
                    <w:top w:val="single" w:color="auto" w:sz="4" w:space="0"/>
                    <w:left w:val="single" w:color="auto" w:sz="4" w:space="0"/>
                    <w:right w:val="single" w:color="auto" w:sz="4" w:space="0"/>
                  </w:tcBorders>
                  <w:vAlign w:val="center"/>
                </w:tcPr>
                <w:p>
                  <w:pPr>
                    <w:tabs>
                      <w:tab w:val="left" w:pos="539"/>
                    </w:tabs>
                    <w:snapToGrid w:val="0"/>
                    <w:jc w:val="center"/>
                    <w:rPr>
                      <w:rFonts w:hint="eastAsia" w:ascii="Times New Roman" w:hAnsi="Times New Roman" w:eastAsia="宋体" w:cs="Times New Roman"/>
                      <w:color w:val="auto"/>
                      <w:sz w:val="21"/>
                      <w:szCs w:val="21"/>
                      <w:u w:val="none"/>
                      <w:lang w:eastAsia="zh-CN"/>
                    </w:rPr>
                  </w:pPr>
                  <w:r>
                    <w:rPr>
                      <w:rFonts w:hint="eastAsia" w:ascii="Times New Roman" w:hAnsi="Times New Roman" w:eastAsia="宋体" w:cs="Times New Roman"/>
                      <w:color w:val="auto"/>
                      <w:sz w:val="21"/>
                      <w:szCs w:val="21"/>
                      <w:u w:val="none"/>
                      <w:lang w:eastAsia="zh-CN"/>
                    </w:rPr>
                    <w:t>是</w:t>
                  </w:r>
                </w:p>
              </w:tc>
              <w:tc>
                <w:tcPr>
                  <w:tcW w:w="440" w:type="pct"/>
                  <w:vMerge w:val="restart"/>
                  <w:tcBorders>
                    <w:top w:val="single" w:color="auto" w:sz="4" w:space="0"/>
                    <w:left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企业总排口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2"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w:t>
                  </w:r>
                </w:p>
              </w:tc>
              <w:tc>
                <w:tcPr>
                  <w:tcW w:w="278"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质检废水</w:t>
                  </w:r>
                </w:p>
              </w:tc>
              <w:tc>
                <w:tcPr>
                  <w:tcW w:w="832"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pH、COD、BOD</w:t>
                  </w:r>
                  <w:r>
                    <w:rPr>
                      <w:rFonts w:hint="default" w:ascii="Times New Roman" w:hAnsi="Times New Roman" w:eastAsia="宋体" w:cs="Times New Roman"/>
                      <w:color w:val="auto"/>
                      <w:sz w:val="21"/>
                      <w:szCs w:val="21"/>
                      <w:u w:val="none"/>
                      <w:vertAlign w:val="subscript"/>
                    </w:rPr>
                    <w:t>5</w:t>
                  </w:r>
                  <w:r>
                    <w:rPr>
                      <w:rFonts w:hint="default" w:ascii="Times New Roman" w:hAnsi="Times New Roman" w:eastAsia="宋体" w:cs="Times New Roman"/>
                      <w:color w:val="auto"/>
                      <w:sz w:val="21"/>
                      <w:szCs w:val="21"/>
                      <w:u w:val="none"/>
                    </w:rPr>
                    <w:t>、SS、氨氮、TP、TN、动植物油</w:t>
                  </w:r>
                </w:p>
              </w:tc>
              <w:tc>
                <w:tcPr>
                  <w:tcW w:w="366"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湘阴县第二污水处理厂</w:t>
                  </w:r>
                </w:p>
              </w:tc>
              <w:tc>
                <w:tcPr>
                  <w:tcW w:w="278"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间断排放</w:t>
                  </w:r>
                </w:p>
              </w:tc>
              <w:tc>
                <w:tcPr>
                  <w:tcW w:w="631"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TW002</w:t>
                  </w:r>
                </w:p>
              </w:tc>
              <w:tc>
                <w:tcPr>
                  <w:tcW w:w="428"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化粪池</w:t>
                  </w:r>
                </w:p>
              </w:tc>
              <w:tc>
                <w:tcPr>
                  <w:tcW w:w="620"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厌氧+沉淀</w:t>
                  </w:r>
                </w:p>
              </w:tc>
              <w:tc>
                <w:tcPr>
                  <w:tcW w:w="520" w:type="pct"/>
                  <w:vMerge w:val="continue"/>
                  <w:tcBorders>
                    <w:left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p>
              </w:tc>
              <w:tc>
                <w:tcPr>
                  <w:tcW w:w="350" w:type="pct"/>
                  <w:vMerge w:val="continue"/>
                  <w:tcBorders>
                    <w:left w:val="single" w:color="auto" w:sz="4" w:space="0"/>
                    <w:right w:val="single" w:color="auto" w:sz="4" w:space="0"/>
                  </w:tcBorders>
                  <w:vAlign w:val="center"/>
                </w:tcPr>
                <w:p>
                  <w:pPr>
                    <w:spacing w:line="0" w:lineRule="atLeast"/>
                    <w:jc w:val="center"/>
                    <w:rPr>
                      <w:rFonts w:hint="default" w:ascii="Times New Roman" w:hAnsi="Times New Roman" w:eastAsia="宋体" w:cs="Times New Roman"/>
                      <w:color w:val="auto"/>
                      <w:sz w:val="21"/>
                      <w:szCs w:val="21"/>
                      <w:u w:val="none"/>
                    </w:rPr>
                  </w:pPr>
                </w:p>
              </w:tc>
              <w:tc>
                <w:tcPr>
                  <w:tcW w:w="440" w:type="pct"/>
                  <w:vMerge w:val="continue"/>
                  <w:tcBorders>
                    <w:left w:val="single" w:color="auto" w:sz="4" w:space="0"/>
                    <w:right w:val="single" w:color="auto" w:sz="4" w:space="0"/>
                  </w:tcBorders>
                  <w:vAlign w:val="center"/>
                </w:tcPr>
                <w:p>
                  <w:pPr>
                    <w:spacing w:line="0" w:lineRule="atLeast"/>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2"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3</w:t>
                  </w:r>
                </w:p>
              </w:tc>
              <w:tc>
                <w:tcPr>
                  <w:tcW w:w="278"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生活污水</w:t>
                  </w:r>
                </w:p>
              </w:tc>
              <w:tc>
                <w:tcPr>
                  <w:tcW w:w="832"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pH、COD、BOD</w:t>
                  </w:r>
                  <w:r>
                    <w:rPr>
                      <w:rFonts w:hint="default" w:ascii="Times New Roman" w:hAnsi="Times New Roman" w:eastAsia="宋体" w:cs="Times New Roman"/>
                      <w:color w:val="auto"/>
                      <w:sz w:val="21"/>
                      <w:szCs w:val="21"/>
                      <w:u w:val="none"/>
                      <w:vertAlign w:val="subscript"/>
                    </w:rPr>
                    <w:t>5</w:t>
                  </w:r>
                  <w:r>
                    <w:rPr>
                      <w:rFonts w:hint="default" w:ascii="Times New Roman" w:hAnsi="Times New Roman" w:eastAsia="宋体" w:cs="Times New Roman"/>
                      <w:color w:val="auto"/>
                      <w:sz w:val="21"/>
                      <w:szCs w:val="21"/>
                      <w:u w:val="none"/>
                    </w:rPr>
                    <w:t>、SS、氨氮、TP、TN、动植物油</w:t>
                  </w:r>
                </w:p>
              </w:tc>
              <w:tc>
                <w:tcPr>
                  <w:tcW w:w="366"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湘阴县第二污水处理厂</w:t>
                  </w:r>
                </w:p>
              </w:tc>
              <w:tc>
                <w:tcPr>
                  <w:tcW w:w="278"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间断排放</w:t>
                  </w:r>
                </w:p>
              </w:tc>
              <w:tc>
                <w:tcPr>
                  <w:tcW w:w="631"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TW003、 TW002</w:t>
                  </w:r>
                </w:p>
              </w:tc>
              <w:tc>
                <w:tcPr>
                  <w:tcW w:w="428"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隔油池、化粪池</w:t>
                  </w:r>
                </w:p>
              </w:tc>
              <w:tc>
                <w:tcPr>
                  <w:tcW w:w="620" w:type="pct"/>
                  <w:tcBorders>
                    <w:top w:val="single" w:color="auto" w:sz="4" w:space="0"/>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隔油、厌氧+沉淀</w:t>
                  </w:r>
                </w:p>
              </w:tc>
              <w:tc>
                <w:tcPr>
                  <w:tcW w:w="520" w:type="pct"/>
                  <w:vMerge w:val="continue"/>
                  <w:tcBorders>
                    <w:left w:val="single" w:color="auto" w:sz="4" w:space="0"/>
                    <w:bottom w:val="single" w:color="auto" w:sz="4" w:space="0"/>
                    <w:right w:val="single" w:color="auto" w:sz="4" w:space="0"/>
                  </w:tcBorders>
                  <w:vAlign w:val="center"/>
                </w:tcPr>
                <w:p>
                  <w:pPr>
                    <w:tabs>
                      <w:tab w:val="left" w:pos="539"/>
                    </w:tabs>
                    <w:snapToGrid w:val="0"/>
                    <w:jc w:val="center"/>
                    <w:rPr>
                      <w:rFonts w:hint="default" w:ascii="Times New Roman" w:hAnsi="Times New Roman" w:eastAsia="宋体" w:cs="Times New Roman"/>
                      <w:color w:val="auto"/>
                      <w:sz w:val="21"/>
                      <w:szCs w:val="21"/>
                      <w:u w:val="none"/>
                    </w:rPr>
                  </w:pPr>
                </w:p>
              </w:tc>
              <w:tc>
                <w:tcPr>
                  <w:tcW w:w="350" w:type="pct"/>
                  <w:vMerge w:val="continue"/>
                  <w:tcBorders>
                    <w:left w:val="single" w:color="auto" w:sz="4" w:space="0"/>
                    <w:bottom w:val="single" w:color="auto" w:sz="4" w:space="0"/>
                    <w:right w:val="single" w:color="auto" w:sz="4" w:space="0"/>
                  </w:tcBorders>
                  <w:vAlign w:val="center"/>
                </w:tcPr>
                <w:p>
                  <w:pPr>
                    <w:spacing w:line="0" w:lineRule="atLeast"/>
                    <w:jc w:val="center"/>
                    <w:rPr>
                      <w:rFonts w:hint="default" w:ascii="Times New Roman" w:hAnsi="Times New Roman" w:eastAsia="宋体" w:cs="Times New Roman"/>
                      <w:color w:val="auto"/>
                      <w:sz w:val="21"/>
                      <w:szCs w:val="21"/>
                      <w:u w:val="none"/>
                    </w:rPr>
                  </w:pPr>
                </w:p>
              </w:tc>
              <w:tc>
                <w:tcPr>
                  <w:tcW w:w="440" w:type="pct"/>
                  <w:vMerge w:val="continue"/>
                  <w:tcBorders>
                    <w:left w:val="single" w:color="auto" w:sz="4" w:space="0"/>
                    <w:bottom w:val="single" w:color="auto" w:sz="4" w:space="0"/>
                    <w:right w:val="single" w:color="auto" w:sz="4" w:space="0"/>
                  </w:tcBorders>
                  <w:vAlign w:val="center"/>
                </w:tcPr>
                <w:p>
                  <w:pPr>
                    <w:spacing w:line="0" w:lineRule="atLeast"/>
                    <w:jc w:val="center"/>
                    <w:rPr>
                      <w:rFonts w:hint="default" w:ascii="Times New Roman" w:hAnsi="Times New Roman" w:eastAsia="宋体" w:cs="Times New Roman"/>
                      <w:color w:val="auto"/>
                      <w:sz w:val="21"/>
                      <w:szCs w:val="21"/>
                      <w:u w:val="none"/>
                    </w:rPr>
                  </w:pPr>
                </w:p>
              </w:tc>
            </w:tr>
          </w:tbl>
          <w:p>
            <w:pPr>
              <w:tabs>
                <w:tab w:val="left" w:pos="539"/>
              </w:tabs>
              <w:snapToGrid w:val="0"/>
              <w:spacing w:line="360" w:lineRule="auto"/>
              <w:ind w:firstLine="470" w:firstLineChars="196"/>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color w:val="auto"/>
                <w:sz w:val="24"/>
                <w:szCs w:val="24"/>
                <w:u w:val="none"/>
              </w:rPr>
              <w:t>（2）废水排口基本情况</w:t>
            </w:r>
          </w:p>
          <w:p>
            <w:pPr>
              <w:jc w:val="center"/>
              <w:rPr>
                <w:rFonts w:hint="default" w:ascii="Times New Roman" w:hAnsi="Times New Roman" w:eastAsia="宋体" w:cs="Times New Roman"/>
                <w:b/>
                <w:color w:val="auto"/>
                <w:spacing w:val="4"/>
                <w:sz w:val="24"/>
                <w:szCs w:val="24"/>
                <w:u w:val="none"/>
              </w:rPr>
            </w:pPr>
            <w:r>
              <w:rPr>
                <w:rFonts w:hint="default" w:ascii="Times New Roman" w:hAnsi="Times New Roman" w:eastAsia="宋体" w:cs="Times New Roman"/>
                <w:b/>
                <w:color w:val="auto"/>
                <w:spacing w:val="4"/>
                <w:sz w:val="24"/>
                <w:szCs w:val="24"/>
                <w:u w:val="none"/>
              </w:rPr>
              <w:t>表4.3-20  本项目废水排放口基本情况</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878"/>
              <w:gridCol w:w="783"/>
              <w:gridCol w:w="1224"/>
              <w:gridCol w:w="970"/>
              <w:gridCol w:w="1002"/>
              <w:gridCol w:w="689"/>
              <w:gridCol w:w="872"/>
              <w:gridCol w:w="513"/>
              <w:gridCol w:w="667"/>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36"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序号</w:t>
                  </w:r>
                </w:p>
              </w:tc>
              <w:tc>
                <w:tcPr>
                  <w:tcW w:w="469"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排放口编号</w:t>
                  </w:r>
                </w:p>
              </w:tc>
              <w:tc>
                <w:tcPr>
                  <w:tcW w:w="418"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排放口名称</w:t>
                  </w:r>
                </w:p>
              </w:tc>
              <w:tc>
                <w:tcPr>
                  <w:tcW w:w="1172" w:type="pct"/>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排放口地理坐标</w:t>
                  </w:r>
                </w:p>
              </w:tc>
              <w:tc>
                <w:tcPr>
                  <w:tcW w:w="535" w:type="pct"/>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废水排放量</w:t>
                  </w:r>
                </w:p>
              </w:tc>
              <w:tc>
                <w:tcPr>
                  <w:tcW w:w="368" w:type="pct"/>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排放去向</w:t>
                  </w:r>
                </w:p>
              </w:tc>
              <w:tc>
                <w:tcPr>
                  <w:tcW w:w="466"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排放规律</w:t>
                  </w:r>
                </w:p>
              </w:tc>
              <w:tc>
                <w:tcPr>
                  <w:tcW w:w="1335" w:type="pct"/>
                  <w:gridSpan w:val="3"/>
                  <w:tcBorders>
                    <w:top w:val="single" w:color="auto" w:sz="4" w:space="0"/>
                    <w:left w:val="single" w:color="auto" w:sz="4" w:space="0"/>
                    <w:bottom w:val="nil"/>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受纳污水处理厂信息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65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经度</w:t>
                  </w:r>
                </w:p>
              </w:tc>
              <w:tc>
                <w:tcPr>
                  <w:tcW w:w="51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纬度</w:t>
                  </w:r>
                </w:p>
              </w:tc>
              <w:tc>
                <w:tcPr>
                  <w:tcW w:w="89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6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27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名称</w:t>
                  </w:r>
                </w:p>
              </w:tc>
              <w:tc>
                <w:tcPr>
                  <w:tcW w:w="35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污染物种类</w:t>
                  </w:r>
                </w:p>
              </w:tc>
              <w:tc>
                <w:tcPr>
                  <w:tcW w:w="70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国家或地方污染物排放标准浓度限值/(mg/L)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36" w:type="pct"/>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w:t>
                  </w:r>
                </w:p>
              </w:tc>
              <w:tc>
                <w:tcPr>
                  <w:tcW w:w="469" w:type="pct"/>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DW001</w:t>
                  </w:r>
                </w:p>
              </w:tc>
              <w:tc>
                <w:tcPr>
                  <w:tcW w:w="418" w:type="pct"/>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污水排放口</w:t>
                  </w:r>
                </w:p>
              </w:tc>
              <w:tc>
                <w:tcPr>
                  <w:tcW w:w="654" w:type="pct"/>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112°54′</w:t>
                  </w:r>
                </w:p>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59.098″</w:t>
                  </w:r>
                </w:p>
              </w:tc>
              <w:tc>
                <w:tcPr>
                  <w:tcW w:w="518" w:type="pct"/>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28°39′</w:t>
                  </w:r>
                </w:p>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16.846</w:t>
                  </w:r>
                </w:p>
              </w:tc>
              <w:tc>
                <w:tcPr>
                  <w:tcW w:w="535" w:type="pct"/>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82760</w:t>
                  </w:r>
                </w:p>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m</w:t>
                  </w:r>
                  <w:r>
                    <w:rPr>
                      <w:rFonts w:hint="default" w:ascii="Times New Roman" w:hAnsi="Times New Roman" w:eastAsia="宋体" w:cs="Times New Roman"/>
                      <w:color w:val="auto"/>
                      <w:sz w:val="21"/>
                      <w:szCs w:val="21"/>
                      <w:u w:val="none"/>
                      <w:vertAlign w:val="superscript"/>
                    </w:rPr>
                    <w:t>3</w:t>
                  </w:r>
                  <w:r>
                    <w:rPr>
                      <w:rFonts w:hint="default" w:ascii="Times New Roman" w:hAnsi="Times New Roman" w:eastAsia="宋体" w:cs="Times New Roman"/>
                      <w:color w:val="auto"/>
                      <w:sz w:val="21"/>
                      <w:szCs w:val="21"/>
                      <w:u w:val="none"/>
                    </w:rPr>
                    <w:t>/a</w:t>
                  </w:r>
                </w:p>
              </w:tc>
              <w:tc>
                <w:tcPr>
                  <w:tcW w:w="368" w:type="pct"/>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园区管网</w:t>
                  </w:r>
                </w:p>
              </w:tc>
              <w:tc>
                <w:tcPr>
                  <w:tcW w:w="466" w:type="pct"/>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连续排放</w:t>
                  </w:r>
                </w:p>
              </w:tc>
              <w:tc>
                <w:tcPr>
                  <w:tcW w:w="274" w:type="pct"/>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湘阴县第二污水处理厂</w:t>
                  </w:r>
                </w:p>
              </w:tc>
              <w:tc>
                <w:tcPr>
                  <w:tcW w:w="35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COD</w:t>
                  </w:r>
                </w:p>
              </w:tc>
              <w:tc>
                <w:tcPr>
                  <w:tcW w:w="70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0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10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68"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9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61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45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35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BOD</w:t>
                  </w:r>
                </w:p>
              </w:tc>
              <w:tc>
                <w:tcPr>
                  <w:tcW w:w="70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0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10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68"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9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61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45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35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SS</w:t>
                  </w:r>
                </w:p>
              </w:tc>
              <w:tc>
                <w:tcPr>
                  <w:tcW w:w="70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0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10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68"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9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61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45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35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氨氮</w:t>
                  </w:r>
                </w:p>
              </w:tc>
              <w:tc>
                <w:tcPr>
                  <w:tcW w:w="70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0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10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68"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9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61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45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35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TN</w:t>
                  </w:r>
                </w:p>
              </w:tc>
              <w:tc>
                <w:tcPr>
                  <w:tcW w:w="70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0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10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68"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9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61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45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35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TP</w:t>
                  </w:r>
                </w:p>
              </w:tc>
              <w:tc>
                <w:tcPr>
                  <w:tcW w:w="70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0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1096"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68"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89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617"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781"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45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c>
                <w:tcPr>
                  <w:tcW w:w="35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动植物油</w:t>
                  </w:r>
                </w:p>
              </w:tc>
              <w:tc>
                <w:tcPr>
                  <w:tcW w:w="70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w:t>
                  </w:r>
                </w:p>
              </w:tc>
            </w:tr>
          </w:tbl>
          <w:p>
            <w:pPr>
              <w:tabs>
                <w:tab w:val="left" w:pos="539"/>
              </w:tabs>
              <w:snapToGrid w:val="0"/>
              <w:spacing w:line="360" w:lineRule="auto"/>
              <w:ind w:firstLine="472" w:firstLineChars="196"/>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4.3.5 废水监测计划</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rPr>
            </w:pPr>
            <w:r>
              <w:rPr>
                <w:rFonts w:hint="default" w:ascii="Times New Roman" w:hAnsi="Times New Roman" w:eastAsia="宋体" w:cs="Times New Roman"/>
                <w:bCs/>
                <w:color w:val="auto"/>
                <w:sz w:val="24"/>
                <w:szCs w:val="24"/>
                <w:u w:val="none"/>
              </w:rPr>
              <w:t>根据《排污单位自行监测技术指南 食品制造》（HJ1084-2020），本项目废水监测计划具体见下表：</w:t>
            </w: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rPr>
            </w:pPr>
          </w:p>
          <w:p>
            <w:pPr>
              <w:tabs>
                <w:tab w:val="left" w:pos="539"/>
              </w:tabs>
              <w:snapToGrid w:val="0"/>
              <w:spacing w:line="360" w:lineRule="auto"/>
              <w:ind w:firstLine="470" w:firstLineChars="196"/>
              <w:jc w:val="left"/>
              <w:rPr>
                <w:rFonts w:hint="default" w:ascii="Times New Roman" w:hAnsi="Times New Roman" w:eastAsia="宋体" w:cs="Times New Roman"/>
                <w:bCs/>
                <w:color w:val="auto"/>
                <w:sz w:val="24"/>
                <w:szCs w:val="24"/>
                <w:u w:val="none"/>
              </w:rPr>
            </w:pPr>
          </w:p>
          <w:p>
            <w:pPr>
              <w:jc w:val="center"/>
              <w:rPr>
                <w:rFonts w:hint="default" w:ascii="Times New Roman" w:hAnsi="Times New Roman" w:eastAsia="宋体" w:cs="Times New Roman"/>
                <w:b/>
                <w:color w:val="auto"/>
                <w:spacing w:val="4"/>
                <w:sz w:val="24"/>
                <w:szCs w:val="24"/>
                <w:u w:val="none"/>
              </w:rPr>
            </w:pPr>
            <w:r>
              <w:rPr>
                <w:rFonts w:hint="default" w:ascii="Times New Roman" w:hAnsi="Times New Roman" w:eastAsia="宋体" w:cs="Times New Roman"/>
                <w:b/>
                <w:color w:val="auto"/>
                <w:spacing w:val="4"/>
                <w:sz w:val="24"/>
                <w:szCs w:val="24"/>
                <w:u w:val="none"/>
              </w:rPr>
              <w:t>表4.3-21  本项目废水监测计划</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1750"/>
              <w:gridCol w:w="2546"/>
              <w:gridCol w:w="1431"/>
              <w:gridCol w:w="2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6" w:type="pct"/>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监测项目</w:t>
                  </w:r>
                </w:p>
              </w:tc>
              <w:tc>
                <w:tcPr>
                  <w:tcW w:w="934" w:type="pct"/>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监测点位</w:t>
                  </w:r>
                </w:p>
              </w:tc>
              <w:tc>
                <w:tcPr>
                  <w:tcW w:w="1359" w:type="pct"/>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监测因子</w:t>
                  </w:r>
                </w:p>
              </w:tc>
              <w:tc>
                <w:tcPr>
                  <w:tcW w:w="764" w:type="pct"/>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监测频次</w:t>
                  </w:r>
                </w:p>
              </w:tc>
              <w:tc>
                <w:tcPr>
                  <w:tcW w:w="1235" w:type="pct"/>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废水</w:t>
                  </w:r>
                </w:p>
              </w:tc>
              <w:tc>
                <w:tcPr>
                  <w:tcW w:w="93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废水总排口DW001</w:t>
                  </w:r>
                </w:p>
              </w:tc>
              <w:tc>
                <w:tcPr>
                  <w:tcW w:w="1359" w:type="pct"/>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rPr>
                    <w:t>流量、pH值、悬浮物、化学需氧量、五日生化需氧量、氨氮、总磷、总氮、动植物油、色度</w:t>
                  </w:r>
                </w:p>
              </w:tc>
              <w:tc>
                <w:tcPr>
                  <w:tcW w:w="76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1次/半年</w:t>
                  </w:r>
                </w:p>
              </w:tc>
              <w:tc>
                <w:tcPr>
                  <w:tcW w:w="1235" w:type="pct"/>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rPr>
                    <w:t>《食品加工制造业水污染物排放标准》，（GB 46817—2025）间接排放标准</w:t>
                  </w:r>
                  <w:r>
                    <w:rPr>
                      <w:rFonts w:hint="default" w:ascii="Times New Roman" w:hAnsi="Times New Roman" w:eastAsia="宋体" w:cs="Times New Roman"/>
                      <w:color w:val="auto"/>
                      <w:sz w:val="21"/>
                      <w:szCs w:val="21"/>
                      <w:u w:val="none"/>
                      <w:lang w:val="en-US" w:eastAsia="zh-CN"/>
                    </w:rPr>
                    <w:t>及湘阴县第二污水处理厂进水水质要求</w:t>
                  </w:r>
                </w:p>
              </w:tc>
            </w:tr>
          </w:tbl>
          <w:p>
            <w:pPr>
              <w:pStyle w:val="85"/>
              <w:ind w:firstLine="0" w:firstLineChars="0"/>
              <w:rPr>
                <w:rFonts w:hint="default" w:ascii="Times New Roman" w:hAnsi="Times New Roman" w:eastAsia="宋体" w:cs="Times New Roman"/>
                <w:b/>
                <w:bCs/>
                <w:color w:val="auto"/>
                <w:spacing w:val="4"/>
                <w:sz w:val="24"/>
                <w:szCs w:val="24"/>
                <w:u w:val="none"/>
              </w:rPr>
            </w:pPr>
            <w:r>
              <w:rPr>
                <w:rFonts w:hint="default" w:ascii="Times New Roman" w:hAnsi="Times New Roman" w:eastAsia="宋体" w:cs="Times New Roman"/>
                <w:b/>
                <w:bCs/>
                <w:color w:val="auto"/>
                <w:spacing w:val="4"/>
                <w:sz w:val="24"/>
                <w:szCs w:val="24"/>
                <w:u w:val="none"/>
              </w:rPr>
              <w:t>4.4 营运期噪声</w:t>
            </w:r>
            <w:r>
              <w:rPr>
                <w:rFonts w:hint="default" w:ascii="Times New Roman" w:hAnsi="Times New Roman" w:eastAsia="宋体" w:cs="Times New Roman"/>
                <w:b/>
                <w:bCs/>
                <w:color w:val="auto"/>
                <w:sz w:val="24"/>
                <w:szCs w:val="24"/>
                <w:u w:val="none"/>
              </w:rPr>
              <w:t>影响及保护措施</w:t>
            </w:r>
          </w:p>
          <w:p>
            <w:pPr>
              <w:spacing w:line="360" w:lineRule="auto"/>
              <w:ind w:firstLine="448"/>
              <w:contextualSpacing/>
              <w:rPr>
                <w:rFonts w:hint="default" w:ascii="Times New Roman" w:hAnsi="Times New Roman" w:eastAsia="宋体" w:cs="Times New Roman"/>
                <w:b/>
                <w:color w:val="auto"/>
                <w:spacing w:val="4"/>
                <w:sz w:val="24"/>
                <w:szCs w:val="24"/>
                <w:u w:val="none"/>
              </w:rPr>
            </w:pPr>
            <w:r>
              <w:rPr>
                <w:rFonts w:hint="default" w:ascii="Times New Roman" w:hAnsi="Times New Roman" w:eastAsia="宋体" w:cs="Times New Roman"/>
                <w:b/>
                <w:color w:val="auto"/>
                <w:spacing w:val="4"/>
                <w:sz w:val="24"/>
                <w:szCs w:val="24"/>
                <w:u w:val="none"/>
              </w:rPr>
              <w:t>4.4.1 噪声源强</w:t>
            </w:r>
          </w:p>
          <w:p>
            <w:pPr>
              <w:spacing w:line="360" w:lineRule="auto"/>
              <w:ind w:firstLine="448"/>
              <w:contextualSpacing/>
              <w:rPr>
                <w:rFonts w:hint="default" w:ascii="Times New Roman" w:hAnsi="Times New Roman" w:eastAsia="宋体" w:cs="Times New Roman"/>
                <w:color w:val="auto"/>
                <w:spacing w:val="4"/>
                <w:sz w:val="24"/>
                <w:szCs w:val="24"/>
                <w:u w:val="none"/>
              </w:rPr>
            </w:pPr>
            <w:r>
              <w:rPr>
                <w:rFonts w:hint="default" w:ascii="Times New Roman" w:hAnsi="Times New Roman" w:eastAsia="宋体" w:cs="Times New Roman"/>
                <w:color w:val="auto"/>
                <w:spacing w:val="4"/>
                <w:sz w:val="24"/>
                <w:szCs w:val="24"/>
                <w:u w:val="none"/>
              </w:rPr>
              <w:t>主要噪声源强为生产设备噪声，具体情况见下表。通过选用低噪声设备，合理布置噪声源位置，安装减振垫，同时主要生产设备均位于厂房内，噪声通过厂房墙壁的隔声，可有效降低项目噪声影响；项目运营期噪声产生情况及治理措施见下表。</w:t>
            </w:r>
          </w:p>
          <w:p>
            <w:pPr>
              <w:jc w:val="center"/>
              <w:rPr>
                <w:rFonts w:hint="default" w:ascii="Times New Roman" w:hAnsi="Times New Roman" w:eastAsia="宋体" w:cs="Times New Roman"/>
                <w:b/>
                <w:color w:val="auto"/>
                <w:spacing w:val="4"/>
                <w:sz w:val="24"/>
                <w:szCs w:val="24"/>
                <w:u w:val="none"/>
              </w:rPr>
            </w:pPr>
            <w:r>
              <w:rPr>
                <w:rFonts w:hint="default" w:ascii="Times New Roman" w:hAnsi="Times New Roman" w:eastAsia="宋体" w:cs="Times New Roman"/>
                <w:b/>
                <w:color w:val="auto"/>
                <w:spacing w:val="4"/>
                <w:sz w:val="24"/>
                <w:szCs w:val="24"/>
                <w:u w:val="none"/>
              </w:rPr>
              <w:t>表4.4-1项目运营期噪声产生及治理措施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2030"/>
              <w:gridCol w:w="1168"/>
              <w:gridCol w:w="1458"/>
              <w:gridCol w:w="894"/>
              <w:gridCol w:w="1486"/>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Merge w:val="restart"/>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序号</w:t>
                  </w:r>
                </w:p>
              </w:tc>
              <w:tc>
                <w:tcPr>
                  <w:tcW w:w="1083" w:type="pct"/>
                  <w:vMerge w:val="restart"/>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设备名称</w:t>
                  </w:r>
                </w:p>
              </w:tc>
              <w:tc>
                <w:tcPr>
                  <w:tcW w:w="623" w:type="pct"/>
                  <w:vMerge w:val="restart"/>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数量</w:t>
                  </w:r>
                </w:p>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（台）</w:t>
                  </w:r>
                </w:p>
              </w:tc>
              <w:tc>
                <w:tcPr>
                  <w:tcW w:w="778" w:type="pct"/>
                  <w:vMerge w:val="restart"/>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声源类型</w:t>
                  </w:r>
                </w:p>
              </w:tc>
              <w:tc>
                <w:tcPr>
                  <w:tcW w:w="1270" w:type="pct"/>
                  <w:gridSpan w:val="2"/>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噪声级dB（A）</w:t>
                  </w:r>
                </w:p>
              </w:tc>
              <w:tc>
                <w:tcPr>
                  <w:tcW w:w="776" w:type="pct"/>
                  <w:vMerge w:val="restart"/>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治理措施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Merge w:val="continue"/>
                  <w:vAlign w:val="center"/>
                </w:tcPr>
                <w:p>
                  <w:pPr>
                    <w:widowControl/>
                    <w:jc w:val="center"/>
                    <w:rPr>
                      <w:rFonts w:hint="default" w:ascii="Times New Roman" w:hAnsi="Times New Roman" w:eastAsia="宋体" w:cs="Times New Roman"/>
                      <w:bCs/>
                      <w:color w:val="auto"/>
                      <w:sz w:val="21"/>
                      <w:szCs w:val="21"/>
                      <w:u w:val="none"/>
                    </w:rPr>
                  </w:pPr>
                </w:p>
              </w:tc>
              <w:tc>
                <w:tcPr>
                  <w:tcW w:w="1083" w:type="pct"/>
                  <w:vMerge w:val="continue"/>
                  <w:vAlign w:val="center"/>
                </w:tcPr>
                <w:p>
                  <w:pPr>
                    <w:widowControl/>
                    <w:jc w:val="center"/>
                    <w:rPr>
                      <w:rFonts w:hint="default" w:ascii="Times New Roman" w:hAnsi="Times New Roman" w:eastAsia="宋体" w:cs="Times New Roman"/>
                      <w:bCs/>
                      <w:color w:val="auto"/>
                      <w:sz w:val="21"/>
                      <w:szCs w:val="21"/>
                      <w:u w:val="none"/>
                    </w:rPr>
                  </w:pPr>
                </w:p>
              </w:tc>
              <w:tc>
                <w:tcPr>
                  <w:tcW w:w="623" w:type="pct"/>
                  <w:vMerge w:val="continue"/>
                  <w:vAlign w:val="center"/>
                </w:tcPr>
                <w:p>
                  <w:pPr>
                    <w:widowControl/>
                    <w:jc w:val="center"/>
                    <w:rPr>
                      <w:rFonts w:hint="default" w:ascii="Times New Roman" w:hAnsi="Times New Roman" w:eastAsia="宋体" w:cs="Times New Roman"/>
                      <w:bCs/>
                      <w:color w:val="auto"/>
                      <w:sz w:val="21"/>
                      <w:szCs w:val="21"/>
                      <w:u w:val="none"/>
                    </w:rPr>
                  </w:pPr>
                </w:p>
              </w:tc>
              <w:tc>
                <w:tcPr>
                  <w:tcW w:w="778" w:type="pct"/>
                  <w:vMerge w:val="continue"/>
                  <w:vAlign w:val="center"/>
                </w:tcPr>
                <w:p>
                  <w:pPr>
                    <w:widowControl/>
                    <w:jc w:val="center"/>
                    <w:rPr>
                      <w:rFonts w:hint="default" w:ascii="Times New Roman" w:hAnsi="Times New Roman" w:eastAsia="宋体" w:cs="Times New Roman"/>
                      <w:bCs/>
                      <w:color w:val="auto"/>
                      <w:sz w:val="21"/>
                      <w:szCs w:val="21"/>
                      <w:u w:val="none"/>
                    </w:rPr>
                  </w:pPr>
                </w:p>
              </w:tc>
              <w:tc>
                <w:tcPr>
                  <w:tcW w:w="477" w:type="pct"/>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单台</w:t>
                  </w:r>
                </w:p>
              </w:tc>
              <w:tc>
                <w:tcPr>
                  <w:tcW w:w="793" w:type="pct"/>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多台叠加</w:t>
                  </w:r>
                </w:p>
              </w:tc>
              <w:tc>
                <w:tcPr>
                  <w:tcW w:w="776" w:type="pct"/>
                  <w:vMerge w:val="continue"/>
                  <w:vAlign w:val="center"/>
                </w:tcPr>
                <w:p>
                  <w:pPr>
                    <w:widowControl/>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旋转式蒸汽罐</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3</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75 </w:t>
                  </w:r>
                </w:p>
              </w:tc>
              <w:tc>
                <w:tcPr>
                  <w:tcW w:w="776" w:type="pct"/>
                  <w:vMerge w:val="restar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低噪声设备+厂房隔声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rPr>
                    <w:t>搅拌</w:t>
                  </w:r>
                  <w:r>
                    <w:rPr>
                      <w:rFonts w:hint="default" w:ascii="Times New Roman" w:hAnsi="Times New Roman" w:eastAsia="宋体" w:cs="Times New Roman"/>
                      <w:bCs/>
                      <w:color w:val="auto"/>
                      <w:sz w:val="21"/>
                      <w:szCs w:val="21"/>
                      <w:u w:val="none"/>
                      <w:lang w:val="en-US" w:eastAsia="zh-CN"/>
                    </w:rPr>
                    <w:t>器</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70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豆豉拌料机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2</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73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烘干机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75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封口机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5</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72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磨浆机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3</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80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85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离心机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3</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80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冲浆机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70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压榨机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83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腐乳拌料机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2</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73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收缩机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3</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70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腐乳</w:t>
                  </w:r>
                  <w:r>
                    <w:rPr>
                      <w:rFonts w:hint="default" w:ascii="Times New Roman" w:hAnsi="Times New Roman" w:eastAsia="宋体" w:cs="Times New Roman"/>
                      <w:bCs/>
                      <w:color w:val="auto"/>
                      <w:sz w:val="21"/>
                      <w:szCs w:val="21"/>
                      <w:u w:val="none"/>
                      <w:lang w:eastAsia="zh-CN"/>
                    </w:rPr>
                    <w:t>灌装</w:t>
                  </w:r>
                  <w:r>
                    <w:rPr>
                      <w:rFonts w:hint="default" w:ascii="Times New Roman" w:hAnsi="Times New Roman" w:eastAsia="宋体" w:cs="Times New Roman"/>
                      <w:bCs/>
                      <w:color w:val="auto"/>
                      <w:sz w:val="21"/>
                      <w:szCs w:val="21"/>
                      <w:u w:val="none"/>
                    </w:rPr>
                    <w:t>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65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炒锅</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8</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79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切菜机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3</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75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切丝机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2</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73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绞肉机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70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菜馅机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3</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75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lang w:val="en-US" w:eastAsia="zh-CN"/>
                    </w:rPr>
                    <w:t>调味品拌料机</w:t>
                  </w:r>
                </w:p>
              </w:tc>
              <w:tc>
                <w:tcPr>
                  <w:tcW w:w="623" w:type="pct"/>
                  <w:vAlign w:val="center"/>
                </w:tcPr>
                <w:p>
                  <w:pPr>
                    <w:jc w:val="center"/>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lang w:val="en-US" w:eastAsia="zh-CN"/>
                    </w:rPr>
                    <w:t>3</w:t>
                  </w:r>
                </w:p>
              </w:tc>
              <w:tc>
                <w:tcPr>
                  <w:tcW w:w="778" w:type="pct"/>
                  <w:shd w:val="clear" w:color="auto" w:fill="auto"/>
                  <w:vAlign w:val="center"/>
                </w:tcPr>
                <w:p>
                  <w:pPr>
                    <w:jc w:val="center"/>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eastAsia="宋体" w:cs="Times New Roman"/>
                      <w:bCs/>
                      <w:color w:val="auto"/>
                      <w:sz w:val="21"/>
                      <w:szCs w:val="21"/>
                      <w:u w:val="none"/>
                    </w:rPr>
                    <w:t>室内声源</w:t>
                  </w:r>
                </w:p>
              </w:tc>
              <w:tc>
                <w:tcPr>
                  <w:tcW w:w="477" w:type="pct"/>
                  <w:shd w:val="clear" w:color="auto" w:fill="auto"/>
                  <w:vAlign w:val="center"/>
                </w:tcPr>
                <w:p>
                  <w:pPr>
                    <w:jc w:val="center"/>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eastAsia="宋体" w:cs="Times New Roman"/>
                      <w:bCs/>
                      <w:color w:val="auto"/>
                      <w:sz w:val="21"/>
                      <w:szCs w:val="21"/>
                      <w:u w:val="none"/>
                    </w:rPr>
                    <w:t>70</w:t>
                  </w:r>
                </w:p>
              </w:tc>
              <w:tc>
                <w:tcPr>
                  <w:tcW w:w="793" w:type="pct"/>
                  <w:shd w:val="clear" w:color="auto" w:fill="auto"/>
                  <w:vAlign w:val="center"/>
                </w:tcPr>
                <w:p>
                  <w:pPr>
                    <w:jc w:val="center"/>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eastAsia="宋体" w:cs="Times New Roman"/>
                      <w:color w:val="auto"/>
                      <w:sz w:val="21"/>
                      <w:szCs w:val="21"/>
                      <w:u w:val="none"/>
                    </w:rPr>
                    <w:t xml:space="preserve">75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蒸汽柜</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70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调味品灌装机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65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食用油灌装机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 xml:space="preserve">1 </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65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压盖机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65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打码机</w:t>
                  </w:r>
                </w:p>
              </w:tc>
              <w:tc>
                <w:tcPr>
                  <w:tcW w:w="623" w:type="pct"/>
                  <w:vAlign w:val="center"/>
                </w:tcPr>
                <w:p>
                  <w:pPr>
                    <w:jc w:val="center"/>
                    <w:rPr>
                      <w:rFonts w:hint="default" w:ascii="Times New Roman" w:hAnsi="Times New Roman" w:eastAsia="宋体" w:cs="Times New Roman"/>
                      <w:bCs/>
                      <w:color w:val="auto"/>
                      <w:sz w:val="21"/>
                      <w:szCs w:val="21"/>
                      <w:u w:val="none"/>
                      <w:lang w:eastAsia="zh-CN"/>
                    </w:rPr>
                  </w:pPr>
                  <w:r>
                    <w:rPr>
                      <w:rFonts w:hint="default" w:ascii="Times New Roman" w:hAnsi="Times New Roman" w:eastAsia="宋体" w:cs="Times New Roman"/>
                      <w:bCs/>
                      <w:color w:val="auto"/>
                      <w:sz w:val="21"/>
                      <w:szCs w:val="21"/>
                      <w:u w:val="none"/>
                      <w:lang w:val="en-US" w:eastAsia="zh-CN"/>
                    </w:rPr>
                    <w:t>2</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793" w:type="pct"/>
                  <w:vAlign w:val="center"/>
                </w:tcPr>
                <w:p>
                  <w:pPr>
                    <w:jc w:val="center"/>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lang w:val="en-US" w:eastAsia="zh-CN"/>
                    </w:rPr>
                    <w:t>68</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贴标机</w:t>
                  </w:r>
                </w:p>
              </w:tc>
              <w:tc>
                <w:tcPr>
                  <w:tcW w:w="623" w:type="pct"/>
                  <w:vAlign w:val="center"/>
                </w:tcPr>
                <w:p>
                  <w:pPr>
                    <w:jc w:val="center"/>
                    <w:rPr>
                      <w:rFonts w:hint="default" w:ascii="Times New Roman" w:hAnsi="Times New Roman" w:eastAsia="宋体" w:cs="Times New Roman"/>
                      <w:bCs/>
                      <w:color w:val="auto"/>
                      <w:sz w:val="21"/>
                      <w:szCs w:val="21"/>
                      <w:u w:val="none"/>
                      <w:lang w:eastAsia="zh-CN"/>
                    </w:rPr>
                  </w:pPr>
                  <w:r>
                    <w:rPr>
                      <w:rFonts w:hint="default" w:ascii="Times New Roman" w:hAnsi="Times New Roman" w:eastAsia="宋体" w:cs="Times New Roman"/>
                      <w:bCs/>
                      <w:color w:val="auto"/>
                      <w:sz w:val="21"/>
                      <w:szCs w:val="21"/>
                      <w:u w:val="none"/>
                      <w:lang w:val="en-US" w:eastAsia="zh-CN"/>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60</w:t>
                  </w:r>
                </w:p>
              </w:tc>
              <w:tc>
                <w:tcPr>
                  <w:tcW w:w="793" w:type="pct"/>
                  <w:vAlign w:val="center"/>
                </w:tcPr>
                <w:p>
                  <w:pPr>
                    <w:jc w:val="center"/>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lang w:val="en-US" w:eastAsia="zh-CN"/>
                    </w:rPr>
                    <w:t>60</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打包机</w:t>
                  </w:r>
                </w:p>
              </w:tc>
              <w:tc>
                <w:tcPr>
                  <w:tcW w:w="623" w:type="pct"/>
                  <w:vAlign w:val="center"/>
                </w:tcPr>
                <w:p>
                  <w:pPr>
                    <w:jc w:val="center"/>
                    <w:rPr>
                      <w:rFonts w:hint="default" w:ascii="Times New Roman" w:hAnsi="Times New Roman" w:eastAsia="宋体" w:cs="Times New Roman"/>
                      <w:bCs/>
                      <w:color w:val="auto"/>
                      <w:sz w:val="21"/>
                      <w:szCs w:val="21"/>
                      <w:u w:val="none"/>
                      <w:lang w:eastAsia="zh-CN"/>
                    </w:rPr>
                  </w:pPr>
                  <w:r>
                    <w:rPr>
                      <w:rFonts w:hint="default" w:ascii="Times New Roman" w:hAnsi="Times New Roman" w:eastAsia="宋体" w:cs="Times New Roman"/>
                      <w:bCs/>
                      <w:color w:val="auto"/>
                      <w:sz w:val="21"/>
                      <w:szCs w:val="21"/>
                      <w:u w:val="none"/>
                      <w:lang w:val="en-US" w:eastAsia="zh-CN"/>
                    </w:rPr>
                    <w:t>3</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lang w:val="en-US" w:eastAsia="zh-CN"/>
                    </w:rPr>
                    <w:t>70</w:t>
                  </w:r>
                  <w:r>
                    <w:rPr>
                      <w:rFonts w:hint="default" w:ascii="Times New Roman" w:hAnsi="Times New Roman" w:eastAsia="宋体" w:cs="Times New Roman"/>
                      <w:color w:val="auto"/>
                      <w:sz w:val="21"/>
                      <w:szCs w:val="21"/>
                      <w:u w:val="none"/>
                    </w:rPr>
                    <w:t xml:space="preserve">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洗姜机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70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清洗机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10</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80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脱水机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2</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78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色选机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室内声源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793"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 xml:space="preserve">70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车间风机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lang w:val="en-US" w:eastAsia="zh-CN"/>
                    </w:rPr>
                    <w:t>室内</w:t>
                  </w:r>
                  <w:r>
                    <w:rPr>
                      <w:rFonts w:hint="default" w:ascii="Times New Roman" w:hAnsi="Times New Roman" w:eastAsia="宋体" w:cs="Times New Roman"/>
                      <w:bCs/>
                      <w:color w:val="auto"/>
                      <w:sz w:val="21"/>
                      <w:szCs w:val="21"/>
                      <w:u w:val="none"/>
                    </w:rPr>
                    <w:t>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80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80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纯水机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w:t>
                  </w:r>
                  <w:r>
                    <w:rPr>
                      <w:rFonts w:hint="default" w:ascii="Times New Roman" w:hAnsi="Times New Roman" w:eastAsia="宋体" w:cs="Times New Roman"/>
                      <w:bCs/>
                      <w:color w:val="auto"/>
                      <w:sz w:val="21"/>
                      <w:szCs w:val="21"/>
                      <w:u w:val="none"/>
                      <w:lang w:val="en-US" w:eastAsia="zh-CN"/>
                    </w:rPr>
                    <w:t>内</w:t>
                  </w:r>
                  <w:r>
                    <w:rPr>
                      <w:rFonts w:hint="default" w:ascii="Times New Roman" w:hAnsi="Times New Roman" w:eastAsia="宋体" w:cs="Times New Roman"/>
                      <w:bCs/>
                      <w:color w:val="auto"/>
                      <w:sz w:val="21"/>
                      <w:szCs w:val="21"/>
                      <w:u w:val="none"/>
                    </w:rPr>
                    <w:t>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65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泵类</w:t>
                  </w:r>
                </w:p>
              </w:tc>
              <w:tc>
                <w:tcPr>
                  <w:tcW w:w="623" w:type="pct"/>
                  <w:vAlign w:val="center"/>
                </w:tcPr>
                <w:p>
                  <w:pPr>
                    <w:jc w:val="center"/>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lang w:val="en-US" w:eastAsia="zh-CN"/>
                    </w:rPr>
                    <w:t>12</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室外声源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80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9</w:t>
                  </w:r>
                  <w:r>
                    <w:rPr>
                      <w:rFonts w:hint="default" w:ascii="Times New Roman" w:hAnsi="Times New Roman" w:eastAsia="宋体" w:cs="Times New Roman"/>
                      <w:color w:val="auto"/>
                      <w:sz w:val="21"/>
                      <w:szCs w:val="21"/>
                      <w:u w:val="none"/>
                      <w:lang w:val="en-US" w:eastAsia="zh-CN"/>
                    </w:rPr>
                    <w:t>1</w:t>
                  </w:r>
                  <w:r>
                    <w:rPr>
                      <w:rFonts w:hint="default" w:ascii="Times New Roman" w:hAnsi="Times New Roman" w:eastAsia="宋体" w:cs="Times New Roman"/>
                      <w:color w:val="auto"/>
                      <w:sz w:val="21"/>
                      <w:szCs w:val="21"/>
                      <w:u w:val="none"/>
                    </w:rPr>
                    <w:t xml:space="preserve"> </w:t>
                  </w:r>
                </w:p>
              </w:tc>
              <w:tc>
                <w:tcPr>
                  <w:tcW w:w="776"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低噪声设备+减震基座+污水池加盖密封降噪</w:t>
                  </w:r>
                  <w:r>
                    <w:rPr>
                      <w:rFonts w:hint="default" w:ascii="Times New Roman" w:hAnsi="Times New Roman" w:eastAsia="宋体" w:cs="Times New Roman"/>
                      <w:bCs/>
                      <w:color w:val="auto"/>
                      <w:sz w:val="21"/>
                      <w:szCs w:val="21"/>
                      <w:u w:val="none"/>
                      <w:lang w:val="en-US" w:eastAsia="zh-CN"/>
                    </w:rPr>
                    <w:t>15</w:t>
                  </w:r>
                  <w:r>
                    <w:rPr>
                      <w:rFonts w:hint="default" w:ascii="Times New Roman" w:hAnsi="Times New Roman" w:eastAsia="宋体" w:cs="Times New Roman"/>
                      <w:bCs/>
                      <w:color w:val="auto"/>
                      <w:sz w:val="21"/>
                      <w:szCs w:val="21"/>
                      <w:u w:val="none"/>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蒸汽发生器</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2</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室外声源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85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88 </w:t>
                  </w:r>
                </w:p>
              </w:tc>
              <w:tc>
                <w:tcPr>
                  <w:tcW w:w="776" w:type="pct"/>
                  <w:vMerge w:val="restar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低噪声设备+减震基座+风管接头软连接+消声器，降噪</w:t>
                  </w:r>
                  <w:r>
                    <w:rPr>
                      <w:rFonts w:hint="default" w:ascii="Times New Roman" w:hAnsi="Times New Roman" w:eastAsia="宋体" w:cs="Times New Roman"/>
                      <w:bCs/>
                      <w:color w:val="auto"/>
                      <w:sz w:val="21"/>
                      <w:szCs w:val="21"/>
                      <w:u w:val="none"/>
                      <w:lang w:val="en-US" w:eastAsia="zh-CN"/>
                    </w:rPr>
                    <w:t>15</w:t>
                  </w:r>
                  <w:r>
                    <w:rPr>
                      <w:rFonts w:hint="default" w:ascii="Times New Roman" w:hAnsi="Times New Roman" w:eastAsia="宋体" w:cs="Times New Roman"/>
                      <w:bCs/>
                      <w:color w:val="auto"/>
                      <w:sz w:val="21"/>
                      <w:szCs w:val="21"/>
                      <w:u w:val="none"/>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气浮机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室外声源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75</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75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空压机</w:t>
                  </w:r>
                </w:p>
              </w:tc>
              <w:tc>
                <w:tcPr>
                  <w:tcW w:w="62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1</w:t>
                  </w:r>
                </w:p>
              </w:tc>
              <w:tc>
                <w:tcPr>
                  <w:tcW w:w="778"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室外声源</w:t>
                  </w:r>
                </w:p>
              </w:tc>
              <w:tc>
                <w:tcPr>
                  <w:tcW w:w="477"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80</w:t>
                  </w:r>
                </w:p>
              </w:tc>
              <w:tc>
                <w:tcPr>
                  <w:tcW w:w="793" w:type="pct"/>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color w:val="auto"/>
                      <w:sz w:val="21"/>
                      <w:szCs w:val="21"/>
                      <w:u w:val="none"/>
                    </w:rPr>
                    <w:t xml:space="preserve">80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shd w:val="clear" w:color="auto" w:fill="auto"/>
                  <w:vAlign w:val="center"/>
                </w:tcPr>
                <w:p>
                  <w:pPr>
                    <w:jc w:val="center"/>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eastAsia="宋体" w:cs="Times New Roman"/>
                      <w:bCs/>
                      <w:color w:val="auto"/>
                      <w:sz w:val="21"/>
                      <w:szCs w:val="21"/>
                      <w:u w:val="none"/>
                      <w:lang w:val="en-US" w:eastAsia="zh-CN"/>
                    </w:rPr>
                    <w:t>鼓</w:t>
                  </w:r>
                  <w:r>
                    <w:rPr>
                      <w:rFonts w:hint="default" w:ascii="Times New Roman" w:hAnsi="Times New Roman" w:eastAsia="宋体" w:cs="Times New Roman"/>
                      <w:bCs/>
                      <w:color w:val="auto"/>
                      <w:sz w:val="21"/>
                      <w:szCs w:val="21"/>
                      <w:u w:val="none"/>
                    </w:rPr>
                    <w:t>风机</w:t>
                  </w:r>
                </w:p>
              </w:tc>
              <w:tc>
                <w:tcPr>
                  <w:tcW w:w="623" w:type="pct"/>
                  <w:shd w:val="clear" w:color="auto" w:fill="auto"/>
                  <w:vAlign w:val="center"/>
                </w:tcPr>
                <w:p>
                  <w:pPr>
                    <w:jc w:val="center"/>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eastAsia="宋体" w:cs="Times New Roman"/>
                      <w:bCs/>
                      <w:color w:val="auto"/>
                      <w:sz w:val="21"/>
                      <w:szCs w:val="21"/>
                      <w:u w:val="none"/>
                    </w:rPr>
                    <w:t>2</w:t>
                  </w:r>
                </w:p>
              </w:tc>
              <w:tc>
                <w:tcPr>
                  <w:tcW w:w="778" w:type="pct"/>
                  <w:shd w:val="clear" w:color="auto" w:fill="auto"/>
                  <w:vAlign w:val="center"/>
                </w:tcPr>
                <w:p>
                  <w:pPr>
                    <w:jc w:val="center"/>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eastAsia="宋体" w:cs="Times New Roman"/>
                      <w:bCs/>
                      <w:color w:val="auto"/>
                      <w:sz w:val="21"/>
                      <w:szCs w:val="21"/>
                      <w:u w:val="none"/>
                    </w:rPr>
                    <w:t>室外声源</w:t>
                  </w:r>
                </w:p>
              </w:tc>
              <w:tc>
                <w:tcPr>
                  <w:tcW w:w="477" w:type="pct"/>
                  <w:shd w:val="clear" w:color="auto" w:fill="auto"/>
                  <w:vAlign w:val="center"/>
                </w:tcPr>
                <w:p>
                  <w:pPr>
                    <w:jc w:val="center"/>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eastAsia="宋体" w:cs="Times New Roman"/>
                      <w:bCs/>
                      <w:color w:val="auto"/>
                      <w:sz w:val="21"/>
                      <w:szCs w:val="21"/>
                      <w:u w:val="none"/>
                    </w:rPr>
                    <w:t>80</w:t>
                  </w:r>
                </w:p>
              </w:tc>
              <w:tc>
                <w:tcPr>
                  <w:tcW w:w="793"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rPr>
                    <w:t xml:space="preserve">83 </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67" w:type="pct"/>
                  <w:vAlign w:val="center"/>
                </w:tcPr>
                <w:p>
                  <w:pPr>
                    <w:pStyle w:val="115"/>
                    <w:numPr>
                      <w:ilvl w:val="0"/>
                      <w:numId w:val="3"/>
                    </w:numPr>
                    <w:ind w:firstLineChars="0"/>
                    <w:jc w:val="center"/>
                    <w:rPr>
                      <w:rFonts w:hint="default" w:ascii="Times New Roman" w:hAnsi="Times New Roman" w:eastAsia="宋体" w:cs="Times New Roman"/>
                      <w:bCs/>
                      <w:color w:val="auto"/>
                      <w:sz w:val="21"/>
                      <w:szCs w:val="21"/>
                      <w:u w:val="none"/>
                    </w:rPr>
                  </w:pPr>
                </w:p>
              </w:tc>
              <w:tc>
                <w:tcPr>
                  <w:tcW w:w="1083" w:type="pct"/>
                  <w:vAlign w:val="center"/>
                </w:tcPr>
                <w:p>
                  <w:pPr>
                    <w:jc w:val="both"/>
                    <w:rPr>
                      <w:rFonts w:hint="default" w:ascii="Times New Roman" w:hAnsi="Times New Roman" w:eastAsia="宋体" w:cs="Times New Roman"/>
                      <w:bCs/>
                      <w:color w:val="auto"/>
                      <w:sz w:val="21"/>
                      <w:szCs w:val="21"/>
                      <w:u w:val="none"/>
                      <w:lang w:val="en-US" w:eastAsia="zh-CN"/>
                    </w:rPr>
                  </w:pPr>
                  <w:r>
                    <w:rPr>
                      <w:rFonts w:hint="default" w:ascii="Times New Roman" w:hAnsi="Times New Roman" w:eastAsia="宋体" w:cs="Times New Roman"/>
                      <w:bCs/>
                      <w:color w:val="auto"/>
                      <w:sz w:val="21"/>
                      <w:szCs w:val="21"/>
                      <w:u w:val="none"/>
                      <w:lang w:val="en-US" w:eastAsia="zh-CN"/>
                    </w:rPr>
                    <w:t>臭气处理风机</w:t>
                  </w:r>
                </w:p>
              </w:tc>
              <w:tc>
                <w:tcPr>
                  <w:tcW w:w="623" w:type="pct"/>
                  <w:shd w:val="clear" w:color="auto" w:fill="auto"/>
                  <w:vAlign w:val="center"/>
                </w:tcPr>
                <w:p>
                  <w:pPr>
                    <w:jc w:val="center"/>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eastAsia="宋体" w:cs="Times New Roman"/>
                      <w:bCs/>
                      <w:color w:val="auto"/>
                      <w:sz w:val="21"/>
                      <w:szCs w:val="21"/>
                      <w:u w:val="none"/>
                      <w:lang w:val="en-US" w:eastAsia="zh-CN"/>
                    </w:rPr>
                    <w:t>1</w:t>
                  </w:r>
                </w:p>
              </w:tc>
              <w:tc>
                <w:tcPr>
                  <w:tcW w:w="778" w:type="pct"/>
                  <w:shd w:val="clear" w:color="auto" w:fill="auto"/>
                  <w:vAlign w:val="center"/>
                </w:tcPr>
                <w:p>
                  <w:pPr>
                    <w:jc w:val="center"/>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eastAsia="宋体" w:cs="Times New Roman"/>
                      <w:bCs/>
                      <w:color w:val="auto"/>
                      <w:sz w:val="21"/>
                      <w:szCs w:val="21"/>
                      <w:u w:val="none"/>
                    </w:rPr>
                    <w:t>室外声源</w:t>
                  </w:r>
                </w:p>
              </w:tc>
              <w:tc>
                <w:tcPr>
                  <w:tcW w:w="477" w:type="pct"/>
                  <w:shd w:val="clear" w:color="auto" w:fill="auto"/>
                  <w:vAlign w:val="center"/>
                </w:tcPr>
                <w:p>
                  <w:pPr>
                    <w:jc w:val="center"/>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eastAsia="宋体" w:cs="Times New Roman"/>
                      <w:bCs/>
                      <w:color w:val="auto"/>
                      <w:sz w:val="21"/>
                      <w:szCs w:val="21"/>
                      <w:u w:val="none"/>
                    </w:rPr>
                    <w:t>80</w:t>
                  </w:r>
                </w:p>
              </w:tc>
              <w:tc>
                <w:tcPr>
                  <w:tcW w:w="793"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rPr>
                    <w:t>8</w:t>
                  </w:r>
                  <w:r>
                    <w:rPr>
                      <w:rFonts w:hint="default" w:ascii="Times New Roman" w:hAnsi="Times New Roman" w:eastAsia="宋体" w:cs="Times New Roman"/>
                      <w:color w:val="auto"/>
                      <w:sz w:val="21"/>
                      <w:szCs w:val="21"/>
                      <w:u w:val="none"/>
                      <w:lang w:val="en-US" w:eastAsia="zh-CN"/>
                    </w:rPr>
                    <w:t>0</w:t>
                  </w:r>
                </w:p>
              </w:tc>
              <w:tc>
                <w:tcPr>
                  <w:tcW w:w="776" w:type="pct"/>
                  <w:vMerge w:val="continue"/>
                  <w:vAlign w:val="center"/>
                </w:tcPr>
                <w:p>
                  <w:pPr>
                    <w:jc w:val="center"/>
                    <w:rPr>
                      <w:rFonts w:hint="default" w:ascii="Times New Roman" w:hAnsi="Times New Roman" w:eastAsia="宋体" w:cs="Times New Roman"/>
                      <w:bCs/>
                      <w:color w:val="auto"/>
                      <w:sz w:val="21"/>
                      <w:szCs w:val="21"/>
                      <w:u w:val="none"/>
                    </w:rPr>
                  </w:pPr>
                </w:p>
              </w:tc>
            </w:tr>
          </w:tbl>
          <w:p>
            <w:pPr>
              <w:adjustRightInd w:val="0"/>
              <w:snapToGrid w:val="0"/>
              <w:spacing w:line="360" w:lineRule="auto"/>
              <w:ind w:firstLine="482" w:firstLineChars="200"/>
              <w:rPr>
                <w:rFonts w:hint="default" w:ascii="Times New Roman" w:hAnsi="Times New Roman" w:eastAsia="宋体" w:cs="Times New Roman"/>
                <w:b/>
                <w:bCs/>
                <w:color w:val="auto"/>
                <w:sz w:val="24"/>
                <w:szCs w:val="24"/>
                <w:u w:val="none"/>
              </w:rPr>
            </w:pPr>
          </w:p>
          <w:p>
            <w:pPr>
              <w:adjustRightInd w:val="0"/>
              <w:snapToGrid w:val="0"/>
              <w:spacing w:line="360" w:lineRule="auto"/>
              <w:jc w:val="center"/>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表4.4-2 工业企业噪声源强调查清单（室外声源）</w:t>
            </w:r>
          </w:p>
          <w:tbl>
            <w:tblPr>
              <w:tblStyle w:val="27"/>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84"/>
              <w:gridCol w:w="995"/>
              <w:gridCol w:w="740"/>
              <w:gridCol w:w="659"/>
              <w:gridCol w:w="545"/>
              <w:gridCol w:w="2364"/>
              <w:gridCol w:w="2682"/>
              <w:gridCol w:w="7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312" w:type="pct"/>
                  <w:vMerge w:val="restart"/>
                  <w:tcBorders>
                    <w:tl2br w:val="nil"/>
                    <w:tr2bl w:val="nil"/>
                  </w:tcBorders>
                  <w:shd w:val="clear" w:color="auto" w:fill="auto"/>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lang w:val="en-US" w:eastAsia="zh-CN"/>
                    </w:rPr>
                    <w:t>序号</w:t>
                  </w:r>
                </w:p>
              </w:tc>
              <w:tc>
                <w:tcPr>
                  <w:tcW w:w="531" w:type="pct"/>
                  <w:vMerge w:val="restart"/>
                  <w:tcBorders>
                    <w:tl2br w:val="nil"/>
                    <w:tr2bl w:val="nil"/>
                  </w:tcBorders>
                  <w:shd w:val="clear" w:color="auto" w:fill="auto"/>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lang w:val="en-US" w:eastAsia="zh-CN"/>
                    </w:rPr>
                    <w:t>声源名称</w:t>
                  </w:r>
                </w:p>
              </w:tc>
              <w:tc>
                <w:tcPr>
                  <w:tcW w:w="1038" w:type="pct"/>
                  <w:gridSpan w:val="3"/>
                  <w:tcBorders>
                    <w:tl2br w:val="nil"/>
                    <w:tr2bl w:val="nil"/>
                  </w:tcBorders>
                  <w:shd w:val="clear" w:color="auto" w:fill="auto"/>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lang w:val="en-US" w:eastAsia="zh-CN"/>
                    </w:rPr>
                    <w:t>空间相对位置/m</w:t>
                  </w:r>
                </w:p>
              </w:tc>
              <w:tc>
                <w:tcPr>
                  <w:tcW w:w="1262" w:type="pct"/>
                  <w:tcBorders>
                    <w:tl2br w:val="nil"/>
                    <w:tr2bl w:val="nil"/>
                  </w:tcBorders>
                  <w:shd w:val="clear" w:color="auto" w:fill="auto"/>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lang w:val="en-US" w:eastAsia="zh-CN"/>
                    </w:rPr>
                    <w:t>声源源强</w:t>
                  </w:r>
                </w:p>
              </w:tc>
              <w:tc>
                <w:tcPr>
                  <w:tcW w:w="1432" w:type="pct"/>
                  <w:vMerge w:val="restart"/>
                  <w:tcBorders>
                    <w:tl2br w:val="nil"/>
                    <w:tr2bl w:val="nil"/>
                  </w:tcBorders>
                  <w:shd w:val="clear" w:color="auto" w:fill="auto"/>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lang w:val="en-US" w:eastAsia="zh-CN"/>
                    </w:rPr>
                    <w:t>声源控制措施</w:t>
                  </w:r>
                </w:p>
              </w:tc>
              <w:tc>
                <w:tcPr>
                  <w:tcW w:w="423" w:type="pct"/>
                  <w:vMerge w:val="restart"/>
                  <w:tcBorders>
                    <w:tl2br w:val="nil"/>
                    <w:tr2bl w:val="nil"/>
                  </w:tcBorders>
                  <w:shd w:val="clear" w:color="auto" w:fill="auto"/>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lang w:val="en-US" w:eastAsia="zh-CN"/>
                    </w:rPr>
                    <w:t>运行时段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312" w:type="pct"/>
                  <w:vMerge w:val="continue"/>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p>
              </w:tc>
              <w:tc>
                <w:tcPr>
                  <w:tcW w:w="531" w:type="pct"/>
                  <w:vMerge w:val="continue"/>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p>
              </w:tc>
              <w:tc>
                <w:tcPr>
                  <w:tcW w:w="395" w:type="pct"/>
                  <w:tcBorders>
                    <w:tl2br w:val="nil"/>
                    <w:tr2bl w:val="nil"/>
                  </w:tcBorders>
                  <w:shd w:val="clear" w:color="auto" w:fill="auto"/>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lang w:val="en-US" w:eastAsia="zh-CN"/>
                    </w:rPr>
                    <w:t>X</w:t>
                  </w:r>
                </w:p>
              </w:tc>
              <w:tc>
                <w:tcPr>
                  <w:tcW w:w="352" w:type="pct"/>
                  <w:tcBorders>
                    <w:tl2br w:val="nil"/>
                    <w:tr2bl w:val="nil"/>
                  </w:tcBorders>
                  <w:shd w:val="clear" w:color="auto" w:fill="auto"/>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lang w:val="en-US" w:eastAsia="zh-CN"/>
                    </w:rPr>
                    <w:t>Y</w:t>
                  </w:r>
                </w:p>
              </w:tc>
              <w:tc>
                <w:tcPr>
                  <w:tcW w:w="290" w:type="pct"/>
                  <w:tcBorders>
                    <w:tl2br w:val="nil"/>
                    <w:tr2bl w:val="nil"/>
                  </w:tcBorders>
                  <w:shd w:val="clear" w:color="auto" w:fill="auto"/>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lang w:val="en-US" w:eastAsia="zh-CN"/>
                    </w:rPr>
                    <w:t>Z</w:t>
                  </w:r>
                </w:p>
              </w:tc>
              <w:tc>
                <w:tcPr>
                  <w:tcW w:w="1262" w:type="pct"/>
                  <w:tcBorders>
                    <w:tl2br w:val="nil"/>
                    <w:tr2bl w:val="nil"/>
                  </w:tcBorders>
                  <w:shd w:val="clear" w:color="auto" w:fill="auto"/>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lang w:val="en-US" w:eastAsia="zh-CN"/>
                    </w:rPr>
                    <w:t>（声压级/距声源距离）/（dB(A)/m）</w:t>
                  </w:r>
                </w:p>
              </w:tc>
              <w:tc>
                <w:tcPr>
                  <w:tcW w:w="1432" w:type="pct"/>
                  <w:vMerge w:val="continue"/>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p>
              </w:tc>
              <w:tc>
                <w:tcPr>
                  <w:tcW w:w="423" w:type="pct"/>
                  <w:vMerge w:val="continue"/>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31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w:t>
                  </w:r>
                </w:p>
              </w:tc>
              <w:tc>
                <w:tcPr>
                  <w:tcW w:w="531"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泵类</w:t>
                  </w:r>
                </w:p>
              </w:tc>
              <w:tc>
                <w:tcPr>
                  <w:tcW w:w="395"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-6.4</w:t>
                  </w:r>
                </w:p>
              </w:tc>
              <w:tc>
                <w:tcPr>
                  <w:tcW w:w="35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54.5</w:t>
                  </w:r>
                </w:p>
              </w:tc>
              <w:tc>
                <w:tcPr>
                  <w:tcW w:w="290"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1.2</w:t>
                  </w:r>
                </w:p>
              </w:tc>
              <w:tc>
                <w:tcPr>
                  <w:tcW w:w="126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rPr>
                    <w:t>9</w:t>
                  </w:r>
                  <w:r>
                    <w:rPr>
                      <w:rFonts w:hint="default" w:ascii="Times New Roman" w:hAnsi="Times New Roman" w:eastAsia="宋体" w:cs="Times New Roman"/>
                      <w:color w:val="auto"/>
                      <w:sz w:val="21"/>
                      <w:szCs w:val="21"/>
                      <w:u w:val="none"/>
                      <w:lang w:val="en-US" w:eastAsia="zh-CN"/>
                    </w:rPr>
                    <w:t>1</w:t>
                  </w:r>
                  <w:r>
                    <w:rPr>
                      <w:rFonts w:hint="default" w:ascii="Times New Roman" w:hAnsi="Times New Roman" w:eastAsia="宋体" w:cs="Times New Roman"/>
                      <w:color w:val="auto"/>
                      <w:sz w:val="21"/>
                      <w:szCs w:val="21"/>
                      <w:u w:val="none"/>
                      <w:lang w:eastAsia="zh-CN"/>
                    </w:rPr>
                    <w:t>/1</w:t>
                  </w:r>
                </w:p>
              </w:tc>
              <w:tc>
                <w:tcPr>
                  <w:tcW w:w="143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低噪声设备+减震基座+污水池加盖密封</w:t>
                  </w:r>
                  <w:r>
                    <w:rPr>
                      <w:rFonts w:hint="eastAsia"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 w:val="21"/>
                      <w:szCs w:val="21"/>
                      <w:u w:val="none"/>
                    </w:rPr>
                    <w:t>降噪</w:t>
                  </w:r>
                  <w:r>
                    <w:rPr>
                      <w:rFonts w:hint="default" w:ascii="Times New Roman" w:hAnsi="Times New Roman" w:eastAsia="宋体" w:cs="Times New Roman"/>
                      <w:color w:val="auto"/>
                      <w:sz w:val="21"/>
                      <w:szCs w:val="21"/>
                      <w:u w:val="none"/>
                      <w:lang w:val="en-US" w:eastAsia="zh-CN"/>
                    </w:rPr>
                    <w:t>15</w:t>
                  </w:r>
                  <w:r>
                    <w:rPr>
                      <w:rFonts w:hint="default" w:ascii="Times New Roman" w:hAnsi="Times New Roman" w:eastAsia="宋体" w:cs="Times New Roman"/>
                      <w:color w:val="auto"/>
                      <w:sz w:val="21"/>
                      <w:szCs w:val="21"/>
                      <w:u w:val="none"/>
                    </w:rPr>
                    <w:t>dB（A）</w:t>
                  </w:r>
                </w:p>
              </w:tc>
              <w:tc>
                <w:tcPr>
                  <w:tcW w:w="423"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31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w:t>
                  </w:r>
                </w:p>
              </w:tc>
              <w:tc>
                <w:tcPr>
                  <w:tcW w:w="531"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蒸汽发生器</w:t>
                  </w:r>
                </w:p>
              </w:tc>
              <w:tc>
                <w:tcPr>
                  <w:tcW w:w="395"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32.4</w:t>
                  </w:r>
                </w:p>
              </w:tc>
              <w:tc>
                <w:tcPr>
                  <w:tcW w:w="35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70.6</w:t>
                  </w:r>
                </w:p>
              </w:tc>
              <w:tc>
                <w:tcPr>
                  <w:tcW w:w="290"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1.2</w:t>
                  </w:r>
                </w:p>
              </w:tc>
              <w:tc>
                <w:tcPr>
                  <w:tcW w:w="126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rPr>
                    <w:t>88</w:t>
                  </w:r>
                  <w:r>
                    <w:rPr>
                      <w:rFonts w:hint="default" w:ascii="Times New Roman" w:hAnsi="Times New Roman" w:eastAsia="宋体" w:cs="Times New Roman"/>
                      <w:color w:val="auto"/>
                      <w:sz w:val="21"/>
                      <w:szCs w:val="21"/>
                      <w:u w:val="none"/>
                      <w:lang w:eastAsia="zh-CN"/>
                    </w:rPr>
                    <w:t>/1</w:t>
                  </w:r>
                </w:p>
              </w:tc>
              <w:tc>
                <w:tcPr>
                  <w:tcW w:w="1432" w:type="pct"/>
                  <w:vMerge w:val="restar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低噪声设备+减震基座+风管接头软连接+消声器，降噪</w:t>
                  </w:r>
                  <w:r>
                    <w:rPr>
                      <w:rFonts w:hint="default" w:ascii="Times New Roman" w:hAnsi="Times New Roman" w:eastAsia="宋体" w:cs="Times New Roman"/>
                      <w:color w:val="auto"/>
                      <w:sz w:val="21"/>
                      <w:szCs w:val="21"/>
                      <w:u w:val="none"/>
                      <w:lang w:val="en-US" w:eastAsia="zh-CN"/>
                    </w:rPr>
                    <w:t>15</w:t>
                  </w:r>
                  <w:r>
                    <w:rPr>
                      <w:rFonts w:hint="default" w:ascii="Times New Roman" w:hAnsi="Times New Roman" w:eastAsia="宋体" w:cs="Times New Roman"/>
                      <w:color w:val="auto"/>
                      <w:sz w:val="21"/>
                      <w:szCs w:val="21"/>
                      <w:u w:val="none"/>
                    </w:rPr>
                    <w:t>dB（A）</w:t>
                  </w:r>
                </w:p>
              </w:tc>
              <w:tc>
                <w:tcPr>
                  <w:tcW w:w="423"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31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w:t>
                  </w:r>
                </w:p>
              </w:tc>
              <w:tc>
                <w:tcPr>
                  <w:tcW w:w="531"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气浮机</w:t>
                  </w:r>
                </w:p>
              </w:tc>
              <w:tc>
                <w:tcPr>
                  <w:tcW w:w="395"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-11.9</w:t>
                  </w:r>
                </w:p>
              </w:tc>
              <w:tc>
                <w:tcPr>
                  <w:tcW w:w="35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53.1</w:t>
                  </w:r>
                </w:p>
              </w:tc>
              <w:tc>
                <w:tcPr>
                  <w:tcW w:w="290"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1.2</w:t>
                  </w:r>
                </w:p>
              </w:tc>
              <w:tc>
                <w:tcPr>
                  <w:tcW w:w="126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rPr>
                    <w:t>75</w:t>
                  </w:r>
                  <w:r>
                    <w:rPr>
                      <w:rFonts w:hint="default" w:ascii="Times New Roman" w:hAnsi="Times New Roman" w:eastAsia="宋体" w:cs="Times New Roman"/>
                      <w:color w:val="auto"/>
                      <w:sz w:val="21"/>
                      <w:szCs w:val="21"/>
                      <w:u w:val="none"/>
                      <w:lang w:eastAsia="zh-CN"/>
                    </w:rPr>
                    <w:t>/1</w:t>
                  </w:r>
                </w:p>
              </w:tc>
              <w:tc>
                <w:tcPr>
                  <w:tcW w:w="1432" w:type="pct"/>
                  <w:vMerge w:val="continue"/>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p>
              </w:tc>
              <w:tc>
                <w:tcPr>
                  <w:tcW w:w="423"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31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4</w:t>
                  </w:r>
                </w:p>
              </w:tc>
              <w:tc>
                <w:tcPr>
                  <w:tcW w:w="531"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空压机</w:t>
                  </w:r>
                </w:p>
              </w:tc>
              <w:tc>
                <w:tcPr>
                  <w:tcW w:w="395"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-13.7</w:t>
                  </w:r>
                </w:p>
              </w:tc>
              <w:tc>
                <w:tcPr>
                  <w:tcW w:w="35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58.1</w:t>
                  </w:r>
                </w:p>
              </w:tc>
              <w:tc>
                <w:tcPr>
                  <w:tcW w:w="290"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1.2</w:t>
                  </w:r>
                </w:p>
              </w:tc>
              <w:tc>
                <w:tcPr>
                  <w:tcW w:w="126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rPr>
                    <w:t>80</w:t>
                  </w:r>
                  <w:r>
                    <w:rPr>
                      <w:rFonts w:hint="default" w:ascii="Times New Roman" w:hAnsi="Times New Roman" w:eastAsia="宋体" w:cs="Times New Roman"/>
                      <w:color w:val="auto"/>
                      <w:sz w:val="21"/>
                      <w:szCs w:val="21"/>
                      <w:u w:val="none"/>
                      <w:lang w:eastAsia="zh-CN"/>
                    </w:rPr>
                    <w:t>/1</w:t>
                  </w:r>
                </w:p>
              </w:tc>
              <w:tc>
                <w:tcPr>
                  <w:tcW w:w="1432" w:type="pct"/>
                  <w:vMerge w:val="continue"/>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p>
              </w:tc>
              <w:tc>
                <w:tcPr>
                  <w:tcW w:w="423"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31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w:t>
                  </w:r>
                </w:p>
              </w:tc>
              <w:tc>
                <w:tcPr>
                  <w:tcW w:w="531"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鼓风机</w:t>
                  </w:r>
                </w:p>
              </w:tc>
              <w:tc>
                <w:tcPr>
                  <w:tcW w:w="395"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-21.6</w:t>
                  </w:r>
                </w:p>
              </w:tc>
              <w:tc>
                <w:tcPr>
                  <w:tcW w:w="35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55.4</w:t>
                  </w:r>
                </w:p>
              </w:tc>
              <w:tc>
                <w:tcPr>
                  <w:tcW w:w="290"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1.2</w:t>
                  </w:r>
                </w:p>
              </w:tc>
              <w:tc>
                <w:tcPr>
                  <w:tcW w:w="126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rPr>
                    <w:t>83</w:t>
                  </w:r>
                  <w:r>
                    <w:rPr>
                      <w:rFonts w:hint="default" w:ascii="Times New Roman" w:hAnsi="Times New Roman" w:eastAsia="宋体" w:cs="Times New Roman"/>
                      <w:color w:val="auto"/>
                      <w:sz w:val="21"/>
                      <w:szCs w:val="21"/>
                      <w:u w:val="none"/>
                      <w:lang w:eastAsia="zh-CN"/>
                    </w:rPr>
                    <w:t>/1</w:t>
                  </w:r>
                </w:p>
              </w:tc>
              <w:tc>
                <w:tcPr>
                  <w:tcW w:w="1432" w:type="pct"/>
                  <w:vMerge w:val="continue"/>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p>
              </w:tc>
              <w:tc>
                <w:tcPr>
                  <w:tcW w:w="423"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jc w:val="center"/>
              </w:trPr>
              <w:tc>
                <w:tcPr>
                  <w:tcW w:w="31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6</w:t>
                  </w:r>
                </w:p>
              </w:tc>
              <w:tc>
                <w:tcPr>
                  <w:tcW w:w="531"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臭气处理风机</w:t>
                  </w:r>
                </w:p>
              </w:tc>
              <w:tc>
                <w:tcPr>
                  <w:tcW w:w="395"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-25.2</w:t>
                  </w:r>
                </w:p>
              </w:tc>
              <w:tc>
                <w:tcPr>
                  <w:tcW w:w="35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53.9</w:t>
                  </w:r>
                </w:p>
              </w:tc>
              <w:tc>
                <w:tcPr>
                  <w:tcW w:w="290"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1.2</w:t>
                  </w:r>
                </w:p>
              </w:tc>
              <w:tc>
                <w:tcPr>
                  <w:tcW w:w="1262"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rPr>
                    <w:t>8</w:t>
                  </w:r>
                  <w:r>
                    <w:rPr>
                      <w:rFonts w:hint="default" w:ascii="Times New Roman" w:hAnsi="Times New Roman" w:eastAsia="宋体" w:cs="Times New Roman"/>
                      <w:color w:val="auto"/>
                      <w:sz w:val="21"/>
                      <w:szCs w:val="21"/>
                      <w:u w:val="none"/>
                      <w:lang w:val="en-US" w:eastAsia="zh-CN"/>
                    </w:rPr>
                    <w:t>0</w:t>
                  </w:r>
                  <w:r>
                    <w:rPr>
                      <w:rFonts w:hint="default" w:ascii="Times New Roman" w:hAnsi="Times New Roman" w:eastAsia="宋体" w:cs="Times New Roman"/>
                      <w:color w:val="auto"/>
                      <w:sz w:val="21"/>
                      <w:szCs w:val="21"/>
                      <w:u w:val="none"/>
                      <w:lang w:eastAsia="zh-CN"/>
                    </w:rPr>
                    <w:t>/1</w:t>
                  </w:r>
                </w:p>
              </w:tc>
              <w:tc>
                <w:tcPr>
                  <w:tcW w:w="1432" w:type="pct"/>
                  <w:vMerge w:val="continue"/>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p>
              </w:tc>
              <w:tc>
                <w:tcPr>
                  <w:tcW w:w="423" w:type="pct"/>
                  <w:tcBorders>
                    <w:tl2br w:val="nil"/>
                    <w:tr2bl w:val="nil"/>
                  </w:tcBorders>
                  <w:shd w:val="clear" w:color="auto" w:fill="auto"/>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24</w:t>
                  </w:r>
                </w:p>
              </w:tc>
            </w:tr>
          </w:tbl>
          <w:p>
            <w:pPr>
              <w:adjustRightInd w:val="0"/>
              <w:snapToGrid w:val="0"/>
              <w:spacing w:line="360" w:lineRule="auto"/>
              <w:ind w:firstLine="360"/>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*注：表中坐标以厂界中心（112.914764,28.653814）为坐标原点，正东向为X轴正方向，正北向为Y轴正方向，下同。</w:t>
            </w:r>
          </w:p>
          <w:p>
            <w:pPr>
              <w:adjustRightInd w:val="0"/>
              <w:snapToGrid w:val="0"/>
              <w:spacing w:line="360" w:lineRule="auto"/>
              <w:ind w:firstLine="360"/>
              <w:rPr>
                <w:rFonts w:hint="default" w:ascii="Times New Roman" w:hAnsi="Times New Roman" w:eastAsia="宋体" w:cs="Times New Roman"/>
                <w:b/>
                <w:bCs/>
                <w:color w:val="auto"/>
                <w:sz w:val="24"/>
                <w:szCs w:val="24"/>
                <w:u w:val="none"/>
              </w:rPr>
            </w:pPr>
          </w:p>
          <w:p>
            <w:pPr>
              <w:adjustRightInd w:val="0"/>
              <w:snapToGrid w:val="0"/>
              <w:spacing w:line="360" w:lineRule="auto"/>
              <w:ind w:firstLine="360"/>
              <w:rPr>
                <w:rFonts w:hint="default" w:ascii="Times New Roman" w:hAnsi="Times New Roman" w:eastAsia="宋体" w:cs="Times New Roman"/>
                <w:b/>
                <w:bCs/>
                <w:color w:val="auto"/>
                <w:sz w:val="24"/>
                <w:szCs w:val="24"/>
                <w:u w:val="none"/>
              </w:rPr>
            </w:pPr>
          </w:p>
          <w:p>
            <w:pPr>
              <w:adjustRightInd w:val="0"/>
              <w:snapToGrid w:val="0"/>
              <w:spacing w:line="360" w:lineRule="auto"/>
              <w:ind w:firstLine="360"/>
              <w:rPr>
                <w:rFonts w:hint="default" w:ascii="Times New Roman" w:hAnsi="Times New Roman" w:eastAsia="宋体" w:cs="Times New Roman"/>
                <w:b/>
                <w:bCs/>
                <w:color w:val="auto"/>
                <w:sz w:val="24"/>
                <w:szCs w:val="24"/>
                <w:u w:val="none"/>
              </w:rPr>
            </w:pPr>
          </w:p>
          <w:p>
            <w:pPr>
              <w:adjustRightInd w:val="0"/>
              <w:snapToGrid w:val="0"/>
              <w:spacing w:line="360" w:lineRule="auto"/>
              <w:ind w:firstLine="360"/>
              <w:rPr>
                <w:rFonts w:hint="default" w:ascii="Times New Roman" w:hAnsi="Times New Roman" w:eastAsia="宋体" w:cs="Times New Roman"/>
                <w:b/>
                <w:bCs/>
                <w:color w:val="auto"/>
                <w:sz w:val="24"/>
                <w:szCs w:val="24"/>
                <w:u w:val="none"/>
              </w:rPr>
            </w:pPr>
          </w:p>
          <w:p>
            <w:pPr>
              <w:adjustRightInd w:val="0"/>
              <w:snapToGrid w:val="0"/>
              <w:spacing w:line="360" w:lineRule="auto"/>
              <w:ind w:firstLine="360"/>
              <w:rPr>
                <w:rFonts w:hint="default" w:ascii="Times New Roman" w:hAnsi="Times New Roman" w:eastAsia="宋体" w:cs="Times New Roman"/>
                <w:b/>
                <w:bCs/>
                <w:color w:val="auto"/>
                <w:sz w:val="24"/>
                <w:szCs w:val="24"/>
                <w:u w:val="none"/>
              </w:rPr>
            </w:pPr>
          </w:p>
          <w:p>
            <w:pPr>
              <w:adjustRightInd w:val="0"/>
              <w:snapToGrid w:val="0"/>
              <w:spacing w:line="360" w:lineRule="auto"/>
              <w:jc w:val="center"/>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表4.4-3 工业企业噪声源强调查清单（室内声源）</w:t>
            </w:r>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46"/>
              <w:gridCol w:w="495"/>
              <w:gridCol w:w="693"/>
              <w:gridCol w:w="954"/>
              <w:gridCol w:w="375"/>
              <w:gridCol w:w="429"/>
              <w:gridCol w:w="272"/>
              <w:gridCol w:w="367"/>
              <w:gridCol w:w="365"/>
              <w:gridCol w:w="365"/>
              <w:gridCol w:w="369"/>
              <w:gridCol w:w="369"/>
              <w:gridCol w:w="369"/>
              <w:gridCol w:w="369"/>
              <w:gridCol w:w="371"/>
              <w:gridCol w:w="480"/>
              <w:gridCol w:w="534"/>
              <w:gridCol w:w="362"/>
              <w:gridCol w:w="362"/>
              <w:gridCol w:w="362"/>
              <w:gridCol w:w="362"/>
              <w:gridCol w:w="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2" w:hRule="atLeast"/>
              </w:trPr>
              <w:tc>
                <w:tcPr>
                  <w:tcW w:w="2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bookmarkStart w:id="11" w:name="PT_6"/>
                  <w:r>
                    <w:rPr>
                      <w:rFonts w:hint="eastAsia" w:ascii="Times New Roman" w:hAnsi="Times New Roman" w:eastAsia="宋体" w:cs="Times New Roman"/>
                      <w:color w:val="auto"/>
                      <w:sz w:val="18"/>
                      <w:szCs w:val="18"/>
                      <w:u w:val="none"/>
                      <w:lang w:val="en-US" w:eastAsia="zh-CN"/>
                    </w:rPr>
                    <w:t>序号</w:t>
                  </w:r>
                  <w:bookmarkEnd w:id="11"/>
                </w:p>
              </w:tc>
              <w:tc>
                <w:tcPr>
                  <w:tcW w:w="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建筑物名称</w:t>
                  </w:r>
                </w:p>
              </w:tc>
              <w:tc>
                <w:tcPr>
                  <w:tcW w:w="37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声源名称</w:t>
                  </w:r>
                </w:p>
              </w:tc>
              <w:tc>
                <w:tcPr>
                  <w:tcW w:w="509"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声源源强</w:t>
                  </w:r>
                </w:p>
              </w:tc>
              <w:tc>
                <w:tcPr>
                  <w:tcW w:w="57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空间相对位置/m</w:t>
                  </w:r>
                </w:p>
              </w:tc>
              <w:tc>
                <w:tcPr>
                  <w:tcW w:w="78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距室内边界距离/m</w:t>
                  </w:r>
                </w:p>
              </w:tc>
              <w:tc>
                <w:tcPr>
                  <w:tcW w:w="789"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室内边界声级/dB(A)</w:t>
                  </w:r>
                </w:p>
              </w:tc>
              <w:tc>
                <w:tcPr>
                  <w:tcW w:w="25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运行时段</w:t>
                  </w:r>
                </w:p>
              </w:tc>
              <w:tc>
                <w:tcPr>
                  <w:tcW w:w="285" w:type="pct"/>
                  <w:vMerge w:val="restart"/>
                  <w:tcBorders>
                    <w:top w:val="single" w:color="auto" w:sz="4" w:space="0"/>
                    <w:left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建筑</w:t>
                  </w:r>
                </w:p>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物插</w:t>
                  </w:r>
                </w:p>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入损</w:t>
                  </w:r>
                </w:p>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失/dB</w:t>
                  </w:r>
                </w:p>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(A)</w:t>
                  </w:r>
                  <w:bookmarkStart w:id="12" w:name="PT_10"/>
                  <w:bookmarkEnd w:id="12"/>
                </w:p>
              </w:tc>
              <w:tc>
                <w:tcPr>
                  <w:tcW w:w="926"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建筑物外噪声声压级/dB(A)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p>
              </w:tc>
              <w:tc>
                <w:tcPr>
                  <w:tcW w:w="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（声压级/距声源距离）/（dB(A)/m）</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X</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Y</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Z</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东</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南</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西</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北</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东</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南</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西</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北</w:t>
                  </w:r>
                </w:p>
              </w:tc>
              <w:tc>
                <w:tcPr>
                  <w:tcW w:w="25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auto"/>
                      <w:sz w:val="18"/>
                      <w:szCs w:val="18"/>
                      <w:u w:val="none"/>
                      <w:lang w:val="en-US" w:eastAsia="zh-CN"/>
                    </w:rPr>
                  </w:pPr>
                </w:p>
              </w:tc>
              <w:tc>
                <w:tcPr>
                  <w:tcW w:w="285" w:type="pct"/>
                  <w:vMerge w:val="continue"/>
                  <w:tcBorders>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东</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南</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西</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北</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建筑物外距离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c>
                <w:tcPr>
                  <w:tcW w:w="264" w:type="pct"/>
                  <w:vMerge w:val="restart"/>
                  <w:tcBorders>
                    <w:top w:val="single" w:color="auto" w:sz="4" w:space="0"/>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4#</w:t>
                  </w:r>
                </w:p>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车</w:t>
                  </w:r>
                </w:p>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间</w:t>
                  </w: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旋转式蒸汽罐</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75</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63.7</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13.9</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7.7</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35.5</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75.4</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53.3</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57.3</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44.0</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37.5</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40.5</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42.3</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29.0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22.5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25.5</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2</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搅拌器</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57.9</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12.8</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13.5</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36.4</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69.6</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52.3</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47.4</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38.8</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33.1</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35.6</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32.4</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23.8</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18.1</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20.6</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3</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豆豉拌料机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73</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31.7</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41.4</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35.8</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41.6</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52.2</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41.9</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40.6</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38.6</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26.9</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25.6</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23.6</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4</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烘干机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75</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39</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6.7</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33.3</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36.7</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49.7</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51.4</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44.6</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43.7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41.1</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40.8</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29.6</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28.7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26.1</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25.8</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5</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封口机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72</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23.8</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1.4</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49.4</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36.6</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33.6</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51.1</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38.1</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41.5</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37.8</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23.1</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26.5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22.8</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6</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磨浆机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85</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71.6</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3.7</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23.3</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79.5</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65.6</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72.7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57.7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47.0</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48.7</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57.7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42.7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33.7</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7</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离心机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69.4</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6.7</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22.4</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76.9</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66.4</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63.5</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53.0</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42.3</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43.6</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48.5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38.0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27.3</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28.6</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8</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冲浆机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73.6</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0.7</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19.8</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80.4</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69.1</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59.6</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44.1</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31.9</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33.2</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44.6</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29.1</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16.9</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18.2</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9</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压榨机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83</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71.3</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6.6</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17.5</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77.2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71.3</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66.6</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58.1</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45.2</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45.9</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51.6</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43.1</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30.2</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30.9</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10</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腐乳拌料机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73</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65.8</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-15.3</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16.4</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7.2</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67.8</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81.4</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48.7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55.9</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36.4</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34.8</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40.9</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21.4</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19.8</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11</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收缩机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51.1</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-15.6</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30.2</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11.7</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53.8</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76.5</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40.4</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48.6</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35.4</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32.3</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25.4</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33.6</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20.4</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17.3</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12</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腐乳罐装机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65</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48.5</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-15.6</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32.6</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12.6</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51.3</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75.6</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34.7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43.0</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30.8</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27.4</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19.7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28.0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15.8</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12.4</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13</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炒锅</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79</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32.5</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45.3</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25.2</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75.3</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56.3</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13</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51.0</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41.5</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44.0</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56.7</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36.0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26.5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29.0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41.7</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14</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切菜机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75</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48.7</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51.8</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7.8</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76.2</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73.7</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12.6</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57.2</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37.4</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37.7</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53.0</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42.2</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22.4</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22.7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38.0</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切丝机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73</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51.6</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46.5</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70.3</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74.7</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18.5</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56.1</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36.1</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35.5</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47.7</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41.1</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21.1</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20.5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32.7</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16</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绞肉机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53.7</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41.7</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6.8</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65</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75.1</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23.8</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53.3</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32.5</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42.5</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38.3</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18.7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17.5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27.5</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17</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菜馅机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75</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48.5</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45.8</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10.2</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70.6</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71.5</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18.1</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54.8</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38.0</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37.9</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49.8</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39.8</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22.9</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34.8</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18</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蒸汽柜</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51.4</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35.5</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11.2</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59.9</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70.9</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28.8</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49.0</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34.5</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33.0</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40.8</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34.0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19.5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18.0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25.8</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19</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调味品灌装机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65</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22.8</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38.1</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36.9</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71.7</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44.7</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16.4</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27.9</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32.0</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40.7</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18.7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12.9</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17.0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25.7</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20</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食用油灌装机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65</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30</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64</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72.4</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17.5</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14.9</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28.9</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27.8</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40.1</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41.5</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13.9</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12.8</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25.1</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26.5</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21</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压盖机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65</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0.3</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23.8</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63.1</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65.4</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18.8</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21.9</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29.0</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28.7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39.5</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38.2</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14.0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13.7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24.5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23.2</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22</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打码机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68</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-4.4</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22.2</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68</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65.4</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13.8</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21.8</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31.3</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31.7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45.2</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41.2</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16.3</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16.7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30.2</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26.2</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23</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贴标机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-2.1</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16.3</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68</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59.1</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14</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28.1</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23.3</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24.6</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37.1</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31.0</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8.3</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9.6</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22.1</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16.0</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24</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打包机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1.3</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13</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66.1</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54.9</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16.1</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32.4</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33.6</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35.2</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45.9</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39.8</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18.6</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20.2</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30.9</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24.8</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25</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洗姜机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54.9</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37.8</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7.1</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61</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74.9</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27.8</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53.0</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34.3</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32.5</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41.1</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38.0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19.3</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17.5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26.1</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26</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清洗机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56.6</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33.4</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7.2</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56.3</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75.1</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32.5</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62.9</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45.0</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42.5</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49.8</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47.9</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30.0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27.5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34.8</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27</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脱水机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78</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53.1</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31.8</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11</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55.9</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71.3</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32.8</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57.2</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43.1</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40.9</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47.7</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42.2</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28.1</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25.9</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32.7</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28</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色选机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49.4</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40.5</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11.3</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65.3</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70.6</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23.4</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48.9</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33.0</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42.6</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33.9</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18.7</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18.0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27.6</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29</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纯水机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65</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30.1</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53.5</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24.5</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83.9</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56.7</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4.5</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37.2</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26.5</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29.9</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51.9</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22.2</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14.9</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36.9</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30</w:t>
                  </w:r>
                </w:p>
              </w:tc>
              <w:tc>
                <w:tcPr>
                  <w:tcW w:w="264" w:type="pct"/>
                  <w:vMerge w:val="continue"/>
                  <w:tcBorders>
                    <w:left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车间风机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80</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20.8</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50.5</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34.2</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84</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46.9</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49.3</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41.5</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46.6</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67.7</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34.3</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26.5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31.6</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52.7</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3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31</w:t>
                  </w:r>
                </w:p>
              </w:tc>
              <w:tc>
                <w:tcPr>
                  <w:tcW w:w="264" w:type="pct"/>
                  <w:vMerge w:val="continue"/>
                  <w:tcBorders>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p>
              </w:tc>
              <w:tc>
                <w:tcPr>
                  <w:tcW w:w="37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调味品拌料机</w:t>
                  </w:r>
                </w:p>
              </w:tc>
              <w:tc>
                <w:tcPr>
                  <w:tcW w:w="50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75</w:t>
                  </w:r>
                  <w:r>
                    <w:rPr>
                      <w:rFonts w:hint="eastAsia" w:ascii="Times New Roman" w:hAnsi="Times New Roman" w:eastAsia="宋体" w:cs="Times New Roman"/>
                      <w:color w:val="auto"/>
                      <w:sz w:val="18"/>
                      <w:szCs w:val="18"/>
                      <w:u w:val="none"/>
                      <w:lang w:val="en-US" w:eastAsia="zh-CN"/>
                    </w:rPr>
                    <w:t>/1</w:t>
                  </w:r>
                </w:p>
              </w:tc>
              <w:tc>
                <w:tcPr>
                  <w:tcW w:w="200"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35</w:t>
                  </w:r>
                </w:p>
              </w:tc>
              <w:tc>
                <w:tcPr>
                  <w:tcW w:w="229"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41.2</w:t>
                  </w:r>
                </w:p>
              </w:tc>
              <w:tc>
                <w:tcPr>
                  <w:tcW w:w="14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1.2</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24.4</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70.6</w:t>
                  </w:r>
                </w:p>
              </w:tc>
              <w:tc>
                <w:tcPr>
                  <w:tcW w:w="19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57.3</w:t>
                  </w:r>
                </w:p>
              </w:tc>
              <w:tc>
                <w:tcPr>
                  <w:tcW w:w="19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17.7</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47.3</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38.0</w:t>
                  </w:r>
                </w:p>
              </w:tc>
              <w:tc>
                <w:tcPr>
                  <w:tcW w:w="197"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39.8</w:t>
                  </w:r>
                </w:p>
              </w:tc>
              <w:tc>
                <w:tcPr>
                  <w:tcW w:w="198"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50.0</w:t>
                  </w:r>
                </w:p>
              </w:tc>
              <w:tc>
                <w:tcPr>
                  <w:tcW w:w="256"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8</w:t>
                  </w:r>
                </w:p>
              </w:tc>
              <w:tc>
                <w:tcPr>
                  <w:tcW w:w="285"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15</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32.3</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23.0</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24.8</w:t>
                  </w:r>
                </w:p>
              </w:tc>
              <w:tc>
                <w:tcPr>
                  <w:tcW w:w="19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default" w:ascii="Times New Roman" w:hAnsi="Times New Roman" w:eastAsia="宋体" w:cs="Times New Roman"/>
                      <w:color w:val="auto"/>
                      <w:sz w:val="18"/>
                      <w:szCs w:val="18"/>
                      <w:u w:val="none"/>
                      <w:lang w:val="en-US" w:eastAsia="zh-CN"/>
                    </w:rPr>
                    <w:t>35.0</w:t>
                  </w:r>
                </w:p>
              </w:tc>
              <w:tc>
                <w:tcPr>
                  <w:tcW w:w="153" w:type="pc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hint="eastAsia" w:ascii="Times New Roman" w:hAnsi="Times New Roman" w:eastAsia="宋体" w:cs="Times New Roman"/>
                      <w:color w:val="auto"/>
                      <w:sz w:val="18"/>
                      <w:szCs w:val="18"/>
                      <w:u w:val="none"/>
                      <w:lang w:val="en-US" w:eastAsia="zh-CN"/>
                    </w:rPr>
                  </w:pPr>
                  <w:r>
                    <w:rPr>
                      <w:rFonts w:hint="eastAsia" w:ascii="Times New Roman" w:hAnsi="Times New Roman" w:eastAsia="宋体" w:cs="Times New Roman"/>
                      <w:color w:val="auto"/>
                      <w:sz w:val="18"/>
                      <w:szCs w:val="18"/>
                      <w:u w:val="none"/>
                      <w:lang w:val="en-US" w:eastAsia="zh-CN"/>
                    </w:rPr>
                    <w:t>1</w:t>
                  </w:r>
                </w:p>
              </w:tc>
            </w:tr>
          </w:tbl>
          <w:p>
            <w:pPr>
              <w:adjustRightInd w:val="0"/>
              <w:snapToGrid w:val="0"/>
              <w:spacing w:line="360" w:lineRule="auto"/>
              <w:ind w:firstLine="482" w:firstLineChars="200"/>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4.4.2 噪声预测</w:t>
            </w:r>
          </w:p>
          <w:p>
            <w:pPr>
              <w:spacing w:line="480" w:lineRule="exact"/>
              <w:ind w:firstLine="480" w:firstLineChars="200"/>
              <w:rPr>
                <w:rFonts w:eastAsia="宋体"/>
                <w:color w:val="auto"/>
                <w:sz w:val="24"/>
                <w:szCs w:val="24"/>
                <w:u w:val="none"/>
              </w:rPr>
            </w:pPr>
            <w:r>
              <w:rPr>
                <w:rFonts w:eastAsia="宋体"/>
                <w:color w:val="auto"/>
                <w:sz w:val="24"/>
                <w:szCs w:val="24"/>
                <w:u w:val="none"/>
              </w:rPr>
              <w:t xml:space="preserve">根据《环境影响评价技术导则 声环境》（HJ2.4-2021）的技术要求，本次评价采取导则上推荐模式。 </w:t>
            </w:r>
          </w:p>
          <w:p>
            <w:pPr>
              <w:spacing w:line="480" w:lineRule="exact"/>
              <w:ind w:firstLine="480" w:firstLineChars="200"/>
              <w:rPr>
                <w:rFonts w:hint="default" w:eastAsia="宋体"/>
                <w:color w:val="auto"/>
                <w:sz w:val="24"/>
                <w:szCs w:val="24"/>
                <w:u w:val="none"/>
                <w:lang w:val="en-US" w:eastAsia="zh-CN"/>
              </w:rPr>
            </w:pPr>
            <w:r>
              <w:rPr>
                <w:rFonts w:hint="eastAsia" w:eastAsia="宋体"/>
                <w:color w:val="auto"/>
                <w:sz w:val="24"/>
                <w:szCs w:val="24"/>
                <w:u w:val="none"/>
              </w:rPr>
              <w:t>（1）</w:t>
            </w:r>
            <w:r>
              <w:rPr>
                <w:rFonts w:hint="eastAsia" w:eastAsia="宋体"/>
                <w:color w:val="auto"/>
                <w:sz w:val="24"/>
                <w:szCs w:val="24"/>
                <w:u w:val="none"/>
                <w:lang w:val="en-US" w:eastAsia="zh-CN"/>
              </w:rPr>
              <w:t>点声源衰减公式</w:t>
            </w:r>
          </w:p>
          <w:p>
            <w:pPr>
              <w:spacing w:line="240" w:lineRule="auto"/>
              <w:ind w:firstLine="480" w:firstLineChars="200"/>
              <w:jc w:val="center"/>
              <w:rPr>
                <w:rFonts w:eastAsia="宋体"/>
                <w:color w:val="auto"/>
                <w:sz w:val="24"/>
                <w:szCs w:val="24"/>
                <w:u w:val="none"/>
              </w:rPr>
            </w:pPr>
            <w:r>
              <w:rPr>
                <w:rFonts w:eastAsia="宋体"/>
                <w:color w:val="auto"/>
                <w:sz w:val="24"/>
                <w:szCs w:val="24"/>
                <w:u w:val="none"/>
              </w:rPr>
              <w:drawing>
                <wp:inline distT="0" distB="0" distL="0" distR="0">
                  <wp:extent cx="2019300" cy="304800"/>
                  <wp:effectExtent l="0" t="0" r="3175" b="635"/>
                  <wp:docPr id="144422815" name="图片 50" descr="水中的倒影&#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2815" name="图片 50" descr="水中的倒影&#10;&#10;AI 生成的内容可能不正确。"/>
                          <pic:cNvPicPr>
                            <a:picLocks noChangeAspect="1" noChangeArrowheads="1"/>
                          </pic:cNvPicPr>
                        </pic:nvPicPr>
                        <pic:blipFill>
                          <a:blip r:embed="rId32"/>
                          <a:srcRect/>
                          <a:stretch>
                            <a:fillRect/>
                          </a:stretch>
                        </pic:blipFill>
                        <pic:spPr>
                          <a:xfrm>
                            <a:off x="0" y="0"/>
                            <a:ext cx="2019300" cy="304800"/>
                          </a:xfrm>
                          <a:prstGeom prst="rect">
                            <a:avLst/>
                          </a:prstGeom>
                          <a:noFill/>
                          <a:ln>
                            <a:noFill/>
                          </a:ln>
                        </pic:spPr>
                      </pic:pic>
                    </a:graphicData>
                  </a:graphic>
                </wp:inline>
              </w:drawing>
            </w:r>
          </w:p>
          <w:p>
            <w:pPr>
              <w:spacing w:line="480" w:lineRule="exact"/>
              <w:ind w:firstLine="480" w:firstLineChars="200"/>
              <w:rPr>
                <w:rFonts w:eastAsia="宋体"/>
                <w:color w:val="auto"/>
                <w:sz w:val="24"/>
                <w:szCs w:val="24"/>
                <w:u w:val="none"/>
              </w:rPr>
            </w:pPr>
            <w:r>
              <w:rPr>
                <w:rFonts w:eastAsia="宋体"/>
                <w:color w:val="auto"/>
                <w:sz w:val="24"/>
                <w:szCs w:val="24"/>
                <w:u w:val="none"/>
              </w:rPr>
              <w:t>式中 ：L</w:t>
            </w:r>
            <w:r>
              <w:rPr>
                <w:rFonts w:eastAsia="宋体"/>
                <w:color w:val="auto"/>
                <w:sz w:val="24"/>
                <w:szCs w:val="24"/>
                <w:u w:val="none"/>
                <w:vertAlign w:val="subscript"/>
              </w:rPr>
              <w:t>p（r）</w:t>
            </w:r>
            <w:r>
              <w:rPr>
                <w:rFonts w:eastAsia="宋体"/>
                <w:color w:val="auto"/>
                <w:sz w:val="24"/>
                <w:szCs w:val="24"/>
                <w:u w:val="none"/>
              </w:rPr>
              <w:t xml:space="preserve">——预测点声级，dB； </w:t>
            </w:r>
          </w:p>
          <w:p>
            <w:pPr>
              <w:spacing w:line="480" w:lineRule="exact"/>
              <w:ind w:firstLine="480" w:firstLineChars="200"/>
              <w:rPr>
                <w:rFonts w:eastAsia="宋体"/>
                <w:color w:val="auto"/>
                <w:sz w:val="24"/>
                <w:szCs w:val="24"/>
                <w:u w:val="none"/>
              </w:rPr>
            </w:pPr>
            <w:r>
              <w:rPr>
                <w:rFonts w:eastAsia="宋体"/>
                <w:color w:val="auto"/>
                <w:sz w:val="24"/>
                <w:szCs w:val="24"/>
                <w:u w:val="none"/>
              </w:rPr>
              <w:t>L</w:t>
            </w:r>
            <w:r>
              <w:rPr>
                <w:rFonts w:eastAsia="宋体"/>
                <w:color w:val="auto"/>
                <w:sz w:val="24"/>
                <w:szCs w:val="24"/>
                <w:u w:val="none"/>
                <w:vertAlign w:val="subscript"/>
              </w:rPr>
              <w:t>p（r0）</w:t>
            </w:r>
            <w:r>
              <w:rPr>
                <w:rFonts w:eastAsia="宋体"/>
                <w:color w:val="auto"/>
                <w:sz w:val="24"/>
                <w:szCs w:val="24"/>
                <w:u w:val="none"/>
              </w:rPr>
              <w:t xml:space="preserve">——参考点处的声级，dB； </w:t>
            </w:r>
          </w:p>
          <w:p>
            <w:pPr>
              <w:spacing w:line="480" w:lineRule="exact"/>
              <w:ind w:firstLine="480" w:firstLineChars="200"/>
              <w:rPr>
                <w:rFonts w:eastAsia="宋体"/>
                <w:color w:val="auto"/>
                <w:sz w:val="24"/>
                <w:szCs w:val="24"/>
                <w:u w:val="none"/>
              </w:rPr>
            </w:pPr>
            <w:r>
              <w:rPr>
                <w:rFonts w:eastAsia="宋体"/>
                <w:color w:val="auto"/>
                <w:sz w:val="24"/>
                <w:szCs w:val="24"/>
                <w:u w:val="none"/>
              </w:rPr>
              <w:t>r——预测点与声源之间的距离，m；</w:t>
            </w:r>
          </w:p>
          <w:p>
            <w:pPr>
              <w:spacing w:line="480" w:lineRule="exact"/>
              <w:ind w:firstLine="480" w:firstLineChars="200"/>
              <w:rPr>
                <w:rFonts w:eastAsia="宋体"/>
                <w:color w:val="auto"/>
                <w:sz w:val="24"/>
                <w:szCs w:val="24"/>
                <w:u w:val="none"/>
              </w:rPr>
            </w:pPr>
            <w:r>
              <w:rPr>
                <w:rFonts w:eastAsia="宋体"/>
                <w:color w:val="auto"/>
                <w:sz w:val="24"/>
                <w:szCs w:val="24"/>
                <w:u w:val="none"/>
              </w:rPr>
              <w:t>r</w:t>
            </w:r>
            <w:r>
              <w:rPr>
                <w:rFonts w:eastAsia="宋体"/>
                <w:color w:val="auto"/>
                <w:sz w:val="24"/>
                <w:szCs w:val="24"/>
                <w:u w:val="none"/>
                <w:vertAlign w:val="subscript"/>
              </w:rPr>
              <w:t>0</w:t>
            </w:r>
            <w:r>
              <w:rPr>
                <w:rFonts w:eastAsia="宋体"/>
                <w:color w:val="auto"/>
                <w:sz w:val="24"/>
                <w:szCs w:val="24"/>
                <w:u w:val="none"/>
              </w:rPr>
              <w:t>——参考点与声源之间的距离，m。</w:t>
            </w:r>
          </w:p>
          <w:p>
            <w:pPr>
              <w:spacing w:line="480" w:lineRule="exact"/>
              <w:ind w:firstLine="480" w:firstLineChars="200"/>
              <w:rPr>
                <w:rFonts w:eastAsia="宋体"/>
                <w:color w:val="auto"/>
                <w:sz w:val="24"/>
                <w:szCs w:val="24"/>
                <w:u w:val="none"/>
              </w:rPr>
            </w:pPr>
            <w:r>
              <w:rPr>
                <w:rFonts w:hint="eastAsia" w:eastAsia="宋体"/>
                <w:color w:val="auto"/>
                <w:sz w:val="24"/>
                <w:szCs w:val="24"/>
                <w:u w:val="none"/>
              </w:rPr>
              <w:t>（</w:t>
            </w:r>
            <w:r>
              <w:rPr>
                <w:rFonts w:hint="eastAsia" w:eastAsia="宋体"/>
                <w:color w:val="auto"/>
                <w:sz w:val="24"/>
                <w:szCs w:val="24"/>
                <w:u w:val="none"/>
                <w:lang w:val="en-US" w:eastAsia="zh-CN"/>
              </w:rPr>
              <w:t>2</w:t>
            </w:r>
            <w:r>
              <w:rPr>
                <w:rFonts w:hint="eastAsia" w:eastAsia="宋体"/>
                <w:color w:val="auto"/>
                <w:sz w:val="24"/>
                <w:szCs w:val="24"/>
                <w:u w:val="none"/>
              </w:rPr>
              <w:t>）</w:t>
            </w:r>
            <w:r>
              <w:rPr>
                <w:rFonts w:eastAsia="宋体"/>
                <w:color w:val="auto"/>
                <w:sz w:val="24"/>
                <w:szCs w:val="24"/>
                <w:u w:val="none"/>
              </w:rPr>
              <w:t>计算靠近室外围护结构处的声压级</w:t>
            </w:r>
          </w:p>
          <w:p>
            <w:pPr>
              <w:spacing w:line="240" w:lineRule="auto"/>
              <w:ind w:firstLine="480" w:firstLineChars="200"/>
              <w:jc w:val="center"/>
              <w:rPr>
                <w:rFonts w:eastAsia="宋体"/>
                <w:color w:val="auto"/>
                <w:sz w:val="24"/>
                <w:szCs w:val="24"/>
                <w:u w:val="none"/>
              </w:rPr>
            </w:pPr>
            <w:r>
              <w:rPr>
                <w:rFonts w:hint="eastAsia" w:eastAsia="宋体"/>
                <w:color w:val="auto"/>
                <w:sz w:val="24"/>
                <w:szCs w:val="24"/>
                <w:u w:val="none"/>
              </w:rPr>
              <w:drawing>
                <wp:inline distT="0" distB="0" distL="0" distR="0">
                  <wp:extent cx="1864360" cy="245110"/>
                  <wp:effectExtent l="0" t="0" r="1270" b="0"/>
                  <wp:docPr id="992035014" name="图片 47" descr="墙上的钟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35014" name="图片 47" descr="墙上的钟表&#10;&#10;AI 生成的内容可能不正确。"/>
                          <pic:cNvPicPr>
                            <a:picLocks noChangeAspect="1" noChangeArrowheads="1"/>
                          </pic:cNvPicPr>
                        </pic:nvPicPr>
                        <pic:blipFill>
                          <a:blip r:embed="rId33"/>
                          <a:srcRect/>
                          <a:stretch>
                            <a:fillRect/>
                          </a:stretch>
                        </pic:blipFill>
                        <pic:spPr>
                          <a:xfrm>
                            <a:off x="0" y="0"/>
                            <a:ext cx="1868191" cy="245971"/>
                          </a:xfrm>
                          <a:prstGeom prst="rect">
                            <a:avLst/>
                          </a:prstGeom>
                          <a:noFill/>
                          <a:ln>
                            <a:noFill/>
                          </a:ln>
                        </pic:spPr>
                      </pic:pic>
                    </a:graphicData>
                  </a:graphic>
                </wp:inline>
              </w:drawing>
            </w:r>
          </w:p>
          <w:p>
            <w:pPr>
              <w:spacing w:line="480" w:lineRule="exact"/>
              <w:ind w:firstLine="480" w:firstLineChars="200"/>
              <w:rPr>
                <w:rFonts w:eastAsia="宋体"/>
                <w:color w:val="auto"/>
                <w:sz w:val="24"/>
                <w:szCs w:val="24"/>
                <w:u w:val="none"/>
              </w:rPr>
            </w:pPr>
            <w:r>
              <w:rPr>
                <w:rFonts w:eastAsia="宋体"/>
                <w:color w:val="auto"/>
                <w:sz w:val="24"/>
                <w:szCs w:val="24"/>
                <w:u w:val="none"/>
              </w:rPr>
              <w:t>式中：L</w:t>
            </w:r>
            <w:r>
              <w:rPr>
                <w:rFonts w:eastAsia="宋体"/>
                <w:color w:val="auto"/>
                <w:sz w:val="24"/>
                <w:szCs w:val="24"/>
                <w:u w:val="none"/>
                <w:vertAlign w:val="subscript"/>
              </w:rPr>
              <w:t>p2i</w:t>
            </w:r>
            <w:r>
              <w:rPr>
                <w:rFonts w:eastAsia="宋体"/>
                <w:color w:val="auto"/>
                <w:sz w:val="24"/>
                <w:szCs w:val="24"/>
                <w:u w:val="none"/>
              </w:rPr>
              <w:t>（T）—</w:t>
            </w:r>
            <w:r>
              <w:rPr>
                <w:rFonts w:hint="eastAsia" w:eastAsia="宋体"/>
                <w:color w:val="auto"/>
                <w:sz w:val="24"/>
                <w:szCs w:val="24"/>
                <w:u w:val="none"/>
                <w:lang w:val="en-US" w:eastAsia="zh-CN"/>
              </w:rPr>
              <w:t>靠近开口处（或窗户）</w:t>
            </w:r>
            <w:r>
              <w:rPr>
                <w:rFonts w:eastAsia="宋体"/>
                <w:color w:val="auto"/>
                <w:sz w:val="24"/>
                <w:szCs w:val="24"/>
                <w:u w:val="none"/>
              </w:rPr>
              <w:t>室外N个声源声压级，dB；</w:t>
            </w:r>
          </w:p>
          <w:p>
            <w:pPr>
              <w:spacing w:line="480" w:lineRule="exact"/>
              <w:ind w:left="420" w:leftChars="200" w:firstLine="0" w:firstLineChars="0"/>
              <w:rPr>
                <w:rFonts w:eastAsia="宋体"/>
                <w:color w:val="auto"/>
                <w:sz w:val="24"/>
                <w:szCs w:val="24"/>
                <w:u w:val="none"/>
              </w:rPr>
            </w:pPr>
            <w:r>
              <w:rPr>
                <w:rFonts w:eastAsia="宋体"/>
                <w:color w:val="auto"/>
                <w:sz w:val="24"/>
                <w:szCs w:val="24"/>
                <w:u w:val="none"/>
              </w:rPr>
              <w:t>L</w:t>
            </w:r>
            <w:r>
              <w:rPr>
                <w:rFonts w:eastAsia="宋体"/>
                <w:color w:val="auto"/>
                <w:sz w:val="24"/>
                <w:szCs w:val="24"/>
                <w:u w:val="none"/>
                <w:vertAlign w:val="subscript"/>
              </w:rPr>
              <w:t>p1i</w:t>
            </w:r>
            <w:r>
              <w:rPr>
                <w:rFonts w:eastAsia="宋体"/>
                <w:color w:val="auto"/>
                <w:sz w:val="24"/>
                <w:szCs w:val="24"/>
                <w:u w:val="none"/>
              </w:rPr>
              <w:t>（T）——</w:t>
            </w:r>
            <w:r>
              <w:rPr>
                <w:rFonts w:hint="eastAsia" w:eastAsia="宋体"/>
                <w:color w:val="auto"/>
                <w:sz w:val="24"/>
                <w:szCs w:val="24"/>
                <w:u w:val="none"/>
                <w:lang w:val="en-US" w:eastAsia="zh-CN"/>
              </w:rPr>
              <w:t>靠近开口处（或窗户）</w:t>
            </w:r>
            <w:r>
              <w:rPr>
                <w:rFonts w:eastAsia="宋体"/>
                <w:color w:val="auto"/>
                <w:sz w:val="24"/>
                <w:szCs w:val="24"/>
                <w:u w:val="none"/>
              </w:rPr>
              <w:t>室内N个声源声压级，dB；</w:t>
            </w:r>
          </w:p>
          <w:p>
            <w:pPr>
              <w:spacing w:line="480" w:lineRule="exact"/>
              <w:ind w:left="420" w:leftChars="200" w:firstLine="0" w:firstLineChars="0"/>
              <w:rPr>
                <w:rFonts w:eastAsia="宋体"/>
                <w:color w:val="auto"/>
                <w:sz w:val="24"/>
                <w:szCs w:val="24"/>
                <w:u w:val="none"/>
              </w:rPr>
            </w:pPr>
            <w:r>
              <w:rPr>
                <w:rFonts w:eastAsia="宋体"/>
                <w:color w:val="auto"/>
                <w:sz w:val="24"/>
                <w:szCs w:val="24"/>
                <w:u w:val="none"/>
              </w:rPr>
              <w:t>T</w:t>
            </w:r>
            <w:r>
              <w:rPr>
                <w:rFonts w:eastAsia="宋体"/>
                <w:color w:val="auto"/>
                <w:sz w:val="24"/>
                <w:szCs w:val="24"/>
                <w:u w:val="none"/>
                <w:vertAlign w:val="subscript"/>
              </w:rPr>
              <w:t>Li</w:t>
            </w:r>
            <w:r>
              <w:rPr>
                <w:rFonts w:eastAsia="宋体"/>
                <w:color w:val="auto"/>
                <w:sz w:val="24"/>
                <w:szCs w:val="24"/>
                <w:u w:val="none"/>
              </w:rPr>
              <w:t>——</w:t>
            </w:r>
            <w:r>
              <w:rPr>
                <w:rFonts w:hint="eastAsia" w:eastAsia="宋体"/>
                <w:color w:val="auto"/>
                <w:sz w:val="24"/>
                <w:szCs w:val="24"/>
                <w:u w:val="none"/>
                <w:lang w:val="en-US" w:eastAsia="zh-CN"/>
              </w:rPr>
              <w:t>隔墙（或窗户）</w:t>
            </w:r>
            <w:r>
              <w:rPr>
                <w:rFonts w:eastAsia="宋体"/>
                <w:color w:val="auto"/>
                <w:sz w:val="24"/>
                <w:szCs w:val="24"/>
                <w:u w:val="none"/>
              </w:rPr>
              <w:t>隔声量，dB。</w:t>
            </w:r>
          </w:p>
          <w:p>
            <w:pPr>
              <w:spacing w:line="480" w:lineRule="exact"/>
              <w:ind w:firstLine="480" w:firstLineChars="200"/>
              <w:rPr>
                <w:rFonts w:eastAsia="宋体"/>
                <w:color w:val="auto"/>
                <w:sz w:val="24"/>
                <w:szCs w:val="24"/>
                <w:u w:val="none"/>
              </w:rPr>
            </w:pPr>
            <w:r>
              <w:rPr>
                <w:rFonts w:hint="eastAsia" w:ascii="Times New Roman" w:hAnsi="Times New Roman" w:eastAsia="宋体" w:cs="Times New Roman"/>
                <w:color w:val="auto"/>
                <w:kern w:val="2"/>
                <w:sz w:val="24"/>
                <w:szCs w:val="24"/>
                <w:u w:val="none"/>
                <w:lang w:val="en-US" w:eastAsia="zh-CN" w:bidi="ar-SA"/>
              </w:rPr>
              <w:t>（</w:t>
            </w:r>
            <w:r>
              <w:rPr>
                <w:rFonts w:hint="eastAsia" w:eastAsia="宋体" w:cs="Times New Roman"/>
                <w:color w:val="auto"/>
                <w:kern w:val="2"/>
                <w:sz w:val="24"/>
                <w:szCs w:val="24"/>
                <w:u w:val="none"/>
                <w:lang w:val="en-US" w:eastAsia="zh-CN" w:bidi="ar-SA"/>
              </w:rPr>
              <w:t>3</w:t>
            </w:r>
            <w:r>
              <w:rPr>
                <w:rFonts w:hint="eastAsia" w:ascii="Times New Roman" w:hAnsi="Times New Roman" w:eastAsia="宋体" w:cs="Times New Roman"/>
                <w:color w:val="auto"/>
                <w:kern w:val="2"/>
                <w:sz w:val="24"/>
                <w:szCs w:val="24"/>
                <w:u w:val="none"/>
                <w:lang w:val="en-US" w:eastAsia="zh-CN" w:bidi="ar-SA"/>
              </w:rPr>
              <w:t>）</w:t>
            </w:r>
            <w:r>
              <w:rPr>
                <w:rFonts w:eastAsia="宋体"/>
                <w:color w:val="auto"/>
                <w:sz w:val="24"/>
                <w:szCs w:val="24"/>
                <w:u w:val="none"/>
              </w:rPr>
              <w:t>工业企业噪声计算</w:t>
            </w:r>
          </w:p>
          <w:p>
            <w:pPr>
              <w:spacing w:line="480" w:lineRule="exact"/>
              <w:ind w:firstLine="480" w:firstLineChars="200"/>
              <w:rPr>
                <w:rFonts w:eastAsia="宋体"/>
                <w:color w:val="auto"/>
                <w:sz w:val="24"/>
                <w:szCs w:val="24"/>
                <w:u w:val="none"/>
              </w:rPr>
            </w:pPr>
            <w:r>
              <w:rPr>
                <w:rFonts w:eastAsia="宋体"/>
                <w:color w:val="auto"/>
                <w:sz w:val="24"/>
                <w:szCs w:val="24"/>
                <w:u w:val="none"/>
              </w:rPr>
              <w:t>设第i个室外声源在预测点产生的A声级为L</w:t>
            </w:r>
            <w:r>
              <w:rPr>
                <w:rFonts w:eastAsia="宋体"/>
                <w:color w:val="auto"/>
                <w:sz w:val="24"/>
                <w:szCs w:val="24"/>
                <w:u w:val="none"/>
                <w:vertAlign w:val="subscript"/>
              </w:rPr>
              <w:t>Ai</w:t>
            </w:r>
            <w:r>
              <w:rPr>
                <w:rFonts w:eastAsia="宋体"/>
                <w:color w:val="auto"/>
                <w:sz w:val="24"/>
                <w:szCs w:val="24"/>
                <w:u w:val="none"/>
              </w:rPr>
              <w:t>，在T时间内该声源工作时间为t</w:t>
            </w:r>
            <w:r>
              <w:rPr>
                <w:rFonts w:eastAsia="宋体"/>
                <w:color w:val="auto"/>
                <w:sz w:val="24"/>
                <w:szCs w:val="24"/>
                <w:u w:val="none"/>
                <w:vertAlign w:val="subscript"/>
              </w:rPr>
              <w:t>i</w:t>
            </w:r>
            <w:r>
              <w:rPr>
                <w:rFonts w:eastAsia="宋体"/>
                <w:color w:val="auto"/>
                <w:sz w:val="24"/>
                <w:szCs w:val="24"/>
                <w:u w:val="none"/>
              </w:rPr>
              <w:t>；第j个等效室外声源在预测点产生的A声级为L</w:t>
            </w:r>
            <w:r>
              <w:rPr>
                <w:rFonts w:eastAsia="宋体"/>
                <w:color w:val="auto"/>
                <w:sz w:val="24"/>
                <w:szCs w:val="24"/>
                <w:u w:val="none"/>
                <w:vertAlign w:val="subscript"/>
              </w:rPr>
              <w:t>Aj</w:t>
            </w:r>
            <w:r>
              <w:rPr>
                <w:rFonts w:eastAsia="宋体"/>
                <w:color w:val="auto"/>
                <w:sz w:val="24"/>
                <w:szCs w:val="24"/>
                <w:u w:val="none"/>
              </w:rPr>
              <w:t>，在T时间内该声源工作时间为t</w:t>
            </w:r>
            <w:r>
              <w:rPr>
                <w:rFonts w:eastAsia="宋体"/>
                <w:color w:val="auto"/>
                <w:sz w:val="24"/>
                <w:szCs w:val="24"/>
                <w:u w:val="none"/>
                <w:vertAlign w:val="subscript"/>
              </w:rPr>
              <w:t>j</w:t>
            </w:r>
            <w:r>
              <w:rPr>
                <w:rFonts w:eastAsia="宋体"/>
                <w:color w:val="auto"/>
                <w:sz w:val="24"/>
                <w:szCs w:val="24"/>
                <w:u w:val="none"/>
              </w:rPr>
              <w:t>，则拟建工程声源对预测点产生的贡献值（Leqg）为：</w:t>
            </w:r>
          </w:p>
          <w:p>
            <w:pPr>
              <w:spacing w:line="240" w:lineRule="auto"/>
              <w:ind w:firstLine="480" w:firstLineChars="200"/>
              <w:jc w:val="center"/>
              <w:rPr>
                <w:rFonts w:eastAsia="宋体"/>
                <w:color w:val="auto"/>
                <w:sz w:val="24"/>
                <w:szCs w:val="24"/>
                <w:u w:val="none"/>
              </w:rPr>
            </w:pPr>
            <w:r>
              <w:rPr>
                <w:rFonts w:hint="eastAsia" w:eastAsia="宋体"/>
                <w:color w:val="auto"/>
                <w:sz w:val="24"/>
                <w:szCs w:val="24"/>
                <w:u w:val="none"/>
              </w:rPr>
              <w:drawing>
                <wp:inline distT="0" distB="0" distL="0" distR="0">
                  <wp:extent cx="2811145" cy="516255"/>
                  <wp:effectExtent l="0" t="0" r="3810" b="3810"/>
                  <wp:docPr id="701380317" name="图片 45"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80317" name="图片 45" descr="文本&#10;&#10;AI 生成的内容可能不正确。"/>
                          <pic:cNvPicPr>
                            <a:picLocks noChangeAspect="1" noChangeArrowheads="1"/>
                          </pic:cNvPicPr>
                        </pic:nvPicPr>
                        <pic:blipFill>
                          <a:blip r:embed="rId34"/>
                          <a:srcRect/>
                          <a:stretch>
                            <a:fillRect/>
                          </a:stretch>
                        </pic:blipFill>
                        <pic:spPr>
                          <a:xfrm>
                            <a:off x="0" y="0"/>
                            <a:ext cx="2811145" cy="516255"/>
                          </a:xfrm>
                          <a:prstGeom prst="rect">
                            <a:avLst/>
                          </a:prstGeom>
                          <a:noFill/>
                          <a:ln>
                            <a:noFill/>
                          </a:ln>
                        </pic:spPr>
                      </pic:pic>
                    </a:graphicData>
                  </a:graphic>
                </wp:inline>
              </w:drawing>
            </w:r>
          </w:p>
          <w:p>
            <w:pPr>
              <w:spacing w:line="480" w:lineRule="exact"/>
              <w:ind w:firstLine="480" w:firstLineChars="200"/>
              <w:rPr>
                <w:rFonts w:eastAsia="宋体"/>
                <w:color w:val="auto"/>
                <w:sz w:val="24"/>
                <w:szCs w:val="24"/>
                <w:u w:val="none"/>
              </w:rPr>
            </w:pPr>
            <w:r>
              <w:rPr>
                <w:rFonts w:eastAsia="宋体"/>
                <w:color w:val="auto"/>
                <w:sz w:val="24"/>
                <w:szCs w:val="24"/>
                <w:u w:val="none"/>
              </w:rPr>
              <w:t>式中：L</w:t>
            </w:r>
            <w:r>
              <w:rPr>
                <w:rFonts w:eastAsia="宋体"/>
                <w:color w:val="auto"/>
                <w:sz w:val="24"/>
                <w:szCs w:val="24"/>
                <w:u w:val="none"/>
                <w:vertAlign w:val="subscript"/>
              </w:rPr>
              <w:t>eqg</w:t>
            </w:r>
            <w:r>
              <w:rPr>
                <w:rFonts w:eastAsia="宋体"/>
                <w:color w:val="auto"/>
                <w:sz w:val="24"/>
                <w:szCs w:val="24"/>
                <w:u w:val="none"/>
              </w:rPr>
              <w:t>——建设项目声源在预测点产生的噪声贡献值，dB；</w:t>
            </w:r>
          </w:p>
          <w:p>
            <w:pPr>
              <w:spacing w:line="480" w:lineRule="exact"/>
              <w:ind w:firstLine="480" w:firstLineChars="200"/>
              <w:rPr>
                <w:rFonts w:eastAsia="宋体"/>
                <w:color w:val="auto"/>
                <w:sz w:val="24"/>
                <w:szCs w:val="24"/>
                <w:u w:val="none"/>
              </w:rPr>
            </w:pPr>
            <w:r>
              <w:rPr>
                <w:rFonts w:eastAsia="宋体"/>
                <w:color w:val="auto"/>
                <w:sz w:val="24"/>
                <w:szCs w:val="24"/>
                <w:u w:val="none"/>
              </w:rPr>
              <w:t xml:space="preserve">T——用于计算等效声级的时间，s； </w:t>
            </w:r>
          </w:p>
          <w:p>
            <w:pPr>
              <w:spacing w:line="480" w:lineRule="exact"/>
              <w:ind w:firstLine="480" w:firstLineChars="200"/>
              <w:rPr>
                <w:rFonts w:eastAsia="宋体"/>
                <w:color w:val="auto"/>
                <w:sz w:val="24"/>
                <w:szCs w:val="24"/>
                <w:u w:val="none"/>
              </w:rPr>
            </w:pPr>
            <w:r>
              <w:rPr>
                <w:rFonts w:eastAsia="宋体"/>
                <w:color w:val="auto"/>
                <w:sz w:val="24"/>
                <w:szCs w:val="24"/>
                <w:u w:val="none"/>
              </w:rPr>
              <w:t>N——室外声源个数；</w:t>
            </w:r>
          </w:p>
          <w:p>
            <w:pPr>
              <w:spacing w:line="480" w:lineRule="exact"/>
              <w:ind w:firstLine="480" w:firstLineChars="200"/>
              <w:rPr>
                <w:rFonts w:eastAsia="宋体"/>
                <w:color w:val="auto"/>
                <w:sz w:val="24"/>
                <w:szCs w:val="24"/>
                <w:u w:val="none"/>
              </w:rPr>
            </w:pPr>
            <w:r>
              <w:rPr>
                <w:rFonts w:eastAsia="宋体"/>
                <w:color w:val="auto"/>
                <w:sz w:val="24"/>
                <w:szCs w:val="24"/>
                <w:u w:val="none"/>
              </w:rPr>
              <w:t>t</w:t>
            </w:r>
            <w:r>
              <w:rPr>
                <w:rFonts w:eastAsia="宋体"/>
                <w:color w:val="auto"/>
                <w:sz w:val="24"/>
                <w:szCs w:val="24"/>
                <w:u w:val="none"/>
                <w:vertAlign w:val="subscript"/>
              </w:rPr>
              <w:t>i</w:t>
            </w:r>
            <w:r>
              <w:rPr>
                <w:rFonts w:eastAsia="宋体"/>
                <w:color w:val="auto"/>
                <w:sz w:val="24"/>
                <w:szCs w:val="24"/>
                <w:u w:val="none"/>
              </w:rPr>
              <w:t>——在T时间内i声源工作时间，s；</w:t>
            </w:r>
          </w:p>
          <w:p>
            <w:pPr>
              <w:spacing w:line="480" w:lineRule="exact"/>
              <w:ind w:firstLine="480" w:firstLineChars="200"/>
              <w:rPr>
                <w:rFonts w:eastAsia="宋体"/>
                <w:color w:val="auto"/>
                <w:sz w:val="24"/>
                <w:szCs w:val="24"/>
                <w:u w:val="none"/>
              </w:rPr>
            </w:pPr>
            <w:r>
              <w:rPr>
                <w:rFonts w:eastAsia="宋体"/>
                <w:color w:val="auto"/>
                <w:sz w:val="24"/>
                <w:szCs w:val="24"/>
                <w:u w:val="none"/>
              </w:rPr>
              <w:t>M——等效室外声源个数；</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eastAsia="宋体"/>
                <w:color w:val="auto"/>
                <w:sz w:val="24"/>
                <w:szCs w:val="24"/>
                <w:u w:val="none"/>
              </w:rPr>
              <w:t>t</w:t>
            </w:r>
            <w:r>
              <w:rPr>
                <w:rFonts w:eastAsia="宋体"/>
                <w:color w:val="auto"/>
                <w:sz w:val="24"/>
                <w:szCs w:val="24"/>
                <w:u w:val="none"/>
                <w:vertAlign w:val="subscript"/>
              </w:rPr>
              <w:t>j</w:t>
            </w:r>
            <w:r>
              <w:rPr>
                <w:rFonts w:eastAsia="宋体"/>
                <w:color w:val="auto"/>
                <w:sz w:val="24"/>
                <w:szCs w:val="24"/>
                <w:u w:val="none"/>
              </w:rPr>
              <w:t>——在T时间内 j 声源工作时间，s。</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w:t>
            </w:r>
            <w:r>
              <w:rPr>
                <w:rFonts w:hint="eastAsia" w:ascii="Times New Roman" w:hAnsi="Times New Roman" w:eastAsia="宋体" w:cs="Times New Roman"/>
                <w:color w:val="auto"/>
                <w:sz w:val="24"/>
                <w:szCs w:val="24"/>
                <w:u w:val="none"/>
                <w:lang w:val="en-US" w:eastAsia="zh-CN"/>
              </w:rPr>
              <w:t>4</w:t>
            </w:r>
            <w:r>
              <w:rPr>
                <w:rFonts w:hint="default" w:ascii="Times New Roman" w:hAnsi="Times New Roman" w:eastAsia="宋体" w:cs="Times New Roman"/>
                <w:color w:val="auto"/>
                <w:sz w:val="24"/>
                <w:szCs w:val="24"/>
                <w:u w:val="none"/>
              </w:rPr>
              <w:t>）厂界噪声预测结果</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本项目生产线仅昼间生产，污水处理站24h生产，结合工程总平面布置可知，生产设备噪声随距离传播衰减的变化情况，详见下表：</w:t>
            </w:r>
          </w:p>
          <w:p>
            <w:pPr>
              <w:adjustRightInd w:val="0"/>
              <w:snapToGrid w:val="0"/>
              <w:spacing w:line="360" w:lineRule="auto"/>
              <w:jc w:val="center"/>
              <w:rPr>
                <w:rFonts w:hint="default" w:ascii="Times New Roman" w:hAnsi="Times New Roman" w:eastAsia="宋体" w:cs="Times New Roman"/>
                <w:color w:val="auto"/>
                <w:sz w:val="24"/>
                <w:szCs w:val="24"/>
                <w:u w:val="none"/>
              </w:rPr>
            </w:pPr>
            <w:r>
              <w:rPr>
                <w:rFonts w:hint="default" w:ascii="Times New Roman" w:hAnsi="Times New Roman" w:eastAsia="宋体" w:cs="Times New Roman"/>
                <w:b/>
                <w:bCs/>
                <w:color w:val="auto"/>
                <w:sz w:val="24"/>
                <w:szCs w:val="24"/>
                <w:u w:val="none"/>
              </w:rPr>
              <w:t xml:space="preserve">表4.4-4 </w:t>
            </w:r>
            <w:r>
              <w:rPr>
                <w:rFonts w:hint="default" w:ascii="Times New Roman" w:hAnsi="Times New Roman" w:eastAsia="宋体" w:cs="Times New Roman"/>
                <w:b/>
                <w:color w:val="auto"/>
                <w:sz w:val="24"/>
                <w:szCs w:val="24"/>
                <w:u w:val="none"/>
              </w:rPr>
              <w:t>厂界噪声预测结果与达标分析表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84"/>
              <w:gridCol w:w="1517"/>
              <w:gridCol w:w="2167"/>
              <w:gridCol w:w="2172"/>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9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color w:val="auto"/>
                      <w:kern w:val="0"/>
                      <w:sz w:val="21"/>
                      <w:szCs w:val="21"/>
                      <w:u w:val="none"/>
                    </w:rPr>
                  </w:pPr>
                  <w:r>
                    <w:rPr>
                      <w:rFonts w:hint="default" w:ascii="Times New Roman" w:hAnsi="Times New Roman" w:eastAsia="宋体" w:cs="Times New Roman"/>
                      <w:b/>
                      <w:color w:val="auto"/>
                      <w:sz w:val="21"/>
                      <w:szCs w:val="21"/>
                      <w:u w:val="none"/>
                    </w:rPr>
                    <w:t>预测方位</w:t>
                  </w:r>
                </w:p>
              </w:tc>
              <w:tc>
                <w:tcPr>
                  <w:tcW w:w="81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时段</w:t>
                  </w:r>
                </w:p>
              </w:tc>
              <w:tc>
                <w:tcPr>
                  <w:tcW w:w="115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贡献值（dB(A)）</w:t>
                  </w:r>
                </w:p>
              </w:tc>
              <w:tc>
                <w:tcPr>
                  <w:tcW w:w="116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标准限值（dB(A)）</w:t>
                  </w:r>
                </w:p>
              </w:tc>
              <w:tc>
                <w:tcPr>
                  <w:tcW w:w="97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Cs/>
                      <w:color w:val="auto"/>
                      <w:sz w:val="21"/>
                      <w:szCs w:val="21"/>
                      <w:u w:val="none"/>
                    </w:rPr>
                  </w:pPr>
                </w:p>
              </w:tc>
              <w:tc>
                <w:tcPr>
                  <w:tcW w:w="81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Cs/>
                      <w:color w:val="auto"/>
                      <w:sz w:val="21"/>
                      <w:szCs w:val="21"/>
                      <w:u w:val="none"/>
                    </w:rPr>
                  </w:pPr>
                </w:p>
              </w:tc>
              <w:tc>
                <w:tcPr>
                  <w:tcW w:w="115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Cs/>
                      <w:color w:val="auto"/>
                      <w:sz w:val="21"/>
                      <w:szCs w:val="21"/>
                      <w:u w:val="none"/>
                    </w:rPr>
                  </w:pPr>
                </w:p>
              </w:tc>
              <w:tc>
                <w:tcPr>
                  <w:tcW w:w="11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Cs/>
                      <w:color w:val="auto"/>
                      <w:sz w:val="21"/>
                      <w:szCs w:val="21"/>
                      <w:u w:val="none"/>
                    </w:rPr>
                  </w:pPr>
                </w:p>
              </w:tc>
              <w:tc>
                <w:tcPr>
                  <w:tcW w:w="97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Cs/>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99" w:type="pct"/>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东侧</w:t>
                  </w:r>
                </w:p>
              </w:tc>
              <w:tc>
                <w:tcPr>
                  <w:tcW w:w="81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昼间</w:t>
                  </w:r>
                </w:p>
              </w:tc>
              <w:tc>
                <w:tcPr>
                  <w:tcW w:w="115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lang w:val="en-US" w:eastAsia="zh-CN"/>
                    </w:rPr>
                  </w:pPr>
                  <w:r>
                    <w:rPr>
                      <w:rFonts w:hint="eastAsia" w:ascii="Times New Roman" w:hAnsi="Times New Roman" w:eastAsia="宋体" w:cs="Times New Roman"/>
                      <w:bCs/>
                      <w:color w:val="auto"/>
                      <w:sz w:val="21"/>
                      <w:szCs w:val="21"/>
                      <w:u w:val="none"/>
                      <w:lang w:val="en-US" w:eastAsia="zh-CN"/>
                    </w:rPr>
                    <w:t>34.6</w:t>
                  </w: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70</w:t>
                  </w:r>
                </w:p>
              </w:tc>
              <w:tc>
                <w:tcPr>
                  <w:tcW w:w="97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99" w:type="pct"/>
                  <w:vMerge w:val="continue"/>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Cs/>
                      <w:color w:val="auto"/>
                      <w:sz w:val="21"/>
                      <w:szCs w:val="21"/>
                      <w:u w:val="none"/>
                    </w:rPr>
                  </w:pPr>
                </w:p>
              </w:tc>
              <w:tc>
                <w:tcPr>
                  <w:tcW w:w="81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夜间</w:t>
                  </w:r>
                </w:p>
              </w:tc>
              <w:tc>
                <w:tcPr>
                  <w:tcW w:w="115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lang w:val="en-US" w:eastAsia="zh-CN"/>
                    </w:rPr>
                  </w:pPr>
                  <w:r>
                    <w:rPr>
                      <w:rFonts w:hint="eastAsia" w:ascii="Times New Roman" w:hAnsi="Times New Roman" w:eastAsia="宋体" w:cs="Times New Roman"/>
                      <w:bCs/>
                      <w:color w:val="auto"/>
                      <w:sz w:val="21"/>
                      <w:szCs w:val="21"/>
                      <w:u w:val="none"/>
                      <w:lang w:val="en-US" w:eastAsia="zh-CN"/>
                    </w:rPr>
                    <w:t>34.5</w:t>
                  </w: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55</w:t>
                  </w:r>
                </w:p>
              </w:tc>
              <w:tc>
                <w:tcPr>
                  <w:tcW w:w="97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99" w:type="pct"/>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南侧</w:t>
                  </w:r>
                </w:p>
              </w:tc>
              <w:tc>
                <w:tcPr>
                  <w:tcW w:w="81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昼间</w:t>
                  </w:r>
                </w:p>
              </w:tc>
              <w:tc>
                <w:tcPr>
                  <w:tcW w:w="115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lang w:val="en-US" w:eastAsia="zh-CN"/>
                    </w:rPr>
                  </w:pPr>
                  <w:r>
                    <w:rPr>
                      <w:rFonts w:hint="eastAsia" w:ascii="Times New Roman" w:hAnsi="Times New Roman" w:eastAsia="宋体" w:cs="Times New Roman"/>
                      <w:bCs/>
                      <w:color w:val="auto"/>
                      <w:sz w:val="21"/>
                      <w:szCs w:val="21"/>
                      <w:u w:val="none"/>
                      <w:lang w:val="en-US" w:eastAsia="zh-CN"/>
                    </w:rPr>
                    <w:t>37.0</w:t>
                  </w: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97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99" w:type="pct"/>
                  <w:vMerge w:val="continue"/>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Cs/>
                      <w:color w:val="auto"/>
                      <w:sz w:val="21"/>
                      <w:szCs w:val="21"/>
                      <w:u w:val="none"/>
                    </w:rPr>
                  </w:pPr>
                </w:p>
              </w:tc>
              <w:tc>
                <w:tcPr>
                  <w:tcW w:w="81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夜间</w:t>
                  </w:r>
                </w:p>
              </w:tc>
              <w:tc>
                <w:tcPr>
                  <w:tcW w:w="115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lang w:val="en-US" w:eastAsia="zh-CN"/>
                    </w:rPr>
                  </w:pPr>
                  <w:r>
                    <w:rPr>
                      <w:rFonts w:hint="eastAsia" w:ascii="Times New Roman" w:hAnsi="Times New Roman" w:eastAsia="宋体" w:cs="Times New Roman"/>
                      <w:bCs/>
                      <w:color w:val="auto"/>
                      <w:sz w:val="21"/>
                      <w:szCs w:val="21"/>
                      <w:u w:val="none"/>
                      <w:lang w:val="en-US" w:eastAsia="zh-CN"/>
                    </w:rPr>
                    <w:t>36.9</w:t>
                  </w: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55</w:t>
                  </w:r>
                </w:p>
              </w:tc>
              <w:tc>
                <w:tcPr>
                  <w:tcW w:w="97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99" w:type="pct"/>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西侧</w:t>
                  </w:r>
                </w:p>
              </w:tc>
              <w:tc>
                <w:tcPr>
                  <w:tcW w:w="81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昼间</w:t>
                  </w:r>
                </w:p>
              </w:tc>
              <w:tc>
                <w:tcPr>
                  <w:tcW w:w="115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lang w:val="en-US" w:eastAsia="zh-CN"/>
                    </w:rPr>
                  </w:pPr>
                  <w:r>
                    <w:rPr>
                      <w:rFonts w:hint="eastAsia" w:ascii="Times New Roman" w:hAnsi="Times New Roman" w:eastAsia="宋体" w:cs="Times New Roman"/>
                      <w:bCs/>
                      <w:color w:val="auto"/>
                      <w:sz w:val="21"/>
                      <w:szCs w:val="21"/>
                      <w:u w:val="none"/>
                      <w:lang w:val="en-US" w:eastAsia="zh-CN"/>
                    </w:rPr>
                    <w:t>32.8</w:t>
                  </w: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97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99" w:type="pct"/>
                  <w:vMerge w:val="continue"/>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Cs/>
                      <w:color w:val="auto"/>
                      <w:sz w:val="21"/>
                      <w:szCs w:val="21"/>
                      <w:u w:val="none"/>
                    </w:rPr>
                  </w:pPr>
                </w:p>
              </w:tc>
              <w:tc>
                <w:tcPr>
                  <w:tcW w:w="81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夜间</w:t>
                  </w:r>
                </w:p>
              </w:tc>
              <w:tc>
                <w:tcPr>
                  <w:tcW w:w="115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lang w:val="en-US" w:eastAsia="zh-CN"/>
                    </w:rPr>
                  </w:pPr>
                  <w:r>
                    <w:rPr>
                      <w:rFonts w:hint="eastAsia" w:ascii="Times New Roman" w:hAnsi="Times New Roman" w:eastAsia="宋体" w:cs="Times New Roman"/>
                      <w:bCs/>
                      <w:color w:val="auto"/>
                      <w:sz w:val="21"/>
                      <w:szCs w:val="21"/>
                      <w:u w:val="none"/>
                      <w:lang w:val="en-US" w:eastAsia="zh-CN"/>
                    </w:rPr>
                    <w:t>32.8</w:t>
                  </w: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55</w:t>
                  </w:r>
                </w:p>
              </w:tc>
              <w:tc>
                <w:tcPr>
                  <w:tcW w:w="97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99" w:type="pct"/>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北侧</w:t>
                  </w:r>
                </w:p>
              </w:tc>
              <w:tc>
                <w:tcPr>
                  <w:tcW w:w="81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昼间</w:t>
                  </w:r>
                </w:p>
              </w:tc>
              <w:tc>
                <w:tcPr>
                  <w:tcW w:w="115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eastAsia" w:ascii="Times New Roman" w:hAnsi="Times New Roman" w:eastAsia="宋体" w:cs="Times New Roman"/>
                      <w:bCs/>
                      <w:color w:val="auto"/>
                      <w:sz w:val="21"/>
                      <w:szCs w:val="21"/>
                      <w:u w:val="none"/>
                      <w:lang w:val="en-US" w:eastAsia="zh-CN"/>
                    </w:rPr>
                    <w:t>50.6</w:t>
                  </w: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65</w:t>
                  </w:r>
                </w:p>
              </w:tc>
              <w:tc>
                <w:tcPr>
                  <w:tcW w:w="97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99" w:type="pct"/>
                  <w:vMerge w:val="continue"/>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Cs/>
                      <w:color w:val="auto"/>
                      <w:sz w:val="21"/>
                      <w:szCs w:val="21"/>
                      <w:u w:val="none"/>
                    </w:rPr>
                  </w:pPr>
                </w:p>
              </w:tc>
              <w:tc>
                <w:tcPr>
                  <w:tcW w:w="81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夜间</w:t>
                  </w:r>
                </w:p>
              </w:tc>
              <w:tc>
                <w:tcPr>
                  <w:tcW w:w="115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lang w:val="en-US" w:eastAsia="zh-CN"/>
                    </w:rPr>
                  </w:pPr>
                  <w:r>
                    <w:rPr>
                      <w:rFonts w:hint="eastAsia" w:ascii="Times New Roman" w:hAnsi="Times New Roman" w:eastAsia="宋体" w:cs="Times New Roman"/>
                      <w:bCs/>
                      <w:color w:val="auto"/>
                      <w:sz w:val="21"/>
                      <w:szCs w:val="21"/>
                      <w:u w:val="none"/>
                      <w:lang w:val="en-US" w:eastAsia="zh-CN"/>
                    </w:rPr>
                    <w:t>50.5</w:t>
                  </w: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55</w:t>
                  </w:r>
                </w:p>
              </w:tc>
              <w:tc>
                <w:tcPr>
                  <w:tcW w:w="973"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Cs/>
                      <w:color w:val="auto"/>
                      <w:sz w:val="21"/>
                      <w:szCs w:val="21"/>
                      <w:u w:val="none"/>
                    </w:rPr>
                  </w:pPr>
                  <w:r>
                    <w:rPr>
                      <w:rFonts w:hint="default" w:ascii="Times New Roman" w:hAnsi="Times New Roman" w:eastAsia="宋体" w:cs="Times New Roman"/>
                      <w:bCs/>
                      <w:color w:val="auto"/>
                      <w:sz w:val="21"/>
                      <w:szCs w:val="21"/>
                      <w:u w:val="none"/>
                    </w:rPr>
                    <w:t>达标</w:t>
                  </w:r>
                </w:p>
              </w:tc>
            </w:tr>
          </w:tbl>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由上表可知，正常工况下，项目厂界东面噪声满足《工业企业厂界环境噪声排放标准》(GB12348-2008)4类标准，南、西、北面噪声满足3类标准，项目噪声对周边声环境影响较小。</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w:t>
            </w:r>
            <w:r>
              <w:rPr>
                <w:rFonts w:hint="eastAsia" w:ascii="Times New Roman" w:hAnsi="Times New Roman" w:eastAsia="宋体" w:cs="Times New Roman"/>
                <w:color w:val="auto"/>
                <w:sz w:val="24"/>
                <w:szCs w:val="24"/>
                <w:u w:val="none"/>
                <w:lang w:val="en-US" w:eastAsia="zh-CN"/>
              </w:rPr>
              <w:t>5</w:t>
            </w:r>
            <w:r>
              <w:rPr>
                <w:rFonts w:hint="default" w:ascii="Times New Roman" w:hAnsi="Times New Roman" w:eastAsia="宋体" w:cs="Times New Roman"/>
                <w:color w:val="auto"/>
                <w:sz w:val="24"/>
                <w:szCs w:val="24"/>
                <w:u w:val="none"/>
              </w:rPr>
              <w:t>）敏感点噪声预测结果</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项目周边200m内声环境敏感目标为西面、西北面的新华二组及西南面的涝溪桥村，因此本环评预测项目噪声对敏感点的影响，预测结果如下：</w:t>
            </w:r>
          </w:p>
          <w:p>
            <w:pPr>
              <w:adjustRightInd w:val="0"/>
              <w:snapToGrid w:val="0"/>
              <w:spacing w:line="360" w:lineRule="auto"/>
              <w:ind w:firstLine="482" w:firstLineChars="200"/>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表4.4-5 声环境保护目标噪声预测结果与达标分析表   单位:dB(A)</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1088"/>
              <w:gridCol w:w="719"/>
              <w:gridCol w:w="725"/>
              <w:gridCol w:w="590"/>
              <w:gridCol w:w="592"/>
              <w:gridCol w:w="721"/>
              <w:gridCol w:w="723"/>
              <w:gridCol w:w="781"/>
              <w:gridCol w:w="783"/>
              <w:gridCol w:w="721"/>
              <w:gridCol w:w="723"/>
              <w:gridCol w:w="596"/>
              <w:gridCol w:w="59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00" w:hRule="atLeast"/>
                <w:jc w:val="center"/>
              </w:trPr>
              <w:tc>
                <w:tcPr>
                  <w:tcW w:w="581" w:type="pct"/>
                  <w:vMerge w:val="restar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声环境保护目标名称</w:t>
                  </w:r>
                </w:p>
              </w:tc>
              <w:tc>
                <w:tcPr>
                  <w:tcW w:w="771" w:type="pct"/>
                  <w:gridSpan w:val="2"/>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噪声现状值/dB(A)</w:t>
                  </w:r>
                </w:p>
              </w:tc>
              <w:tc>
                <w:tcPr>
                  <w:tcW w:w="631" w:type="pct"/>
                  <w:gridSpan w:val="2"/>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噪声标准/dB(A)</w:t>
                  </w:r>
                </w:p>
              </w:tc>
              <w:tc>
                <w:tcPr>
                  <w:tcW w:w="771" w:type="pct"/>
                  <w:gridSpan w:val="2"/>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噪声贡献值/dB(A)</w:t>
                  </w:r>
                </w:p>
              </w:tc>
              <w:tc>
                <w:tcPr>
                  <w:tcW w:w="835" w:type="pct"/>
                  <w:gridSpan w:val="2"/>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噪声预测值/dB(A)</w:t>
                  </w:r>
                </w:p>
              </w:tc>
              <w:tc>
                <w:tcPr>
                  <w:tcW w:w="771" w:type="pct"/>
                  <w:gridSpan w:val="2"/>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较现状增量/dB(A)</w:t>
                  </w:r>
                </w:p>
              </w:tc>
              <w:tc>
                <w:tcPr>
                  <w:tcW w:w="636" w:type="pct"/>
                  <w:gridSpan w:val="2"/>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超标和达标情况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581" w:type="pct"/>
                  <w:vMerge w:val="continue"/>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p>
              </w:tc>
              <w:tc>
                <w:tcPr>
                  <w:tcW w:w="384"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昼间</w:t>
                  </w:r>
                </w:p>
              </w:tc>
              <w:tc>
                <w:tcPr>
                  <w:tcW w:w="386"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夜间</w:t>
                  </w:r>
                </w:p>
              </w:tc>
              <w:tc>
                <w:tcPr>
                  <w:tcW w:w="31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昼间</w:t>
                  </w:r>
                </w:p>
              </w:tc>
              <w:tc>
                <w:tcPr>
                  <w:tcW w:w="31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夜间</w:t>
                  </w:r>
                </w:p>
              </w:tc>
              <w:tc>
                <w:tcPr>
                  <w:tcW w:w="38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昼间</w:t>
                  </w:r>
                </w:p>
              </w:tc>
              <w:tc>
                <w:tcPr>
                  <w:tcW w:w="386"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夜间</w:t>
                  </w:r>
                </w:p>
              </w:tc>
              <w:tc>
                <w:tcPr>
                  <w:tcW w:w="417"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昼间</w:t>
                  </w:r>
                </w:p>
              </w:tc>
              <w:tc>
                <w:tcPr>
                  <w:tcW w:w="418"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夜间</w:t>
                  </w:r>
                </w:p>
              </w:tc>
              <w:tc>
                <w:tcPr>
                  <w:tcW w:w="38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昼间</w:t>
                  </w:r>
                </w:p>
              </w:tc>
              <w:tc>
                <w:tcPr>
                  <w:tcW w:w="386"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夜间</w:t>
                  </w:r>
                </w:p>
              </w:tc>
              <w:tc>
                <w:tcPr>
                  <w:tcW w:w="318"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昼间</w:t>
                  </w:r>
                </w:p>
              </w:tc>
              <w:tc>
                <w:tcPr>
                  <w:tcW w:w="318"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夜间</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581"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西南面涝溪桥村</w:t>
                  </w:r>
                </w:p>
              </w:tc>
              <w:tc>
                <w:tcPr>
                  <w:tcW w:w="384"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57.1</w:t>
                  </w:r>
                </w:p>
              </w:tc>
              <w:tc>
                <w:tcPr>
                  <w:tcW w:w="386"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45.3</w:t>
                  </w:r>
                </w:p>
              </w:tc>
              <w:tc>
                <w:tcPr>
                  <w:tcW w:w="31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60</w:t>
                  </w:r>
                </w:p>
              </w:tc>
              <w:tc>
                <w:tcPr>
                  <w:tcW w:w="31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w:t>
                  </w:r>
                </w:p>
              </w:tc>
              <w:tc>
                <w:tcPr>
                  <w:tcW w:w="38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30.2</w:t>
                  </w:r>
                </w:p>
              </w:tc>
              <w:tc>
                <w:tcPr>
                  <w:tcW w:w="386"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29.0</w:t>
                  </w:r>
                </w:p>
              </w:tc>
              <w:tc>
                <w:tcPr>
                  <w:tcW w:w="781"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57.11</w:t>
                  </w:r>
                </w:p>
              </w:tc>
              <w:tc>
                <w:tcPr>
                  <w:tcW w:w="782"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45.40</w:t>
                  </w:r>
                </w:p>
              </w:tc>
              <w:tc>
                <w:tcPr>
                  <w:tcW w:w="721"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0.01</w:t>
                  </w:r>
                </w:p>
              </w:tc>
              <w:tc>
                <w:tcPr>
                  <w:tcW w:w="723"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0.10</w:t>
                  </w:r>
                </w:p>
              </w:tc>
              <w:tc>
                <w:tcPr>
                  <w:tcW w:w="318"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318"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581"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西北面新华二组</w:t>
                  </w:r>
                </w:p>
              </w:tc>
              <w:tc>
                <w:tcPr>
                  <w:tcW w:w="384"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55.1</w:t>
                  </w:r>
                </w:p>
              </w:tc>
              <w:tc>
                <w:tcPr>
                  <w:tcW w:w="386"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45.6</w:t>
                  </w:r>
                </w:p>
              </w:tc>
              <w:tc>
                <w:tcPr>
                  <w:tcW w:w="31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60</w:t>
                  </w:r>
                </w:p>
              </w:tc>
              <w:tc>
                <w:tcPr>
                  <w:tcW w:w="31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w:t>
                  </w:r>
                </w:p>
              </w:tc>
              <w:tc>
                <w:tcPr>
                  <w:tcW w:w="38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34.8</w:t>
                  </w:r>
                </w:p>
              </w:tc>
              <w:tc>
                <w:tcPr>
                  <w:tcW w:w="386"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33.9</w:t>
                  </w:r>
                </w:p>
              </w:tc>
              <w:tc>
                <w:tcPr>
                  <w:tcW w:w="781"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55.14</w:t>
                  </w:r>
                </w:p>
              </w:tc>
              <w:tc>
                <w:tcPr>
                  <w:tcW w:w="782"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45.88</w:t>
                  </w:r>
                </w:p>
              </w:tc>
              <w:tc>
                <w:tcPr>
                  <w:tcW w:w="721"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0.04</w:t>
                  </w:r>
                </w:p>
              </w:tc>
              <w:tc>
                <w:tcPr>
                  <w:tcW w:w="723"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0.28</w:t>
                  </w:r>
                </w:p>
              </w:tc>
              <w:tc>
                <w:tcPr>
                  <w:tcW w:w="318"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318"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jc w:val="center"/>
              </w:trPr>
              <w:tc>
                <w:tcPr>
                  <w:tcW w:w="581"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西面新华二组</w:t>
                  </w:r>
                </w:p>
              </w:tc>
              <w:tc>
                <w:tcPr>
                  <w:tcW w:w="384"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54.0</w:t>
                  </w:r>
                </w:p>
              </w:tc>
              <w:tc>
                <w:tcPr>
                  <w:tcW w:w="386"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45.4</w:t>
                  </w:r>
                </w:p>
              </w:tc>
              <w:tc>
                <w:tcPr>
                  <w:tcW w:w="31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60</w:t>
                  </w:r>
                </w:p>
              </w:tc>
              <w:tc>
                <w:tcPr>
                  <w:tcW w:w="31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w:t>
                  </w:r>
                </w:p>
              </w:tc>
              <w:tc>
                <w:tcPr>
                  <w:tcW w:w="385"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32.4</w:t>
                  </w:r>
                </w:p>
              </w:tc>
              <w:tc>
                <w:tcPr>
                  <w:tcW w:w="386"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31.4</w:t>
                  </w:r>
                </w:p>
              </w:tc>
              <w:tc>
                <w:tcPr>
                  <w:tcW w:w="781"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54.03</w:t>
                  </w:r>
                </w:p>
              </w:tc>
              <w:tc>
                <w:tcPr>
                  <w:tcW w:w="782"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45.57</w:t>
                  </w:r>
                </w:p>
              </w:tc>
              <w:tc>
                <w:tcPr>
                  <w:tcW w:w="721"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0.03</w:t>
                  </w:r>
                </w:p>
              </w:tc>
              <w:tc>
                <w:tcPr>
                  <w:tcW w:w="723" w:type="dxa"/>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0.17</w:t>
                  </w:r>
                </w:p>
              </w:tc>
              <w:tc>
                <w:tcPr>
                  <w:tcW w:w="318"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c>
                <w:tcPr>
                  <w:tcW w:w="318" w:type="pct"/>
                  <w:shd w:val="clear" w:color="auto" w:fill="auto"/>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达标</w:t>
                  </w:r>
                </w:p>
              </w:tc>
            </w:tr>
          </w:tbl>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由上表可知，声环境敏感目标噪声预测值可满足《声环境质量标准》（GB3096-2008）2类标准要求，噪声最大增量为0.</w:t>
            </w:r>
            <w:r>
              <w:rPr>
                <w:rFonts w:hint="eastAsia" w:ascii="Times New Roman" w:hAnsi="Times New Roman" w:eastAsia="宋体" w:cs="Times New Roman"/>
                <w:color w:val="auto"/>
                <w:sz w:val="24"/>
                <w:szCs w:val="24"/>
                <w:u w:val="none"/>
                <w:lang w:val="en-US" w:eastAsia="zh-CN"/>
              </w:rPr>
              <w:t>28</w:t>
            </w:r>
            <w:r>
              <w:rPr>
                <w:rFonts w:hint="default" w:ascii="Times New Roman" w:hAnsi="Times New Roman" w:eastAsia="宋体" w:cs="Times New Roman"/>
                <w:color w:val="auto"/>
                <w:sz w:val="24"/>
                <w:szCs w:val="24"/>
                <w:u w:val="none"/>
              </w:rPr>
              <w:t>dB(A)，增量很小，项目噪声对声环境敏感点影响较小。</w:t>
            </w:r>
          </w:p>
          <w:p>
            <w:pPr>
              <w:adjustRightInd w:val="0"/>
              <w:snapToGrid w:val="0"/>
              <w:spacing w:line="360" w:lineRule="auto"/>
              <w:ind w:firstLine="482" w:firstLineChars="200"/>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4.4.3 噪声污染防治措施</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为进一步减轻噪声影响，采取以下污染防治措施：</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（1）声源治理：在设计和设备采购阶段，应优先选用先进的低噪音设备，从声源上降低设备本身噪音。风机等动力设备选用满足国际标准的低噪声、低振动设备。</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（2）隔声、吸声：除选择低噪设备外，生产设备尽可能放置室内，水泵放置在水下。生产时门窗紧闭，通过强制机械排风来加强车间通风换气，以减少噪声外传。</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（3）减震、隔震：在设备安装时，对高噪声设备采取减震、隔震措施，比如在设备基础处理上采用减震垫基座，在各接口处采用软管连接等。</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（4）合理规划平面布局。墙体采用隔声材质加强车间隔音建设，项目重点噪声源尽量布置在车间内中部。同时加强厂界绿化，厂房周围、道路两旁皆作为绿化地。</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（5）建筑物隔声。项目建设的为大规模生产车间，所有生产线均布置在车间内，因此噪声源均封闭在室内。车间门窗采用隔声门窗，平时生产时尽量少开门窗以封闭隔声。</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（6）加强对各生产设备的维修、保养，对其主要磨损部位要及时添加润滑油，确保设备处于良好的运转状态，减少机械振动和摩擦产生的噪声，防止共振。</w:t>
            </w:r>
          </w:p>
          <w:p>
            <w:pPr>
              <w:adjustRightInd w:val="0"/>
              <w:snapToGrid w:val="0"/>
              <w:spacing w:line="360" w:lineRule="auto"/>
              <w:ind w:firstLine="480" w:firstLineChars="200"/>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（7）加强厂区内管理，合理安排作业时间，严控作息时间，夜间不生产，减少人为引起的噪声排放。</w:t>
            </w:r>
          </w:p>
          <w:p>
            <w:pPr>
              <w:spacing w:line="360" w:lineRule="auto"/>
              <w:ind w:firstLine="482" w:firstLineChars="200"/>
              <w:contextualSpacing/>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4.4.4 噪声监测计划</w:t>
            </w:r>
          </w:p>
          <w:p>
            <w:pPr>
              <w:spacing w:line="360" w:lineRule="auto"/>
              <w:ind w:firstLine="496" w:firstLineChars="200"/>
              <w:contextualSpacing/>
              <w:rPr>
                <w:rFonts w:hint="default" w:ascii="Times New Roman" w:hAnsi="Times New Roman" w:eastAsia="宋体" w:cs="Times New Roman"/>
                <w:color w:val="auto"/>
                <w:spacing w:val="4"/>
                <w:sz w:val="24"/>
                <w:szCs w:val="24"/>
                <w:u w:val="none"/>
              </w:rPr>
            </w:pPr>
            <w:r>
              <w:rPr>
                <w:rFonts w:hint="default" w:ascii="Times New Roman" w:hAnsi="Times New Roman" w:eastAsia="宋体" w:cs="Times New Roman"/>
                <w:color w:val="auto"/>
                <w:spacing w:val="4"/>
                <w:sz w:val="24"/>
                <w:szCs w:val="24"/>
                <w:u w:val="none"/>
              </w:rPr>
              <w:t>根据《排污许可证申请与核发技术规范总则》(HJ942-2018）和《排污单位自行监测技术指南 食品制造》（HJ1084-2020），本项目噪声监测计划见表4.4-6。</w:t>
            </w:r>
          </w:p>
          <w:p>
            <w:pPr>
              <w:jc w:val="center"/>
              <w:rPr>
                <w:rFonts w:hint="default" w:ascii="Times New Roman" w:hAnsi="Times New Roman" w:eastAsia="宋体" w:cs="Times New Roman"/>
                <w:b/>
                <w:color w:val="auto"/>
                <w:spacing w:val="4"/>
                <w:sz w:val="24"/>
                <w:szCs w:val="24"/>
                <w:u w:val="none"/>
              </w:rPr>
            </w:pPr>
            <w:r>
              <w:rPr>
                <w:rFonts w:hint="default" w:ascii="Times New Roman" w:hAnsi="Times New Roman" w:eastAsia="宋体" w:cs="Times New Roman"/>
                <w:b/>
                <w:color w:val="auto"/>
                <w:spacing w:val="4"/>
                <w:sz w:val="24"/>
                <w:szCs w:val="24"/>
                <w:u w:val="none"/>
              </w:rPr>
              <w:t>表4.4-6  项目噪声监测计划表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2"/>
              <w:gridCol w:w="2192"/>
              <w:gridCol w:w="2358"/>
              <w:gridCol w:w="2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5" w:type="pct"/>
                  <w:vAlign w:val="center"/>
                </w:tcPr>
                <w:p>
                  <w:pPr>
                    <w:contextualSpacing/>
                    <w:jc w:val="center"/>
                    <w:rPr>
                      <w:rFonts w:hint="default" w:ascii="Times New Roman" w:hAnsi="Times New Roman" w:eastAsia="宋体" w:cs="Times New Roman"/>
                      <w:b/>
                      <w:bCs/>
                      <w:color w:val="auto"/>
                      <w:spacing w:val="4"/>
                      <w:sz w:val="21"/>
                      <w:szCs w:val="21"/>
                      <w:u w:val="none"/>
                    </w:rPr>
                  </w:pPr>
                  <w:r>
                    <w:rPr>
                      <w:rFonts w:hint="default" w:ascii="Times New Roman" w:hAnsi="Times New Roman" w:eastAsia="宋体" w:cs="Times New Roman"/>
                      <w:b/>
                      <w:bCs/>
                      <w:color w:val="auto"/>
                      <w:spacing w:val="4"/>
                      <w:sz w:val="21"/>
                      <w:szCs w:val="21"/>
                      <w:u w:val="none"/>
                    </w:rPr>
                    <w:t>监测点位</w:t>
                  </w:r>
                </w:p>
              </w:tc>
              <w:tc>
                <w:tcPr>
                  <w:tcW w:w="1170" w:type="pct"/>
                  <w:vAlign w:val="center"/>
                </w:tcPr>
                <w:p>
                  <w:pPr>
                    <w:contextualSpacing/>
                    <w:jc w:val="center"/>
                    <w:rPr>
                      <w:rFonts w:hint="default" w:ascii="Times New Roman" w:hAnsi="Times New Roman" w:eastAsia="宋体" w:cs="Times New Roman"/>
                      <w:b/>
                      <w:bCs/>
                      <w:color w:val="auto"/>
                      <w:spacing w:val="4"/>
                      <w:sz w:val="21"/>
                      <w:szCs w:val="21"/>
                      <w:u w:val="none"/>
                    </w:rPr>
                  </w:pPr>
                  <w:r>
                    <w:rPr>
                      <w:rFonts w:hint="default" w:ascii="Times New Roman" w:hAnsi="Times New Roman" w:eastAsia="宋体" w:cs="Times New Roman"/>
                      <w:b/>
                      <w:bCs/>
                      <w:color w:val="auto"/>
                      <w:spacing w:val="4"/>
                      <w:sz w:val="21"/>
                      <w:szCs w:val="21"/>
                      <w:u w:val="none"/>
                    </w:rPr>
                    <w:t>监测因子</w:t>
                  </w:r>
                </w:p>
              </w:tc>
              <w:tc>
                <w:tcPr>
                  <w:tcW w:w="1259" w:type="pct"/>
                  <w:vAlign w:val="center"/>
                </w:tcPr>
                <w:p>
                  <w:pPr>
                    <w:contextualSpacing/>
                    <w:jc w:val="center"/>
                    <w:rPr>
                      <w:rFonts w:hint="default" w:ascii="Times New Roman" w:hAnsi="Times New Roman" w:eastAsia="宋体" w:cs="Times New Roman"/>
                      <w:b/>
                      <w:bCs/>
                      <w:color w:val="auto"/>
                      <w:spacing w:val="4"/>
                      <w:sz w:val="21"/>
                      <w:szCs w:val="21"/>
                      <w:u w:val="none"/>
                    </w:rPr>
                  </w:pPr>
                  <w:r>
                    <w:rPr>
                      <w:rFonts w:hint="default" w:ascii="Times New Roman" w:hAnsi="Times New Roman" w:eastAsia="宋体" w:cs="Times New Roman"/>
                      <w:b/>
                      <w:bCs/>
                      <w:color w:val="auto"/>
                      <w:spacing w:val="4"/>
                      <w:sz w:val="21"/>
                      <w:szCs w:val="21"/>
                      <w:u w:val="none"/>
                    </w:rPr>
                    <w:t>监测频次</w:t>
                  </w:r>
                </w:p>
              </w:tc>
              <w:tc>
                <w:tcPr>
                  <w:tcW w:w="1486" w:type="pct"/>
                  <w:vAlign w:val="center"/>
                </w:tcPr>
                <w:p>
                  <w:pPr>
                    <w:contextualSpacing/>
                    <w:jc w:val="center"/>
                    <w:rPr>
                      <w:rFonts w:hint="default" w:ascii="Times New Roman" w:hAnsi="Times New Roman" w:eastAsia="宋体" w:cs="Times New Roman"/>
                      <w:b/>
                      <w:bCs/>
                      <w:color w:val="auto"/>
                      <w:spacing w:val="4"/>
                      <w:sz w:val="21"/>
                      <w:szCs w:val="21"/>
                      <w:u w:val="none"/>
                    </w:rPr>
                  </w:pPr>
                  <w:r>
                    <w:rPr>
                      <w:rFonts w:hint="default" w:ascii="Times New Roman" w:hAnsi="Times New Roman" w:eastAsia="宋体" w:cs="Times New Roman"/>
                      <w:b/>
                      <w:bCs/>
                      <w:color w:val="auto"/>
                      <w:spacing w:val="4"/>
                      <w:sz w:val="21"/>
                      <w:szCs w:val="21"/>
                      <w:u w:val="none"/>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5" w:type="pct"/>
                  <w:vAlign w:val="center"/>
                </w:tcPr>
                <w:p>
                  <w:pPr>
                    <w:contextualSpacing/>
                    <w:jc w:val="center"/>
                    <w:rPr>
                      <w:rFonts w:hint="default" w:ascii="Times New Roman" w:hAnsi="Times New Roman" w:eastAsia="宋体" w:cs="Times New Roman"/>
                      <w:color w:val="auto"/>
                      <w:spacing w:val="4"/>
                      <w:sz w:val="21"/>
                      <w:szCs w:val="21"/>
                      <w:u w:val="none"/>
                    </w:rPr>
                  </w:pPr>
                  <w:r>
                    <w:rPr>
                      <w:rFonts w:hint="default" w:ascii="Times New Roman" w:hAnsi="Times New Roman" w:eastAsia="宋体" w:cs="Times New Roman"/>
                      <w:color w:val="auto"/>
                      <w:spacing w:val="4"/>
                      <w:sz w:val="21"/>
                      <w:szCs w:val="21"/>
                      <w:u w:val="none"/>
                    </w:rPr>
                    <w:t>厂界四周外1m</w:t>
                  </w:r>
                </w:p>
              </w:tc>
              <w:tc>
                <w:tcPr>
                  <w:tcW w:w="1170" w:type="pct"/>
                  <w:vAlign w:val="center"/>
                </w:tcPr>
                <w:p>
                  <w:pPr>
                    <w:contextualSpacing/>
                    <w:jc w:val="center"/>
                    <w:rPr>
                      <w:rFonts w:hint="default" w:ascii="Times New Roman" w:hAnsi="Times New Roman" w:eastAsia="宋体" w:cs="Times New Roman"/>
                      <w:color w:val="auto"/>
                      <w:spacing w:val="4"/>
                      <w:sz w:val="21"/>
                      <w:szCs w:val="21"/>
                      <w:u w:val="none"/>
                    </w:rPr>
                  </w:pPr>
                  <w:r>
                    <w:rPr>
                      <w:rFonts w:hint="default" w:ascii="Times New Roman" w:hAnsi="Times New Roman" w:eastAsia="宋体" w:cs="Times New Roman"/>
                      <w:color w:val="auto"/>
                      <w:spacing w:val="4"/>
                      <w:sz w:val="21"/>
                      <w:szCs w:val="21"/>
                      <w:u w:val="none"/>
                    </w:rPr>
                    <w:t>等效连续A声级</w:t>
                  </w:r>
                </w:p>
              </w:tc>
              <w:tc>
                <w:tcPr>
                  <w:tcW w:w="1259" w:type="pct"/>
                  <w:vAlign w:val="center"/>
                </w:tcPr>
                <w:p>
                  <w:pPr>
                    <w:contextualSpacing/>
                    <w:jc w:val="center"/>
                    <w:rPr>
                      <w:rFonts w:hint="default" w:ascii="Times New Roman" w:hAnsi="Times New Roman" w:eastAsia="宋体" w:cs="Times New Roman"/>
                      <w:color w:val="auto"/>
                      <w:spacing w:val="4"/>
                      <w:sz w:val="21"/>
                      <w:szCs w:val="21"/>
                      <w:u w:val="none"/>
                    </w:rPr>
                  </w:pPr>
                  <w:r>
                    <w:rPr>
                      <w:rFonts w:hint="default" w:ascii="Times New Roman" w:hAnsi="Times New Roman" w:eastAsia="宋体" w:cs="Times New Roman"/>
                      <w:color w:val="auto"/>
                      <w:spacing w:val="4"/>
                      <w:sz w:val="21"/>
                      <w:szCs w:val="21"/>
                      <w:u w:val="none"/>
                    </w:rPr>
                    <w:t>每季度一次，每次</w:t>
                  </w:r>
                  <w:r>
                    <w:rPr>
                      <w:rFonts w:hint="eastAsia" w:cs="Times New Roman"/>
                      <w:color w:val="auto"/>
                      <w:spacing w:val="4"/>
                      <w:sz w:val="21"/>
                      <w:szCs w:val="21"/>
                      <w:u w:val="none"/>
                      <w:lang w:val="en-US" w:eastAsia="zh-CN"/>
                    </w:rPr>
                    <w:t>昼夜各</w:t>
                  </w:r>
                  <w:r>
                    <w:rPr>
                      <w:rFonts w:hint="default" w:ascii="Times New Roman" w:hAnsi="Times New Roman" w:eastAsia="宋体" w:cs="Times New Roman"/>
                      <w:color w:val="auto"/>
                      <w:spacing w:val="4"/>
                      <w:sz w:val="21"/>
                      <w:szCs w:val="21"/>
                      <w:u w:val="none"/>
                    </w:rPr>
                    <w:t>1次</w:t>
                  </w:r>
                </w:p>
              </w:tc>
              <w:tc>
                <w:tcPr>
                  <w:tcW w:w="1486" w:type="pct"/>
                  <w:vAlign w:val="center"/>
                </w:tcPr>
                <w:p>
                  <w:pPr>
                    <w:contextualSpacing/>
                    <w:jc w:val="center"/>
                    <w:rPr>
                      <w:rFonts w:hint="default" w:ascii="Times New Roman" w:hAnsi="Times New Roman" w:eastAsia="宋体" w:cs="Times New Roman"/>
                      <w:color w:val="auto"/>
                      <w:spacing w:val="4"/>
                      <w:sz w:val="21"/>
                      <w:szCs w:val="21"/>
                      <w:u w:val="none"/>
                    </w:rPr>
                  </w:pPr>
                  <w:r>
                    <w:rPr>
                      <w:rFonts w:hint="default" w:ascii="Times New Roman" w:hAnsi="Times New Roman" w:eastAsia="宋体" w:cs="Times New Roman"/>
                      <w:color w:val="auto"/>
                      <w:spacing w:val="4"/>
                      <w:sz w:val="21"/>
                      <w:szCs w:val="21"/>
                      <w:u w:val="none"/>
                    </w:rPr>
                    <w:t>东面执行《工业企业厂界环境噪声排放标准》（GB12348-2008）4类标准，南西北面执行3类标准</w:t>
                  </w:r>
                </w:p>
              </w:tc>
            </w:tr>
          </w:tbl>
          <w:p>
            <w:pPr>
              <w:spacing w:line="360" w:lineRule="auto"/>
              <w:contextualSpacing/>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4.5 营运期固体废物环境影响及防治措施</w:t>
            </w:r>
          </w:p>
          <w:p>
            <w:pPr>
              <w:spacing w:line="360" w:lineRule="auto"/>
              <w:ind w:firstLine="482" w:firstLineChars="200"/>
              <w:contextualSpacing/>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4.5.1 固体废物产生情况</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本项目固体废物主要为生产过程产生的一般工业固废、危险废物及生活垃圾。</w:t>
            </w:r>
          </w:p>
          <w:p>
            <w:pPr>
              <w:spacing w:line="360" w:lineRule="auto"/>
              <w:ind w:firstLine="482" w:firstLineChars="200"/>
              <w:contextualSpacing/>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（1）一般工业固废</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①不合格原料：不合格原料主要为劣质黄豆、变质原料等，原料不合格率按0.1%估算，产生量约为11 t/a，根据《固体废物分类与代码目录》（公告2024年第4号），种类为SW13食品残渣，废物代码为 900-099-S13，外售给饲料加工企业综合利用。</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②豆渣及废边角料：腐乳生产线豆渣及废边角料产生量约为220t/a，根据《固体废物分类与代码目录》（公告2024年第4号），种类为SW13食品残渣，废物代码为 900-099-S13，外售给饲料加工企业综合利用。</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③不合格产品、废检验样品：本项目严格控制生产过程，减少不合格产品率，废产品</w:t>
            </w:r>
            <w:r>
              <w:rPr>
                <w:rFonts w:hint="eastAsia" w:ascii="Times New Roman" w:hAnsi="Times New Roman" w:eastAsia="宋体" w:cs="Times New Roman"/>
                <w:color w:val="auto"/>
                <w:sz w:val="24"/>
                <w:szCs w:val="24"/>
                <w:u w:val="none"/>
                <w:lang w:val="en-US" w:eastAsia="zh-CN"/>
              </w:rPr>
              <w:t>及废样品</w:t>
            </w:r>
            <w:r>
              <w:rPr>
                <w:rFonts w:hint="default" w:ascii="Times New Roman" w:hAnsi="Times New Roman" w:eastAsia="宋体" w:cs="Times New Roman"/>
                <w:color w:val="auto"/>
                <w:sz w:val="24"/>
                <w:szCs w:val="24"/>
                <w:u w:val="none"/>
              </w:rPr>
              <w:t>按0.05%估算，产生量约为11 t/a，根据《固体废物分类与代码目录》（公告2024年第4号），种类为SW13食品残渣，废物代码为 900-099-S13，外售给饲料加工企业综合利用。</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④废包装材料：废原料及产品包装产生量约为5t/a，根据《固体废物分类与代码目录》（公告2024年第4号），种类为SW17可再生类废物，废物代码为900-003-S17，外售给资源回收单位综合利用。</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⑤油烟净化器废油脂：项目静电油烟净化装置定期清理产生废油脂。按静电油烟净化装置油烟产生量和排放量之差计算，计算出项目产生的废油脂量为</w:t>
            </w:r>
            <w:r>
              <w:rPr>
                <w:rFonts w:hint="eastAsia" w:ascii="Times New Roman" w:hAnsi="Times New Roman" w:eastAsia="宋体" w:cs="Times New Roman"/>
                <w:color w:val="auto"/>
                <w:sz w:val="24"/>
                <w:szCs w:val="24"/>
                <w:u w:val="none"/>
                <w:lang w:val="en-US" w:eastAsia="zh-CN"/>
              </w:rPr>
              <w:t>5.0</w:t>
            </w:r>
            <w:r>
              <w:rPr>
                <w:rFonts w:hint="default" w:ascii="Times New Roman" w:hAnsi="Times New Roman" w:eastAsia="宋体" w:cs="Times New Roman"/>
                <w:color w:val="auto"/>
                <w:sz w:val="24"/>
                <w:szCs w:val="24"/>
                <w:u w:val="none"/>
              </w:rPr>
              <w:t>t/a</w:t>
            </w:r>
            <w:r>
              <w:rPr>
                <w:rFonts w:hint="default" w:ascii="Times New Roman" w:hAnsi="Times New Roman" w:eastAsia="宋体" w:cs="Times New Roman"/>
                <w:color w:val="auto"/>
                <w:sz w:val="24"/>
                <w:szCs w:val="24"/>
                <w:u w:val="none"/>
              </w:rPr>
              <w:t>，根据《固体废物分类与代码目录》（公告2024年第4号），种类为SW13食品残渣，废物代码为 900-099-S13，收集后交由有餐厨垃圾回收资质的单位处理。</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⑥隔油池废油脂：污水处理隔油池废油脂产生量为5</w:t>
            </w:r>
            <w:r>
              <w:rPr>
                <w:rFonts w:hint="eastAsia" w:ascii="Times New Roman" w:hAnsi="Times New Roman" w:eastAsia="宋体" w:cs="Times New Roman"/>
                <w:color w:val="auto"/>
                <w:sz w:val="24"/>
                <w:szCs w:val="24"/>
                <w:u w:val="none"/>
                <w:lang w:val="en-US" w:eastAsia="zh-CN"/>
              </w:rPr>
              <w:t>.6</w:t>
            </w:r>
            <w:r>
              <w:rPr>
                <w:rFonts w:hint="default" w:ascii="Times New Roman" w:hAnsi="Times New Roman" w:eastAsia="宋体" w:cs="Times New Roman"/>
                <w:color w:val="auto"/>
                <w:sz w:val="24"/>
                <w:szCs w:val="24"/>
                <w:u w:val="none"/>
              </w:rPr>
              <w:t>t/a，根据《固体废物分类与代码目录》（公告2024年第4号），种类为SW13食品残渣，废物代码为 900-099-S13，收集后交由有餐厨垃圾回收资质的单位处理。</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⑦清罐废油：本项目设有食用油罐罐，在装油时间较长，罐内较脏时要清理。废油脂产生量约为2t/a，根据《固体废物分类与代码目录》（公告2024年第4号），种类为SW13食品残渣，废物代码为 900-099-S13，收集后交由有餐厨垃圾回收资质的单位处理。</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⑧污水处理</w:t>
            </w:r>
            <w:r>
              <w:rPr>
                <w:rFonts w:hint="eastAsia" w:ascii="Times New Roman" w:hAnsi="Times New Roman" w:eastAsia="宋体" w:cs="Times New Roman"/>
                <w:color w:val="auto"/>
                <w:sz w:val="24"/>
                <w:szCs w:val="24"/>
                <w:u w:val="none"/>
                <w:lang w:val="en-US" w:eastAsia="zh-CN"/>
              </w:rPr>
              <w:t>栅渣及</w:t>
            </w:r>
            <w:r>
              <w:rPr>
                <w:rFonts w:hint="default" w:ascii="Times New Roman" w:hAnsi="Times New Roman" w:eastAsia="宋体" w:cs="Times New Roman"/>
                <w:color w:val="auto"/>
                <w:sz w:val="24"/>
                <w:szCs w:val="24"/>
                <w:u w:val="none"/>
              </w:rPr>
              <w:t>污泥：污水处理站</w:t>
            </w:r>
            <w:r>
              <w:rPr>
                <w:rFonts w:hint="eastAsia" w:ascii="Times New Roman" w:hAnsi="Times New Roman" w:eastAsia="宋体" w:cs="Times New Roman"/>
                <w:color w:val="auto"/>
                <w:sz w:val="24"/>
                <w:szCs w:val="24"/>
                <w:u w:val="none"/>
                <w:lang w:val="en-US" w:eastAsia="zh-CN"/>
              </w:rPr>
              <w:t>栅渣及</w:t>
            </w:r>
            <w:r>
              <w:rPr>
                <w:rFonts w:hint="default" w:ascii="Times New Roman" w:hAnsi="Times New Roman" w:eastAsia="宋体" w:cs="Times New Roman"/>
                <w:color w:val="auto"/>
                <w:sz w:val="24"/>
                <w:szCs w:val="24"/>
                <w:u w:val="none"/>
              </w:rPr>
              <w:t>污泥产生量约为20t/a，根据《固体废物分类与代码目录》（公告2024年第4号），种类为SW07污泥，废物代码为 140-001-S07，收集后给当地居民用作农肥。</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⑨纯水机废过滤材料及反渗透膜：本项目纯水机采用“过滤+反渗透膜”工艺，过滤材料及反渗透膜每年更换一次，产生量约为0.05t/a，根据《固体废物分类与代码目录》（公告2024年第4号），种类为SW59其他工业固体废物，代码为900-008-S59，由供应商负责更换并回收。</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⑩废过滤材料：本项目部分生产区为洁净车间，空气洁净度为10万级，空气经过初、中、高三级净化系统处理后在车间内循环。该三级净化系统采用滤芯对进气的空气中的粉尘等进行多遍过滤。根据建设单位提供资料，初效滤芯3个月更换一次，中效滤芯半年更换一次，高效滤芯1~1年半更换一次，净化系统废滤芯产生量约为0.1t/a。根据《固体废物分类与代码目录》（公告2024年第4号），种类为SW59其他工业固体废物，代码为900-008-S59，更换下来的废滤芯交由厂家回收处理。</w:t>
            </w:r>
          </w:p>
          <w:p>
            <w:pPr>
              <w:spacing w:line="360" w:lineRule="auto"/>
              <w:ind w:firstLine="482" w:firstLineChars="200"/>
              <w:contextualSpacing/>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（2）危险废物</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①废紫外灯管：本项目生产车间设有紫外灯进行杀菌消毒，紫外线灯管一年换一次。根据建设单位提供资料，最大产生量约为0.01t/a。根据《国家危险废物名录》（2025年版），废紫外线灯管属于危险废物，危废类别为HW29含汞废物，代码 900-023-29，收集后暂存于危废暂存间，定期交由有资质单位处理。</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②废润滑油及废油桶：设备维修过程产生废润滑油、废油桶，产生量为0.0</w:t>
            </w:r>
            <w:r>
              <w:rPr>
                <w:rFonts w:hint="eastAsia" w:ascii="Times New Roman" w:hAnsi="Times New Roman" w:eastAsia="宋体" w:cs="Times New Roman"/>
                <w:color w:val="auto"/>
                <w:sz w:val="24"/>
                <w:szCs w:val="24"/>
                <w:u w:val="none"/>
                <w:lang w:val="en-US" w:eastAsia="zh-CN"/>
              </w:rPr>
              <w:t>5</w:t>
            </w:r>
            <w:r>
              <w:rPr>
                <w:rFonts w:hint="default" w:ascii="Times New Roman" w:hAnsi="Times New Roman" w:eastAsia="宋体" w:cs="Times New Roman"/>
                <w:color w:val="auto"/>
                <w:sz w:val="24"/>
                <w:szCs w:val="24"/>
                <w:u w:val="none"/>
              </w:rPr>
              <w:t>t/a，根据《国家危险废物名录》（2025年版），该部分废物属于危险废物中的HW08，废物代码为900-249-08。收集暂存于危废暂存间，定期交由有资质单位进行处置。</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③废化学药品及包装材料：质检原料盐酸、氢氧化钠及废气</w:t>
            </w:r>
            <w:r>
              <w:rPr>
                <w:rFonts w:hint="eastAsia" w:ascii="Times New Roman" w:hAnsi="Times New Roman" w:eastAsia="宋体" w:cs="Times New Roman"/>
                <w:color w:val="auto"/>
                <w:sz w:val="24"/>
                <w:szCs w:val="24"/>
                <w:u w:val="none"/>
                <w:lang w:eastAsia="zh-CN"/>
              </w:rPr>
              <w:t>、</w:t>
            </w:r>
            <w:r>
              <w:rPr>
                <w:rFonts w:hint="eastAsia" w:ascii="Times New Roman" w:hAnsi="Times New Roman" w:eastAsia="宋体" w:cs="Times New Roman"/>
                <w:color w:val="auto"/>
                <w:sz w:val="24"/>
                <w:szCs w:val="24"/>
                <w:u w:val="none"/>
                <w:lang w:val="en-US" w:eastAsia="zh-CN"/>
              </w:rPr>
              <w:t>废水</w:t>
            </w:r>
            <w:r>
              <w:rPr>
                <w:rFonts w:hint="default" w:ascii="Times New Roman" w:hAnsi="Times New Roman" w:eastAsia="宋体" w:cs="Times New Roman"/>
                <w:color w:val="auto"/>
                <w:sz w:val="24"/>
                <w:szCs w:val="24"/>
                <w:u w:val="none"/>
              </w:rPr>
              <w:t>处理原料氢氧化钠废药品及包装材料属于危险废物，产生量约为0.01t/a，根据《国家危险废物名录》（2025年版），该部分废物属于危险废物中的HW49，废物代码为 900-047-49。收集暂存于危废暂存间，定期交由有资质单位进行处置。</w:t>
            </w:r>
          </w:p>
          <w:p>
            <w:pPr>
              <w:spacing w:line="360" w:lineRule="auto"/>
              <w:ind w:firstLine="482" w:firstLineChars="200"/>
              <w:contextualSpacing/>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（3）生活垃圾</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bCs/>
                <w:color w:val="auto"/>
                <w:sz w:val="24"/>
                <w:szCs w:val="24"/>
                <w:u w:val="none"/>
              </w:rPr>
              <w:t>项目劳动定员120人，住宿人数约80人，生活垃圾产生量按住宿1kg/人·d、不住宿0.5kg/人·d估算，产生量为25t/a，收集后交由环卫部门处置。</w:t>
            </w:r>
          </w:p>
          <w:p>
            <w:pPr>
              <w:spacing w:line="360" w:lineRule="auto"/>
              <w:ind w:firstLine="480" w:firstLineChars="200"/>
              <w:contextualSpacing/>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营运期本项目固废产生情况、治理措施见下表：</w:t>
            </w:r>
          </w:p>
          <w:p>
            <w:pPr>
              <w:jc w:val="center"/>
              <w:rPr>
                <w:rFonts w:hint="default" w:ascii="Times New Roman" w:hAnsi="Times New Roman" w:eastAsia="宋体" w:cs="Times New Roman"/>
                <w:b/>
                <w:color w:val="auto"/>
                <w:spacing w:val="4"/>
                <w:sz w:val="24"/>
                <w:szCs w:val="24"/>
                <w:u w:val="none"/>
              </w:rPr>
            </w:pPr>
            <w:r>
              <w:rPr>
                <w:rFonts w:hint="default" w:ascii="Times New Roman" w:hAnsi="Times New Roman" w:eastAsia="宋体" w:cs="Times New Roman"/>
                <w:b/>
                <w:color w:val="auto"/>
                <w:spacing w:val="4"/>
                <w:sz w:val="24"/>
                <w:szCs w:val="24"/>
                <w:u w:val="none"/>
              </w:rPr>
              <w:t>表4.5-1 固体废物的产生量及处理措施一览表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643"/>
              <w:gridCol w:w="1367"/>
              <w:gridCol w:w="1824"/>
              <w:gridCol w:w="1382"/>
              <w:gridCol w:w="2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序号</w:t>
                  </w:r>
                </w:p>
              </w:tc>
              <w:tc>
                <w:tcPr>
                  <w:tcW w:w="877"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固废名称</w:t>
                  </w:r>
                </w:p>
              </w:tc>
              <w:tc>
                <w:tcPr>
                  <w:tcW w:w="730"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固废属性</w:t>
                  </w:r>
                </w:p>
              </w:tc>
              <w:tc>
                <w:tcPr>
                  <w:tcW w:w="974"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废物代码</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产生量（t/a）</w:t>
                  </w:r>
                </w:p>
              </w:tc>
              <w:tc>
                <w:tcPr>
                  <w:tcW w:w="1222"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处置方式/去向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1</w:t>
                  </w:r>
                </w:p>
              </w:tc>
              <w:tc>
                <w:tcPr>
                  <w:tcW w:w="877"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不合格原辅料</w:t>
                  </w:r>
                </w:p>
              </w:tc>
              <w:tc>
                <w:tcPr>
                  <w:tcW w:w="730" w:type="pct"/>
                  <w:vMerge w:val="restar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一般固废</w:t>
                  </w:r>
                </w:p>
              </w:tc>
              <w:tc>
                <w:tcPr>
                  <w:tcW w:w="974"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SW13</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900-099-13</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11</w:t>
                  </w:r>
                </w:p>
              </w:tc>
              <w:tc>
                <w:tcPr>
                  <w:tcW w:w="1222" w:type="pct"/>
                  <w:vMerge w:val="restar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外售给饲料加工企业综合利用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2</w:t>
                  </w:r>
                </w:p>
              </w:tc>
              <w:tc>
                <w:tcPr>
                  <w:tcW w:w="877"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豆渣及废边角料</w:t>
                  </w:r>
                </w:p>
              </w:tc>
              <w:tc>
                <w:tcPr>
                  <w:tcW w:w="730" w:type="pct"/>
                  <w:vMerge w:val="continue"/>
                  <w:vAlign w:val="center"/>
                </w:tcPr>
                <w:p>
                  <w:pPr>
                    <w:jc w:val="center"/>
                    <w:rPr>
                      <w:rFonts w:hint="default" w:ascii="Times New Roman" w:hAnsi="Times New Roman" w:eastAsia="宋体" w:cs="Times New Roman"/>
                      <w:bCs/>
                      <w:color w:val="auto"/>
                      <w:spacing w:val="4"/>
                      <w:sz w:val="21"/>
                      <w:szCs w:val="21"/>
                      <w:u w:val="none"/>
                    </w:rPr>
                  </w:pPr>
                </w:p>
              </w:tc>
              <w:tc>
                <w:tcPr>
                  <w:tcW w:w="974"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SW13</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900-099-13</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220</w:t>
                  </w:r>
                </w:p>
              </w:tc>
              <w:tc>
                <w:tcPr>
                  <w:tcW w:w="1222" w:type="pct"/>
                  <w:vMerge w:val="continue"/>
                  <w:vAlign w:val="center"/>
                </w:tcPr>
                <w:p>
                  <w:pPr>
                    <w:jc w:val="center"/>
                    <w:rPr>
                      <w:rFonts w:hint="default" w:ascii="Times New Roman" w:hAnsi="Times New Roman" w:eastAsia="宋体" w:cs="Times New Roman"/>
                      <w:bCs/>
                      <w:color w:val="auto"/>
                      <w:spacing w:val="4"/>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3</w:t>
                  </w:r>
                </w:p>
              </w:tc>
              <w:tc>
                <w:tcPr>
                  <w:tcW w:w="877"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不合格产品、废检验样品</w:t>
                  </w:r>
                </w:p>
              </w:tc>
              <w:tc>
                <w:tcPr>
                  <w:tcW w:w="730" w:type="pct"/>
                  <w:vMerge w:val="continue"/>
                  <w:vAlign w:val="center"/>
                </w:tcPr>
                <w:p>
                  <w:pPr>
                    <w:jc w:val="center"/>
                    <w:rPr>
                      <w:rFonts w:hint="default" w:ascii="Times New Roman" w:hAnsi="Times New Roman" w:eastAsia="宋体" w:cs="Times New Roman"/>
                      <w:bCs/>
                      <w:color w:val="auto"/>
                      <w:spacing w:val="4"/>
                      <w:sz w:val="21"/>
                      <w:szCs w:val="21"/>
                      <w:u w:val="none"/>
                    </w:rPr>
                  </w:pPr>
                </w:p>
              </w:tc>
              <w:tc>
                <w:tcPr>
                  <w:tcW w:w="974"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SW13</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900-099-13</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11</w:t>
                  </w:r>
                </w:p>
              </w:tc>
              <w:tc>
                <w:tcPr>
                  <w:tcW w:w="1222" w:type="pct"/>
                  <w:vMerge w:val="continue"/>
                  <w:vAlign w:val="center"/>
                </w:tcPr>
                <w:p>
                  <w:pPr>
                    <w:jc w:val="center"/>
                    <w:rPr>
                      <w:rFonts w:hint="default" w:ascii="Times New Roman" w:hAnsi="Times New Roman" w:eastAsia="宋体" w:cs="Times New Roman"/>
                      <w:bCs/>
                      <w:color w:val="auto"/>
                      <w:spacing w:val="4"/>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4</w:t>
                  </w:r>
                </w:p>
              </w:tc>
              <w:tc>
                <w:tcPr>
                  <w:tcW w:w="877"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废包装材料</w:t>
                  </w:r>
                </w:p>
              </w:tc>
              <w:tc>
                <w:tcPr>
                  <w:tcW w:w="730" w:type="pct"/>
                  <w:vMerge w:val="continue"/>
                  <w:vAlign w:val="center"/>
                </w:tcPr>
                <w:p>
                  <w:pPr>
                    <w:jc w:val="center"/>
                    <w:rPr>
                      <w:rFonts w:hint="default" w:ascii="Times New Roman" w:hAnsi="Times New Roman" w:eastAsia="宋体" w:cs="Times New Roman"/>
                      <w:bCs/>
                      <w:color w:val="auto"/>
                      <w:spacing w:val="4"/>
                      <w:sz w:val="21"/>
                      <w:szCs w:val="21"/>
                      <w:u w:val="none"/>
                    </w:rPr>
                  </w:pPr>
                </w:p>
              </w:tc>
              <w:tc>
                <w:tcPr>
                  <w:tcW w:w="974"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SW17</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900-003-S17</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5</w:t>
                  </w:r>
                </w:p>
              </w:tc>
              <w:tc>
                <w:tcPr>
                  <w:tcW w:w="1222"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外售给资源回收单位综合利用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5</w:t>
                  </w:r>
                </w:p>
              </w:tc>
              <w:tc>
                <w:tcPr>
                  <w:tcW w:w="877"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油烟净化器废油脂</w:t>
                  </w:r>
                </w:p>
              </w:tc>
              <w:tc>
                <w:tcPr>
                  <w:tcW w:w="730" w:type="pct"/>
                  <w:vMerge w:val="continue"/>
                  <w:vAlign w:val="center"/>
                </w:tcPr>
                <w:p>
                  <w:pPr>
                    <w:jc w:val="center"/>
                    <w:rPr>
                      <w:rFonts w:hint="default" w:ascii="Times New Roman" w:hAnsi="Times New Roman" w:eastAsia="宋体" w:cs="Times New Roman"/>
                      <w:bCs/>
                      <w:color w:val="auto"/>
                      <w:spacing w:val="4"/>
                      <w:sz w:val="21"/>
                      <w:szCs w:val="21"/>
                      <w:u w:val="none"/>
                    </w:rPr>
                  </w:pPr>
                </w:p>
              </w:tc>
              <w:tc>
                <w:tcPr>
                  <w:tcW w:w="974"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SW13</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900-099-13</w:t>
                  </w:r>
                </w:p>
              </w:tc>
              <w:tc>
                <w:tcPr>
                  <w:tcW w:w="738" w:type="pct"/>
                  <w:vAlign w:val="center"/>
                </w:tcPr>
                <w:p>
                  <w:pPr>
                    <w:jc w:val="center"/>
                    <w:rPr>
                      <w:rFonts w:hint="default" w:ascii="Times New Roman" w:hAnsi="Times New Roman" w:eastAsia="宋体" w:cs="Times New Roman"/>
                      <w:bCs/>
                      <w:color w:val="auto"/>
                      <w:spacing w:val="4"/>
                      <w:sz w:val="21"/>
                      <w:szCs w:val="21"/>
                      <w:u w:val="none"/>
                      <w:lang w:val="en-US" w:eastAsia="zh-CN"/>
                    </w:rPr>
                  </w:pPr>
                  <w:r>
                    <w:rPr>
                      <w:rFonts w:hint="eastAsia" w:ascii="Times New Roman" w:hAnsi="Times New Roman" w:eastAsia="宋体" w:cs="Times New Roman"/>
                      <w:bCs/>
                      <w:color w:val="auto"/>
                      <w:spacing w:val="4"/>
                      <w:sz w:val="21"/>
                      <w:szCs w:val="21"/>
                      <w:u w:val="none"/>
                      <w:lang w:val="en-US" w:eastAsia="zh-CN"/>
                    </w:rPr>
                    <w:t>5</w:t>
                  </w:r>
                </w:p>
              </w:tc>
              <w:tc>
                <w:tcPr>
                  <w:tcW w:w="1222" w:type="pct"/>
                  <w:vMerge w:val="restar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交由有餐厨垃圾回收资质的单位处理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6</w:t>
                  </w:r>
                </w:p>
              </w:tc>
              <w:tc>
                <w:tcPr>
                  <w:tcW w:w="877"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隔油池废油脂</w:t>
                  </w:r>
                </w:p>
              </w:tc>
              <w:tc>
                <w:tcPr>
                  <w:tcW w:w="730" w:type="pct"/>
                  <w:vMerge w:val="continue"/>
                  <w:vAlign w:val="center"/>
                </w:tcPr>
                <w:p>
                  <w:pPr>
                    <w:jc w:val="center"/>
                    <w:rPr>
                      <w:rFonts w:hint="default" w:ascii="Times New Roman" w:hAnsi="Times New Roman" w:eastAsia="宋体" w:cs="Times New Roman"/>
                      <w:bCs/>
                      <w:color w:val="auto"/>
                      <w:spacing w:val="4"/>
                      <w:sz w:val="21"/>
                      <w:szCs w:val="21"/>
                      <w:u w:val="none"/>
                    </w:rPr>
                  </w:pPr>
                </w:p>
              </w:tc>
              <w:tc>
                <w:tcPr>
                  <w:tcW w:w="974"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SW13</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900-099-13</w:t>
                  </w:r>
                </w:p>
              </w:tc>
              <w:tc>
                <w:tcPr>
                  <w:tcW w:w="738" w:type="pct"/>
                  <w:vAlign w:val="center"/>
                </w:tcPr>
                <w:p>
                  <w:pPr>
                    <w:jc w:val="center"/>
                    <w:rPr>
                      <w:rFonts w:hint="default" w:ascii="Times New Roman" w:hAnsi="Times New Roman" w:eastAsia="宋体" w:cs="Times New Roman"/>
                      <w:bCs/>
                      <w:color w:val="auto"/>
                      <w:spacing w:val="4"/>
                      <w:sz w:val="21"/>
                      <w:szCs w:val="21"/>
                      <w:u w:val="none"/>
                      <w:lang w:val="en-US" w:eastAsia="zh-CN"/>
                    </w:rPr>
                  </w:pPr>
                  <w:r>
                    <w:rPr>
                      <w:rFonts w:hint="default" w:ascii="Times New Roman" w:hAnsi="Times New Roman" w:eastAsia="宋体" w:cs="Times New Roman"/>
                      <w:bCs/>
                      <w:color w:val="auto"/>
                      <w:spacing w:val="4"/>
                      <w:sz w:val="21"/>
                      <w:szCs w:val="21"/>
                      <w:u w:val="none"/>
                    </w:rPr>
                    <w:t>5</w:t>
                  </w:r>
                  <w:r>
                    <w:rPr>
                      <w:rFonts w:hint="eastAsia" w:ascii="Times New Roman" w:hAnsi="Times New Roman" w:eastAsia="宋体" w:cs="Times New Roman"/>
                      <w:bCs/>
                      <w:color w:val="auto"/>
                      <w:spacing w:val="4"/>
                      <w:sz w:val="21"/>
                      <w:szCs w:val="21"/>
                      <w:u w:val="none"/>
                      <w:lang w:val="en-US" w:eastAsia="zh-CN"/>
                    </w:rPr>
                    <w:t>.6</w:t>
                  </w:r>
                </w:p>
              </w:tc>
              <w:tc>
                <w:tcPr>
                  <w:tcW w:w="1222" w:type="pct"/>
                  <w:vMerge w:val="continue"/>
                  <w:vAlign w:val="center"/>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7</w:t>
                  </w:r>
                </w:p>
              </w:tc>
              <w:tc>
                <w:tcPr>
                  <w:tcW w:w="877"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清罐废油脂</w:t>
                  </w:r>
                </w:p>
              </w:tc>
              <w:tc>
                <w:tcPr>
                  <w:tcW w:w="730" w:type="pct"/>
                  <w:vMerge w:val="continue"/>
                  <w:vAlign w:val="center"/>
                </w:tcPr>
                <w:p>
                  <w:pPr>
                    <w:jc w:val="center"/>
                    <w:rPr>
                      <w:rFonts w:hint="default" w:ascii="Times New Roman" w:hAnsi="Times New Roman" w:eastAsia="宋体" w:cs="Times New Roman"/>
                      <w:bCs/>
                      <w:color w:val="auto"/>
                      <w:spacing w:val="4"/>
                      <w:sz w:val="21"/>
                      <w:szCs w:val="21"/>
                      <w:u w:val="none"/>
                    </w:rPr>
                  </w:pPr>
                </w:p>
              </w:tc>
              <w:tc>
                <w:tcPr>
                  <w:tcW w:w="974"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SW13</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900-099-13</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2</w:t>
                  </w:r>
                </w:p>
              </w:tc>
              <w:tc>
                <w:tcPr>
                  <w:tcW w:w="1222" w:type="pct"/>
                  <w:vMerge w:val="continue"/>
                  <w:vAlign w:val="center"/>
                </w:tcPr>
                <w:p>
                  <w:pPr>
                    <w:jc w:val="center"/>
                    <w:rPr>
                      <w:rFonts w:hint="default" w:ascii="Times New Roman" w:hAnsi="Times New Roman" w:eastAsia="宋体" w:cs="Times New Roman"/>
                      <w:bCs/>
                      <w:color w:val="auto"/>
                      <w:spacing w:val="4"/>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8</w:t>
                  </w:r>
                </w:p>
              </w:tc>
              <w:tc>
                <w:tcPr>
                  <w:tcW w:w="877"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污水</w:t>
                  </w:r>
                  <w:r>
                    <w:rPr>
                      <w:rFonts w:hint="eastAsia" w:ascii="Times New Roman" w:hAnsi="Times New Roman" w:eastAsia="宋体" w:cs="Times New Roman"/>
                      <w:color w:val="auto"/>
                      <w:sz w:val="21"/>
                      <w:szCs w:val="21"/>
                      <w:u w:val="none"/>
                      <w:lang w:val="en-US" w:eastAsia="zh-CN"/>
                    </w:rPr>
                    <w:t>处理栅渣及</w:t>
                  </w:r>
                  <w:r>
                    <w:rPr>
                      <w:rFonts w:hint="default" w:ascii="Times New Roman" w:hAnsi="Times New Roman" w:eastAsia="宋体" w:cs="Times New Roman"/>
                      <w:color w:val="auto"/>
                      <w:sz w:val="21"/>
                      <w:szCs w:val="21"/>
                      <w:u w:val="none"/>
                    </w:rPr>
                    <w:t>污泥</w:t>
                  </w:r>
                </w:p>
              </w:tc>
              <w:tc>
                <w:tcPr>
                  <w:tcW w:w="730" w:type="pct"/>
                  <w:vMerge w:val="continue"/>
                  <w:vAlign w:val="center"/>
                </w:tcPr>
                <w:p>
                  <w:pPr>
                    <w:jc w:val="center"/>
                    <w:rPr>
                      <w:rFonts w:hint="default" w:ascii="Times New Roman" w:hAnsi="Times New Roman" w:eastAsia="宋体" w:cs="Times New Roman"/>
                      <w:bCs/>
                      <w:color w:val="auto"/>
                      <w:spacing w:val="4"/>
                      <w:sz w:val="21"/>
                      <w:szCs w:val="21"/>
                      <w:u w:val="none"/>
                    </w:rPr>
                  </w:pPr>
                </w:p>
              </w:tc>
              <w:tc>
                <w:tcPr>
                  <w:tcW w:w="97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SW07</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140-001-S07</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20</w:t>
                  </w:r>
                </w:p>
              </w:tc>
              <w:tc>
                <w:tcPr>
                  <w:tcW w:w="1222"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收集后给当地居民用作农肥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9</w:t>
                  </w:r>
                </w:p>
              </w:tc>
              <w:tc>
                <w:tcPr>
                  <w:tcW w:w="877"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纯水机废过滤材料及反渗透膜</w:t>
                  </w:r>
                </w:p>
              </w:tc>
              <w:tc>
                <w:tcPr>
                  <w:tcW w:w="730" w:type="pct"/>
                  <w:vMerge w:val="continue"/>
                  <w:vAlign w:val="center"/>
                </w:tcPr>
                <w:p>
                  <w:pPr>
                    <w:jc w:val="center"/>
                    <w:rPr>
                      <w:rFonts w:hint="default" w:ascii="Times New Roman" w:hAnsi="Times New Roman" w:eastAsia="宋体" w:cs="Times New Roman"/>
                      <w:bCs/>
                      <w:color w:val="auto"/>
                      <w:spacing w:val="4"/>
                      <w:sz w:val="21"/>
                      <w:szCs w:val="21"/>
                      <w:u w:val="none"/>
                    </w:rPr>
                  </w:pPr>
                </w:p>
              </w:tc>
              <w:tc>
                <w:tcPr>
                  <w:tcW w:w="97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SW59</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900-008-S59</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0.05</w:t>
                  </w:r>
                </w:p>
              </w:tc>
              <w:tc>
                <w:tcPr>
                  <w:tcW w:w="1222"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由供应商回收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10</w:t>
                  </w:r>
                </w:p>
              </w:tc>
              <w:tc>
                <w:tcPr>
                  <w:tcW w:w="877"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空气净化废过滤材料</w:t>
                  </w:r>
                </w:p>
              </w:tc>
              <w:tc>
                <w:tcPr>
                  <w:tcW w:w="730" w:type="pct"/>
                  <w:vMerge w:val="continue"/>
                  <w:vAlign w:val="center"/>
                </w:tcPr>
                <w:p>
                  <w:pPr>
                    <w:jc w:val="center"/>
                    <w:rPr>
                      <w:rFonts w:hint="default" w:ascii="Times New Roman" w:hAnsi="Times New Roman" w:eastAsia="宋体" w:cs="Times New Roman"/>
                      <w:bCs/>
                      <w:color w:val="auto"/>
                      <w:spacing w:val="4"/>
                      <w:sz w:val="21"/>
                      <w:szCs w:val="21"/>
                      <w:u w:val="none"/>
                    </w:rPr>
                  </w:pPr>
                </w:p>
              </w:tc>
              <w:tc>
                <w:tcPr>
                  <w:tcW w:w="97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SW59</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900-008-S59</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0.1</w:t>
                  </w:r>
                </w:p>
              </w:tc>
              <w:tc>
                <w:tcPr>
                  <w:tcW w:w="1222"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由供应商回收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11</w:t>
                  </w:r>
                </w:p>
              </w:tc>
              <w:tc>
                <w:tcPr>
                  <w:tcW w:w="877"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废紫外灯管</w:t>
                  </w:r>
                </w:p>
              </w:tc>
              <w:tc>
                <w:tcPr>
                  <w:tcW w:w="730" w:type="pct"/>
                  <w:vMerge w:val="restar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危险废物</w:t>
                  </w:r>
                </w:p>
              </w:tc>
              <w:tc>
                <w:tcPr>
                  <w:tcW w:w="97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HW29</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900-023-29</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0.01</w:t>
                  </w:r>
                </w:p>
              </w:tc>
              <w:tc>
                <w:tcPr>
                  <w:tcW w:w="1222" w:type="pct"/>
                  <w:vMerge w:val="restar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交由有资质单位处置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12</w:t>
                  </w:r>
                </w:p>
              </w:tc>
              <w:tc>
                <w:tcPr>
                  <w:tcW w:w="877"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废润滑油及废油桶</w:t>
                  </w:r>
                </w:p>
              </w:tc>
              <w:tc>
                <w:tcPr>
                  <w:tcW w:w="730" w:type="pct"/>
                  <w:vMerge w:val="continue"/>
                  <w:vAlign w:val="center"/>
                </w:tcPr>
                <w:p>
                  <w:pPr>
                    <w:jc w:val="center"/>
                    <w:rPr>
                      <w:rFonts w:hint="default" w:ascii="Times New Roman" w:hAnsi="Times New Roman" w:eastAsia="宋体" w:cs="Times New Roman"/>
                      <w:bCs/>
                      <w:color w:val="auto"/>
                      <w:spacing w:val="4"/>
                      <w:sz w:val="21"/>
                      <w:szCs w:val="21"/>
                      <w:u w:val="none"/>
                    </w:rPr>
                  </w:pPr>
                </w:p>
              </w:tc>
              <w:tc>
                <w:tcPr>
                  <w:tcW w:w="97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HW08</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900-249-08</w:t>
                  </w:r>
                </w:p>
              </w:tc>
              <w:tc>
                <w:tcPr>
                  <w:tcW w:w="738" w:type="pct"/>
                  <w:vAlign w:val="center"/>
                </w:tcPr>
                <w:p>
                  <w:pPr>
                    <w:jc w:val="center"/>
                    <w:rPr>
                      <w:rFonts w:hint="eastAsia" w:ascii="Times New Roman" w:hAnsi="Times New Roman" w:eastAsia="宋体" w:cs="Times New Roman"/>
                      <w:bCs/>
                      <w:color w:val="auto"/>
                      <w:spacing w:val="4"/>
                      <w:sz w:val="21"/>
                      <w:szCs w:val="21"/>
                      <w:u w:val="none"/>
                      <w:lang w:eastAsia="zh-CN"/>
                    </w:rPr>
                  </w:pPr>
                  <w:r>
                    <w:rPr>
                      <w:rFonts w:hint="default" w:ascii="Times New Roman" w:hAnsi="Times New Roman" w:eastAsia="宋体" w:cs="Times New Roman"/>
                      <w:bCs/>
                      <w:color w:val="auto"/>
                      <w:spacing w:val="4"/>
                      <w:sz w:val="21"/>
                      <w:szCs w:val="21"/>
                      <w:u w:val="none"/>
                    </w:rPr>
                    <w:t>0.0</w:t>
                  </w:r>
                  <w:r>
                    <w:rPr>
                      <w:rFonts w:hint="eastAsia" w:ascii="Times New Roman" w:hAnsi="Times New Roman" w:eastAsia="宋体" w:cs="Times New Roman"/>
                      <w:bCs/>
                      <w:color w:val="auto"/>
                      <w:spacing w:val="4"/>
                      <w:sz w:val="21"/>
                      <w:szCs w:val="21"/>
                      <w:u w:val="none"/>
                      <w:lang w:val="en-US" w:eastAsia="zh-CN"/>
                    </w:rPr>
                    <w:t>5</w:t>
                  </w:r>
                </w:p>
              </w:tc>
              <w:tc>
                <w:tcPr>
                  <w:tcW w:w="1222" w:type="pct"/>
                  <w:vMerge w:val="continue"/>
                  <w:vAlign w:val="center"/>
                </w:tcPr>
                <w:p>
                  <w:pPr>
                    <w:jc w:val="center"/>
                    <w:rPr>
                      <w:rFonts w:hint="default" w:ascii="Times New Roman" w:hAnsi="Times New Roman" w:eastAsia="宋体" w:cs="Times New Roman"/>
                      <w:bCs/>
                      <w:color w:val="auto"/>
                      <w:spacing w:val="4"/>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13</w:t>
                  </w:r>
                </w:p>
              </w:tc>
              <w:tc>
                <w:tcPr>
                  <w:tcW w:w="877"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废化学药品及包装材料</w:t>
                  </w:r>
                </w:p>
              </w:tc>
              <w:tc>
                <w:tcPr>
                  <w:tcW w:w="730" w:type="pct"/>
                  <w:vMerge w:val="continue"/>
                  <w:vAlign w:val="center"/>
                </w:tcPr>
                <w:p>
                  <w:pPr>
                    <w:jc w:val="center"/>
                    <w:rPr>
                      <w:rFonts w:hint="default" w:ascii="Times New Roman" w:hAnsi="Times New Roman" w:eastAsia="宋体" w:cs="Times New Roman"/>
                      <w:bCs/>
                      <w:color w:val="auto"/>
                      <w:spacing w:val="4"/>
                      <w:sz w:val="21"/>
                      <w:szCs w:val="21"/>
                      <w:u w:val="none"/>
                    </w:rPr>
                  </w:pPr>
                </w:p>
              </w:tc>
              <w:tc>
                <w:tcPr>
                  <w:tcW w:w="97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HW49</w:t>
                  </w:r>
                </w:p>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color w:val="auto"/>
                      <w:sz w:val="21"/>
                      <w:szCs w:val="21"/>
                      <w:u w:val="none"/>
                    </w:rPr>
                    <w:t>900-047-49</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0.01</w:t>
                  </w:r>
                </w:p>
              </w:tc>
              <w:tc>
                <w:tcPr>
                  <w:tcW w:w="1222" w:type="pct"/>
                  <w:vMerge w:val="continue"/>
                  <w:vAlign w:val="center"/>
                </w:tcPr>
                <w:p>
                  <w:pPr>
                    <w:jc w:val="center"/>
                    <w:rPr>
                      <w:rFonts w:hint="default" w:ascii="Times New Roman" w:hAnsi="Times New Roman" w:eastAsia="宋体" w:cs="Times New Roman"/>
                      <w:bCs/>
                      <w:color w:val="auto"/>
                      <w:spacing w:val="4"/>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9"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14</w:t>
                  </w:r>
                </w:p>
              </w:tc>
              <w:tc>
                <w:tcPr>
                  <w:tcW w:w="877"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员工生活垃圾</w:t>
                  </w:r>
                </w:p>
              </w:tc>
              <w:tc>
                <w:tcPr>
                  <w:tcW w:w="730"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生活垃圾</w:t>
                  </w:r>
                </w:p>
              </w:tc>
              <w:tc>
                <w:tcPr>
                  <w:tcW w:w="974"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w:t>
                  </w:r>
                </w:p>
              </w:tc>
              <w:tc>
                <w:tcPr>
                  <w:tcW w:w="738"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25</w:t>
                  </w:r>
                </w:p>
              </w:tc>
              <w:tc>
                <w:tcPr>
                  <w:tcW w:w="1222" w:type="pct"/>
                  <w:vAlign w:val="center"/>
                </w:tcPr>
                <w:p>
                  <w:pPr>
                    <w:jc w:val="center"/>
                    <w:rPr>
                      <w:rFonts w:hint="default" w:ascii="Times New Roman" w:hAnsi="Times New Roman" w:eastAsia="宋体" w:cs="Times New Roman"/>
                      <w:bCs/>
                      <w:color w:val="auto"/>
                      <w:spacing w:val="4"/>
                      <w:sz w:val="21"/>
                      <w:szCs w:val="21"/>
                      <w:u w:val="none"/>
                    </w:rPr>
                  </w:pPr>
                  <w:r>
                    <w:rPr>
                      <w:rFonts w:hint="default" w:ascii="Times New Roman" w:hAnsi="Times New Roman" w:eastAsia="宋体" w:cs="Times New Roman"/>
                      <w:bCs/>
                      <w:color w:val="auto"/>
                      <w:spacing w:val="4"/>
                      <w:sz w:val="21"/>
                      <w:szCs w:val="21"/>
                      <w:u w:val="none"/>
                    </w:rPr>
                    <w:t>由当地环卫部门统一清运</w:t>
                  </w:r>
                </w:p>
              </w:tc>
            </w:tr>
          </w:tbl>
          <w:p>
            <w:pPr>
              <w:spacing w:line="360" w:lineRule="auto"/>
              <w:ind w:firstLine="482"/>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4.5.2 固体废物环境管理要求</w:t>
            </w:r>
          </w:p>
          <w:p>
            <w:pPr>
              <w:spacing w:line="360" w:lineRule="auto"/>
              <w:ind w:firstLine="482"/>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（1）一般工业固废环境管理要求</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一般固废经收集暂存于设于厂区北面的一般固废暂存间，占地面积150m</w:t>
            </w:r>
            <w:r>
              <w:rPr>
                <w:rFonts w:hint="default" w:ascii="Times New Roman" w:hAnsi="Times New Roman" w:eastAsia="宋体" w:cs="Times New Roman"/>
                <w:color w:val="auto"/>
                <w:sz w:val="24"/>
                <w:szCs w:val="24"/>
                <w:u w:val="none"/>
                <w:vertAlign w:val="superscript"/>
              </w:rPr>
              <w:t>2</w:t>
            </w:r>
            <w:r>
              <w:rPr>
                <w:rFonts w:hint="default" w:ascii="Times New Roman" w:hAnsi="Times New Roman" w:eastAsia="宋体" w:cs="Times New Roman"/>
                <w:color w:val="auto"/>
                <w:sz w:val="24"/>
                <w:szCs w:val="24"/>
                <w:u w:val="none"/>
              </w:rPr>
              <w:t>，一般固废暂存间严格按照《一般工业固体废物贮存和填埋污染控制标准》（GB18599-2020）规范建设，禁止危险废物及生活垃圾混入，此外，项目企业应按要求建立一般固体废物台账管理制度，完善一般固体废物管理。项目产生的固废定期清运，易产生恶臭的不合格原料、产品、豆渣、边角料、污泥等，在厂区内存放周期不超过7天，不在厂区内长时间堆存。</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固废临时贮存场所应满足如下要求：</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①地面采取硬化措施并满足承载力要求，必要时采取相应措施防止地基下沉。</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②暂存间防风、防雨、防晒措施，堆放场周边设置导流渠。</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③按《环境保护图形标识—固体废物贮存（处置）场》（GB15562.2）要求设置环境保护图形标志。</w:t>
            </w:r>
          </w:p>
          <w:p>
            <w:pPr>
              <w:spacing w:line="360" w:lineRule="auto"/>
              <w:ind w:firstLine="482"/>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（2）危险废物环境管理要求</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般固废经收集暂存于设于厂区北面的一般固废暂存间，建筑面积为20m</w:t>
            </w:r>
            <w:r>
              <w:rPr>
                <w:rFonts w:hint="default" w:ascii="Times New Roman" w:hAnsi="Times New Roman" w:eastAsia="宋体" w:cs="Times New Roman"/>
                <w:color w:val="auto"/>
                <w:sz w:val="24"/>
                <w:szCs w:val="24"/>
                <w:u w:val="none"/>
                <w:vertAlign w:val="superscript"/>
              </w:rPr>
              <w:t>2</w:t>
            </w:r>
            <w:r>
              <w:rPr>
                <w:rFonts w:hint="default" w:ascii="Times New Roman" w:hAnsi="Times New Roman" w:eastAsia="宋体" w:cs="Times New Roman"/>
                <w:color w:val="auto"/>
                <w:sz w:val="24"/>
                <w:szCs w:val="24"/>
                <w:u w:val="none"/>
              </w:rPr>
              <w:t>，危险废物收集后交由有资质单位处理。管理要求如下：</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①危险废物暂存间按照《危险废物贮存污染控制标准》（GB18597-2023）建设，采取“六防”(防风、防晒、防雨、防漏、防渗、防腐)措施，加强防渗措施和渗漏收集措施，设置警示标志。</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②危险废物采用不易破损、变形、老化、能有效地防止渗透、扩散的容器贮存，装有危险废物的容器必须贴有标签，在标签上详细</w:t>
            </w:r>
            <w:r>
              <w:rPr>
                <w:rFonts w:hint="eastAsia" w:ascii="Times New Roman" w:hAnsi="Times New Roman" w:eastAsia="宋体" w:cs="Times New Roman"/>
                <w:color w:val="auto"/>
                <w:sz w:val="24"/>
                <w:szCs w:val="24"/>
                <w:u w:val="none"/>
                <w:lang w:val="en-US" w:eastAsia="zh-CN"/>
              </w:rPr>
              <w:t>标明</w:t>
            </w:r>
            <w:r>
              <w:rPr>
                <w:rFonts w:hint="default" w:ascii="Times New Roman" w:hAnsi="Times New Roman" w:eastAsia="宋体" w:cs="Times New Roman"/>
                <w:color w:val="auto"/>
                <w:sz w:val="24"/>
                <w:szCs w:val="24"/>
                <w:u w:val="none"/>
              </w:rPr>
              <w:t>危险废物的名称、重量、成分、特性及发生泄漏的处理方法等。</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③运输过程中确保容器不泄漏、不倒塌、不坠落、不损坏。严禁与易燃及其它禁配物混装混运。运输时运输车辆应配备泄漏应急处理设备。运输途中应防暴晒、雨淋、防高温。</w:t>
            </w:r>
            <w:r>
              <w:rPr>
                <w:rFonts w:hint="eastAsia" w:ascii="Times New Roman" w:hAnsi="Times New Roman" w:eastAsia="宋体" w:cs="Times New Roman"/>
                <w:color w:val="auto"/>
                <w:sz w:val="24"/>
                <w:szCs w:val="24"/>
                <w:u w:val="none"/>
                <w:lang w:val="en-US" w:eastAsia="zh-CN"/>
              </w:rPr>
              <w:t>公路</w:t>
            </w:r>
            <w:r>
              <w:rPr>
                <w:rFonts w:hint="default" w:ascii="Times New Roman" w:hAnsi="Times New Roman" w:eastAsia="宋体" w:cs="Times New Roman"/>
                <w:color w:val="auto"/>
                <w:sz w:val="24"/>
                <w:szCs w:val="24"/>
                <w:u w:val="none"/>
              </w:rPr>
              <w:t>运输时要按规定的线路行驶，勿在居民区和人口稠密区停留。</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④严格执行《危险废物收集贮存运输技术规范》（HJ2025-2012）和《危险废物转移管理办法》，并制定好危险废物转移运输途中的污染防范及事故应急措施，严格按照要求办理有关手续。</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⑤企业应按要求建立危险废物台账管理制度，完善危险废物管理。</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采取以上措施后，固体废物可得到合理处置，对环境影响较小。</w:t>
            </w:r>
          </w:p>
          <w:p>
            <w:pPr>
              <w:pStyle w:val="85"/>
              <w:ind w:firstLine="0" w:firstLineChars="0"/>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4.6 地下水、土壤</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本项目生产车间地面硬化，污水处理池采取防渗混凝土浇筑，危废间采取防渗措施，正常生产情况下不会影响厂区周围地下水，但如果管道泄漏或发生污水漫流、危险废物泄漏、食用油罐泄漏，经过土壤吸附过滤渗透等过程，将对地下水水质造成一定影响。</w:t>
            </w:r>
          </w:p>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根据《环境影响评价技术导则 地下水环境》（HJ610-2016）防渗分区原则，将本项目划分为重点防渗区、一般防渗区和简单防渗区。防渗分区及防渗要求详见下表。</w:t>
            </w:r>
          </w:p>
          <w:p>
            <w:pPr>
              <w:jc w:val="center"/>
              <w:rPr>
                <w:rFonts w:hint="default" w:ascii="Times New Roman" w:hAnsi="Times New Roman" w:eastAsia="宋体" w:cs="Times New Roman"/>
                <w:b/>
                <w:color w:val="auto"/>
                <w:spacing w:val="4"/>
                <w:sz w:val="24"/>
                <w:szCs w:val="24"/>
                <w:u w:val="none"/>
              </w:rPr>
            </w:pPr>
            <w:r>
              <w:rPr>
                <w:rFonts w:hint="default" w:ascii="Times New Roman" w:hAnsi="Times New Roman" w:eastAsia="宋体" w:cs="Times New Roman"/>
                <w:b/>
                <w:color w:val="auto"/>
                <w:spacing w:val="4"/>
                <w:sz w:val="24"/>
                <w:szCs w:val="24"/>
                <w:u w:val="none"/>
              </w:rPr>
              <w:t>表4.6-1 防渗分区及防渗要求</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2"/>
              <w:gridCol w:w="2386"/>
              <w:gridCol w:w="3347"/>
              <w:gridCol w:w="17"/>
              <w:gridCol w:w="2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pct"/>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污染防控分区</w:t>
                  </w:r>
                </w:p>
              </w:tc>
              <w:tc>
                <w:tcPr>
                  <w:tcW w:w="1274" w:type="pct"/>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防渗区域</w:t>
                  </w:r>
                </w:p>
              </w:tc>
              <w:tc>
                <w:tcPr>
                  <w:tcW w:w="1796" w:type="pct"/>
                  <w:gridSpan w:val="2"/>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防渗措施</w:t>
                  </w:r>
                </w:p>
              </w:tc>
              <w:tc>
                <w:tcPr>
                  <w:tcW w:w="1139" w:type="pct"/>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防渗要求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重点防渗区</w:t>
                  </w:r>
                </w:p>
              </w:tc>
              <w:tc>
                <w:tcPr>
                  <w:tcW w:w="127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危废暂存间、食用油罐区围堰</w:t>
                  </w:r>
                </w:p>
              </w:tc>
              <w:tc>
                <w:tcPr>
                  <w:tcW w:w="1796" w:type="pct"/>
                  <w:gridSpan w:val="2"/>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Cs/>
                      <w:color w:val="auto"/>
                      <w:sz w:val="21"/>
                      <w:szCs w:val="21"/>
                      <w:u w:val="none"/>
                    </w:rPr>
                    <w:t>防渗层为至少1m厚黏土层(渗透系数不大于10</w:t>
                  </w:r>
                  <w:r>
                    <w:rPr>
                      <w:rFonts w:hint="default" w:ascii="Times New Roman" w:hAnsi="Times New Roman" w:eastAsia="宋体" w:cs="Times New Roman"/>
                      <w:bCs/>
                      <w:color w:val="auto"/>
                      <w:sz w:val="21"/>
                      <w:szCs w:val="21"/>
                      <w:u w:val="none"/>
                      <w:vertAlign w:val="superscript"/>
                    </w:rPr>
                    <w:t>-7</w:t>
                  </w:r>
                  <w:r>
                    <w:rPr>
                      <w:rFonts w:hint="default" w:ascii="Times New Roman" w:hAnsi="Times New Roman" w:eastAsia="宋体" w:cs="Times New Roman"/>
                      <w:bCs/>
                      <w:color w:val="auto"/>
                      <w:sz w:val="21"/>
                      <w:szCs w:val="21"/>
                      <w:u w:val="none"/>
                    </w:rPr>
                    <w:t>cm/s)，或至少2mm厚高密度聚乙烯膜等人工防渗材料(渗透系数不大于10</w:t>
                  </w:r>
                  <w:r>
                    <w:rPr>
                      <w:rFonts w:hint="default" w:ascii="Times New Roman" w:hAnsi="Times New Roman" w:eastAsia="宋体" w:cs="Times New Roman"/>
                      <w:bCs/>
                      <w:color w:val="auto"/>
                      <w:sz w:val="21"/>
                      <w:szCs w:val="21"/>
                      <w:u w:val="none"/>
                      <w:vertAlign w:val="superscript"/>
                    </w:rPr>
                    <w:t>-10</w:t>
                  </w:r>
                  <w:r>
                    <w:rPr>
                      <w:rFonts w:hint="default" w:ascii="Times New Roman" w:hAnsi="Times New Roman" w:eastAsia="宋体" w:cs="Times New Roman"/>
                      <w:bCs/>
                      <w:color w:val="auto"/>
                      <w:sz w:val="21"/>
                      <w:szCs w:val="21"/>
                      <w:u w:val="none"/>
                    </w:rPr>
                    <w:t>cm/s)，或其他防渗性能等效的材料。</w:t>
                  </w:r>
                </w:p>
              </w:tc>
              <w:tc>
                <w:tcPr>
                  <w:tcW w:w="113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等效黏土防渗层Mb≥6.0m，K≤1.0×10</w:t>
                  </w:r>
                  <w:r>
                    <w:rPr>
                      <w:rFonts w:hint="default" w:ascii="Times New Roman" w:hAnsi="Times New Roman" w:eastAsia="宋体" w:cs="Times New Roman"/>
                      <w:color w:val="auto"/>
                      <w:sz w:val="21"/>
                      <w:szCs w:val="21"/>
                      <w:u w:val="none"/>
                      <w:vertAlign w:val="superscript"/>
                    </w:rPr>
                    <w:t>-7</w:t>
                  </w:r>
                  <w:r>
                    <w:rPr>
                      <w:rFonts w:hint="default" w:ascii="Times New Roman" w:hAnsi="Times New Roman" w:eastAsia="宋体" w:cs="Times New Roman"/>
                      <w:color w:val="auto"/>
                      <w:sz w:val="21"/>
                      <w:szCs w:val="21"/>
                      <w:u w:val="none"/>
                    </w:rPr>
                    <w:t>cm/s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pct"/>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一般防渗区</w:t>
                  </w:r>
                </w:p>
              </w:tc>
              <w:tc>
                <w:tcPr>
                  <w:tcW w:w="127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隔油池、化粪池、</w:t>
                  </w:r>
                  <w:r>
                    <w:rPr>
                      <w:rFonts w:hint="eastAsia" w:ascii="Times New Roman" w:hAnsi="Times New Roman" w:eastAsia="宋体" w:cs="Times New Roman"/>
                      <w:color w:val="auto"/>
                      <w:sz w:val="21"/>
                      <w:szCs w:val="21"/>
                      <w:u w:val="none"/>
                      <w:lang w:val="en-US" w:eastAsia="zh-CN"/>
                    </w:rPr>
                    <w:t>污水处理站</w:t>
                  </w:r>
                  <w:r>
                    <w:rPr>
                      <w:rFonts w:hint="default" w:ascii="Times New Roman" w:hAnsi="Times New Roman" w:eastAsia="宋体" w:cs="Times New Roman"/>
                      <w:color w:val="auto"/>
                      <w:sz w:val="21"/>
                      <w:szCs w:val="21"/>
                      <w:u w:val="none"/>
                    </w:rPr>
                    <w:t>、一般固废间</w:t>
                  </w:r>
                </w:p>
              </w:tc>
              <w:tc>
                <w:tcPr>
                  <w:tcW w:w="1787"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防渗混凝土浇筑</w:t>
                  </w:r>
                </w:p>
              </w:tc>
              <w:tc>
                <w:tcPr>
                  <w:tcW w:w="1148" w:type="pct"/>
                  <w:gridSpan w:val="2"/>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等效黏土防渗层Mb≥1.5m，K≤1×10</w:t>
                  </w:r>
                  <w:r>
                    <w:rPr>
                      <w:rFonts w:hint="default" w:ascii="Times New Roman" w:hAnsi="Times New Roman" w:eastAsia="宋体" w:cs="Times New Roman"/>
                      <w:color w:val="auto"/>
                      <w:sz w:val="21"/>
                      <w:szCs w:val="21"/>
                      <w:u w:val="none"/>
                      <w:vertAlign w:val="superscript"/>
                    </w:rPr>
                    <w:t>-7</w:t>
                  </w:r>
                  <w:r>
                    <w:rPr>
                      <w:rFonts w:hint="default" w:ascii="Times New Roman" w:hAnsi="Times New Roman" w:eastAsia="宋体" w:cs="Times New Roman"/>
                      <w:color w:val="auto"/>
                      <w:sz w:val="21"/>
                      <w:szCs w:val="21"/>
                      <w:u w:val="none"/>
                    </w:rPr>
                    <w:t>cm/s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pct"/>
                  <w:vMerge w:val="continue"/>
                  <w:vAlign w:val="center"/>
                </w:tcPr>
                <w:p>
                  <w:pPr>
                    <w:jc w:val="center"/>
                    <w:rPr>
                      <w:rFonts w:hint="default" w:ascii="Times New Roman" w:hAnsi="Times New Roman" w:eastAsia="宋体" w:cs="Times New Roman"/>
                      <w:color w:val="auto"/>
                      <w:sz w:val="21"/>
                      <w:szCs w:val="21"/>
                      <w:u w:val="none"/>
                    </w:rPr>
                  </w:pPr>
                </w:p>
              </w:tc>
              <w:tc>
                <w:tcPr>
                  <w:tcW w:w="127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废水输送管道</w:t>
                  </w:r>
                </w:p>
              </w:tc>
              <w:tc>
                <w:tcPr>
                  <w:tcW w:w="1787"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输送管道为防渗、防腐管材</w:t>
                  </w:r>
                </w:p>
              </w:tc>
              <w:tc>
                <w:tcPr>
                  <w:tcW w:w="1148" w:type="pct"/>
                  <w:gridSpan w:val="2"/>
                  <w:vMerge w:val="continue"/>
                  <w:vAlign w:val="center"/>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简单防渗区</w:t>
                  </w:r>
                </w:p>
              </w:tc>
              <w:tc>
                <w:tcPr>
                  <w:tcW w:w="1274"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生产车间、仓库、办公区、道路</w:t>
                  </w:r>
                </w:p>
              </w:tc>
              <w:tc>
                <w:tcPr>
                  <w:tcW w:w="2935" w:type="pct"/>
                  <w:gridSpan w:val="3"/>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一般地面硬化</w:t>
                  </w:r>
                </w:p>
              </w:tc>
            </w:tr>
          </w:tbl>
          <w:p>
            <w:pPr>
              <w:spacing w:line="360" w:lineRule="auto"/>
              <w:ind w:firstLine="482"/>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采取上述措施后，可有效防止污染物进入地下水体，正常状况下，项目基本不会对地下水环境产生影响。</w:t>
            </w:r>
          </w:p>
          <w:p>
            <w:pPr>
              <w:pStyle w:val="85"/>
              <w:ind w:firstLine="0" w:firstLineChars="0"/>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4.7 环境风险评价</w:t>
            </w:r>
          </w:p>
          <w:p>
            <w:pPr>
              <w:widowControl/>
              <w:autoSpaceDE w:val="0"/>
              <w:adjustRightInd w:val="0"/>
              <w:snapToGrid w:val="0"/>
              <w:spacing w:line="360" w:lineRule="auto"/>
              <w:ind w:firstLine="482" w:firstLineChars="200"/>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4.7.1风险识别</w:t>
            </w:r>
          </w:p>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根据《建设项目环境风险评价技术导则》（HJ169-2018）中风险调查、风险潜势初判确定：计算所涉及的每种危险物质在厂界内的最大存在总量与其在附录B中对应临界量的比值Q。在不同厂区厂区的同一种物质，按其在厂界内的最大存在总量计算。当存在多种危险物质时，按下列公式进行计算。</w:t>
            </w:r>
          </w:p>
          <w:p>
            <w:pPr>
              <w:widowControl/>
              <w:autoSpaceDE w:val="0"/>
              <w:adjustRightInd w:val="0"/>
              <w:snapToGrid w:val="0"/>
              <w:spacing w:line="360" w:lineRule="auto"/>
              <w:jc w:val="center"/>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drawing>
                <wp:inline distT="0" distB="0" distL="0" distR="0">
                  <wp:extent cx="1962150" cy="53340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noChangeArrowheads="1"/>
                          </pic:cNvPicPr>
                        </pic:nvPicPr>
                        <pic:blipFill>
                          <a:blip r:embed="rId35" cstate="screen"/>
                          <a:srcRect/>
                          <a:stretch>
                            <a:fillRect/>
                          </a:stretch>
                        </pic:blipFill>
                        <pic:spPr>
                          <a:xfrm>
                            <a:off x="0" y="0"/>
                            <a:ext cx="1962150" cy="533400"/>
                          </a:xfrm>
                          <a:prstGeom prst="rect">
                            <a:avLst/>
                          </a:prstGeom>
                          <a:noFill/>
                          <a:ln>
                            <a:noFill/>
                          </a:ln>
                        </pic:spPr>
                      </pic:pic>
                    </a:graphicData>
                  </a:graphic>
                </wp:inline>
              </w:drawing>
            </w:r>
          </w:p>
          <w:p>
            <w:pPr>
              <w:widowControl/>
              <w:autoSpaceDE w:val="0"/>
              <w:adjustRightInd w:val="0"/>
              <w:snapToGrid w:val="0"/>
              <w:spacing w:line="360" w:lineRule="auto"/>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 xml:space="preserve"> 式中：q</w:t>
            </w:r>
            <w:r>
              <w:rPr>
                <w:rFonts w:hint="default" w:ascii="Times New Roman" w:hAnsi="Times New Roman" w:eastAsia="宋体" w:cs="Times New Roman"/>
                <w:color w:val="auto"/>
                <w:sz w:val="24"/>
                <w:szCs w:val="24"/>
                <w:u w:val="none"/>
                <w:vertAlign w:val="subscript"/>
              </w:rPr>
              <w:t>1</w:t>
            </w:r>
            <w:r>
              <w:rPr>
                <w:rFonts w:hint="default" w:ascii="Times New Roman" w:hAnsi="Times New Roman" w:eastAsia="宋体" w:cs="Times New Roman"/>
                <w:color w:val="auto"/>
                <w:sz w:val="24"/>
                <w:szCs w:val="24"/>
                <w:u w:val="none"/>
              </w:rPr>
              <w:t>、q</w:t>
            </w:r>
            <w:r>
              <w:rPr>
                <w:rFonts w:hint="default" w:ascii="Times New Roman" w:hAnsi="Times New Roman" w:eastAsia="宋体" w:cs="Times New Roman"/>
                <w:color w:val="auto"/>
                <w:sz w:val="24"/>
                <w:szCs w:val="24"/>
                <w:u w:val="none"/>
                <w:vertAlign w:val="subscript"/>
              </w:rPr>
              <w:t>2</w:t>
            </w:r>
            <w:r>
              <w:rPr>
                <w:rFonts w:hint="default" w:ascii="Times New Roman" w:hAnsi="Times New Roman" w:eastAsia="宋体" w:cs="Times New Roman"/>
                <w:color w:val="auto"/>
                <w:sz w:val="24"/>
                <w:szCs w:val="24"/>
                <w:u w:val="none"/>
              </w:rPr>
              <w:t>、q</w:t>
            </w:r>
            <w:r>
              <w:rPr>
                <w:rFonts w:hint="default" w:ascii="Times New Roman" w:hAnsi="Times New Roman" w:eastAsia="宋体" w:cs="Times New Roman"/>
                <w:color w:val="auto"/>
                <w:sz w:val="24"/>
                <w:szCs w:val="24"/>
                <w:u w:val="none"/>
                <w:vertAlign w:val="subscript"/>
              </w:rPr>
              <w:t>n</w:t>
            </w:r>
            <w:r>
              <w:rPr>
                <w:rFonts w:hint="default" w:ascii="Times New Roman" w:hAnsi="Times New Roman" w:eastAsia="宋体" w:cs="Times New Roman"/>
                <w:color w:val="auto"/>
                <w:sz w:val="24"/>
                <w:szCs w:val="24"/>
                <w:u w:val="none"/>
              </w:rPr>
              <w:t>—每种危险物质的最大存在总量，t；</w:t>
            </w:r>
          </w:p>
          <w:p>
            <w:pPr>
              <w:widowControl/>
              <w:autoSpaceDE w:val="0"/>
              <w:adjustRightInd w:val="0"/>
              <w:snapToGrid w:val="0"/>
              <w:spacing w:line="360" w:lineRule="auto"/>
              <w:ind w:firstLine="1200" w:firstLineChars="5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Q</w:t>
            </w:r>
            <w:r>
              <w:rPr>
                <w:rFonts w:hint="default" w:ascii="Times New Roman" w:hAnsi="Times New Roman" w:eastAsia="宋体" w:cs="Times New Roman"/>
                <w:color w:val="auto"/>
                <w:sz w:val="24"/>
                <w:szCs w:val="24"/>
                <w:u w:val="none"/>
                <w:vertAlign w:val="subscript"/>
              </w:rPr>
              <w:t>1</w:t>
            </w:r>
            <w:r>
              <w:rPr>
                <w:rFonts w:hint="default" w:ascii="Times New Roman" w:hAnsi="Times New Roman" w:eastAsia="宋体" w:cs="Times New Roman"/>
                <w:color w:val="auto"/>
                <w:sz w:val="24"/>
                <w:szCs w:val="24"/>
                <w:u w:val="none"/>
              </w:rPr>
              <w:t>、Q</w:t>
            </w:r>
            <w:r>
              <w:rPr>
                <w:rFonts w:hint="default" w:ascii="Times New Roman" w:hAnsi="Times New Roman" w:eastAsia="宋体" w:cs="Times New Roman"/>
                <w:color w:val="auto"/>
                <w:sz w:val="24"/>
                <w:szCs w:val="24"/>
                <w:u w:val="none"/>
                <w:vertAlign w:val="subscript"/>
              </w:rPr>
              <w:t>2</w:t>
            </w:r>
            <w:r>
              <w:rPr>
                <w:rFonts w:hint="default" w:ascii="Times New Roman" w:hAnsi="Times New Roman" w:eastAsia="宋体" w:cs="Times New Roman"/>
                <w:color w:val="auto"/>
                <w:sz w:val="24"/>
                <w:szCs w:val="24"/>
                <w:u w:val="none"/>
              </w:rPr>
              <w:t>、Q</w:t>
            </w:r>
            <w:r>
              <w:rPr>
                <w:rFonts w:hint="default" w:ascii="Times New Roman" w:hAnsi="Times New Roman" w:eastAsia="宋体" w:cs="Times New Roman"/>
                <w:color w:val="auto"/>
                <w:sz w:val="24"/>
                <w:szCs w:val="24"/>
                <w:u w:val="none"/>
                <w:vertAlign w:val="subscript"/>
              </w:rPr>
              <w:t>n</w:t>
            </w:r>
            <w:r>
              <w:rPr>
                <w:rFonts w:hint="default" w:ascii="Times New Roman" w:hAnsi="Times New Roman" w:eastAsia="宋体" w:cs="Times New Roman"/>
                <w:color w:val="auto"/>
                <w:sz w:val="24"/>
                <w:szCs w:val="24"/>
                <w:u w:val="none"/>
              </w:rPr>
              <w:t>—每种危险物质的临界量，t。</w:t>
            </w:r>
          </w:p>
          <w:p>
            <w:pPr>
              <w:widowControl/>
              <w:autoSpaceDE w:val="0"/>
              <w:adjustRightInd w:val="0"/>
              <w:snapToGrid w:val="0"/>
              <w:spacing w:line="360" w:lineRule="auto"/>
              <w:ind w:firstLine="1200" w:firstLineChars="5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当Q＜1时，该项目环境风险潜势为Ⅰ。</w:t>
            </w:r>
          </w:p>
          <w:p>
            <w:pPr>
              <w:widowControl/>
              <w:autoSpaceDE w:val="0"/>
              <w:adjustRightInd w:val="0"/>
              <w:snapToGrid w:val="0"/>
              <w:spacing w:line="360" w:lineRule="auto"/>
              <w:ind w:firstLine="1200" w:firstLineChars="500"/>
              <w:jc w:val="left"/>
              <w:rPr>
                <w:rFonts w:hint="default" w:ascii="Times New Roman" w:hAnsi="Times New Roman" w:eastAsia="宋体" w:cs="Times New Roman"/>
                <w:b/>
                <w:color w:val="auto"/>
                <w:spacing w:val="-1"/>
                <w:sz w:val="24"/>
                <w:szCs w:val="24"/>
                <w:u w:val="none"/>
              </w:rPr>
            </w:pPr>
            <w:r>
              <w:rPr>
                <w:rFonts w:hint="default" w:ascii="Times New Roman" w:hAnsi="Times New Roman" w:eastAsia="宋体" w:cs="Times New Roman"/>
                <w:color w:val="auto"/>
                <w:sz w:val="24"/>
                <w:szCs w:val="24"/>
                <w:u w:val="none"/>
              </w:rPr>
              <w:t>当Q≥1时，将Q值划分为：（1）1≤Q＜10；（2）10≤Q＜100；（3）Q≥100。</w:t>
            </w:r>
          </w:p>
          <w:p>
            <w:pPr>
              <w:autoSpaceDE w:val="0"/>
              <w:ind w:firstLine="478" w:firstLineChars="200"/>
              <w:jc w:val="center"/>
              <w:rPr>
                <w:rFonts w:hint="default" w:ascii="Times New Roman" w:hAnsi="Times New Roman" w:eastAsia="宋体" w:cs="Times New Roman"/>
                <w:b/>
                <w:color w:val="auto"/>
                <w:spacing w:val="-1"/>
                <w:sz w:val="24"/>
                <w:szCs w:val="24"/>
                <w:u w:val="none"/>
              </w:rPr>
            </w:pPr>
            <w:r>
              <w:rPr>
                <w:rFonts w:hint="default" w:ascii="Times New Roman" w:hAnsi="Times New Roman" w:eastAsia="宋体" w:cs="Times New Roman"/>
                <w:b/>
                <w:color w:val="auto"/>
                <w:spacing w:val="-1"/>
                <w:sz w:val="24"/>
                <w:szCs w:val="24"/>
                <w:u w:val="none"/>
              </w:rPr>
              <w:t>表4.7-1  风险物质及临界量</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1595"/>
              <w:gridCol w:w="1182"/>
              <w:gridCol w:w="1002"/>
              <w:gridCol w:w="4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8"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bCs/>
                      <w:color w:val="auto"/>
                      <w:spacing w:val="-18"/>
                      <w:sz w:val="21"/>
                      <w:szCs w:val="21"/>
                      <w:u w:val="none"/>
                    </w:rPr>
                  </w:pPr>
                  <w:r>
                    <w:rPr>
                      <w:rFonts w:hint="default" w:ascii="Times New Roman" w:hAnsi="Times New Roman" w:eastAsia="宋体" w:cs="Times New Roman"/>
                      <w:b/>
                      <w:bCs/>
                      <w:color w:val="auto"/>
                      <w:spacing w:val="-18"/>
                      <w:sz w:val="21"/>
                      <w:szCs w:val="21"/>
                      <w:u w:val="none"/>
                    </w:rPr>
                    <w:t>名称</w:t>
                  </w:r>
                </w:p>
              </w:tc>
              <w:tc>
                <w:tcPr>
                  <w:tcW w:w="852"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最大储存量（t/a）</w:t>
                  </w:r>
                </w:p>
              </w:tc>
              <w:tc>
                <w:tcPr>
                  <w:tcW w:w="63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临界量Qn(t)</w:t>
                  </w:r>
                </w:p>
              </w:tc>
              <w:tc>
                <w:tcPr>
                  <w:tcW w:w="535"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q</w:t>
                  </w:r>
                  <w:r>
                    <w:rPr>
                      <w:rFonts w:hint="default" w:ascii="Times New Roman" w:hAnsi="Times New Roman" w:eastAsia="宋体" w:cs="Times New Roman"/>
                      <w:b/>
                      <w:bCs/>
                      <w:color w:val="auto"/>
                      <w:sz w:val="21"/>
                      <w:szCs w:val="21"/>
                      <w:u w:val="none"/>
                      <w:vertAlign w:val="subscript"/>
                    </w:rPr>
                    <w:t>n</w:t>
                  </w:r>
                  <w:r>
                    <w:rPr>
                      <w:rFonts w:hint="default" w:ascii="Times New Roman" w:hAnsi="Times New Roman" w:eastAsia="宋体" w:cs="Times New Roman"/>
                      <w:b/>
                      <w:bCs/>
                      <w:color w:val="auto"/>
                      <w:sz w:val="21"/>
                      <w:szCs w:val="21"/>
                      <w:u w:val="none"/>
                    </w:rPr>
                    <w:t>/Q</w:t>
                  </w:r>
                  <w:r>
                    <w:rPr>
                      <w:rFonts w:hint="default" w:ascii="Times New Roman" w:hAnsi="Times New Roman" w:eastAsia="宋体" w:cs="Times New Roman"/>
                      <w:b/>
                      <w:bCs/>
                      <w:color w:val="auto"/>
                      <w:sz w:val="21"/>
                      <w:szCs w:val="21"/>
                      <w:u w:val="none"/>
                      <w:vertAlign w:val="subscript"/>
                    </w:rPr>
                    <w:t>n</w:t>
                  </w:r>
                </w:p>
              </w:tc>
              <w:tc>
                <w:tcPr>
                  <w:tcW w:w="2242"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天然气</w:t>
                  </w:r>
                </w:p>
              </w:tc>
              <w:tc>
                <w:tcPr>
                  <w:tcW w:w="85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0.0017（在线量）</w:t>
                  </w:r>
                </w:p>
              </w:tc>
              <w:tc>
                <w:tcPr>
                  <w:tcW w:w="63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0.00017</w:t>
                  </w:r>
                </w:p>
              </w:tc>
              <w:tc>
                <w:tcPr>
                  <w:tcW w:w="224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厂区内燃气管道长度约300m，管径10cm，密度0.7174kg/Nm</w:t>
                  </w:r>
                  <w:r>
                    <w:rPr>
                      <w:rFonts w:hint="default" w:ascii="Times New Roman" w:hAnsi="Times New Roman" w:eastAsia="宋体" w:cs="Times New Roman"/>
                      <w:color w:val="auto"/>
                      <w:sz w:val="21"/>
                      <w:szCs w:val="21"/>
                      <w:u w:val="none"/>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润滑油</w:t>
                  </w:r>
                </w:p>
              </w:tc>
              <w:tc>
                <w:tcPr>
                  <w:tcW w:w="85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0.05</w:t>
                  </w:r>
                </w:p>
              </w:tc>
              <w:tc>
                <w:tcPr>
                  <w:tcW w:w="63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2500</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0.00002</w:t>
                  </w:r>
                </w:p>
              </w:tc>
              <w:tc>
                <w:tcPr>
                  <w:tcW w:w="224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盐酸（37%）</w:t>
                  </w:r>
                </w:p>
              </w:tc>
              <w:tc>
                <w:tcPr>
                  <w:tcW w:w="85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0.00059</w:t>
                  </w:r>
                </w:p>
              </w:tc>
              <w:tc>
                <w:tcPr>
                  <w:tcW w:w="63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7.5</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 xml:space="preserve">0.00008 </w:t>
                  </w:r>
                </w:p>
              </w:tc>
              <w:tc>
                <w:tcPr>
                  <w:tcW w:w="224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8"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氢氧化钠</w:t>
                  </w:r>
                </w:p>
              </w:tc>
              <w:tc>
                <w:tcPr>
                  <w:tcW w:w="852"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5.006</w:t>
                  </w:r>
                </w:p>
              </w:tc>
              <w:tc>
                <w:tcPr>
                  <w:tcW w:w="63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0.10012</w:t>
                  </w:r>
                </w:p>
              </w:tc>
              <w:tc>
                <w:tcPr>
                  <w:tcW w:w="2242" w:type="pct"/>
                  <w:vMerge w:val="restart"/>
                  <w:tcBorders>
                    <w:top w:val="nil"/>
                    <w:left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临界量参照健康危险急性毒性物质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8"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危险废物</w:t>
                  </w:r>
                </w:p>
              </w:tc>
              <w:tc>
                <w:tcPr>
                  <w:tcW w:w="852"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eastAsia"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rPr>
                    <w:t>0.0</w:t>
                  </w:r>
                  <w:r>
                    <w:rPr>
                      <w:rFonts w:hint="eastAsia" w:ascii="Times New Roman" w:hAnsi="Times New Roman" w:eastAsia="宋体" w:cs="Times New Roman"/>
                      <w:color w:val="auto"/>
                      <w:sz w:val="21"/>
                      <w:szCs w:val="21"/>
                      <w:u w:val="none"/>
                      <w:lang w:val="en-US" w:eastAsia="zh-CN"/>
                    </w:rPr>
                    <w:t>7</w:t>
                  </w:r>
                </w:p>
              </w:tc>
              <w:tc>
                <w:tcPr>
                  <w:tcW w:w="63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50</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0.0014</w:t>
                  </w:r>
                </w:p>
              </w:tc>
              <w:tc>
                <w:tcPr>
                  <w:tcW w:w="2242" w:type="pct"/>
                  <w:vMerge w:val="continue"/>
                  <w:tcBorders>
                    <w:left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8"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制冷剂</w:t>
                  </w:r>
                  <w:r>
                    <w:rPr>
                      <w:rFonts w:hint="eastAsia" w:ascii="Times New Roman" w:hAnsi="Times New Roman" w:eastAsia="宋体" w:cs="Times New Roman"/>
                      <w:color w:val="auto"/>
                      <w:kern w:val="0"/>
                      <w:szCs w:val="21"/>
                      <w:u w:val="none"/>
                      <w:lang w:eastAsia="zh-CN"/>
                    </w:rPr>
                    <w:t>（二氟一氯甲烷）</w:t>
                  </w:r>
                </w:p>
              </w:tc>
              <w:tc>
                <w:tcPr>
                  <w:tcW w:w="852"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0.2（在线量）</w:t>
                  </w:r>
                </w:p>
              </w:tc>
              <w:tc>
                <w:tcPr>
                  <w:tcW w:w="63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50</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0.004</w:t>
                  </w:r>
                </w:p>
              </w:tc>
              <w:tc>
                <w:tcPr>
                  <w:tcW w:w="2242" w:type="pct"/>
                  <w:vMerge w:val="continue"/>
                  <w:tcBorders>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合计</w:t>
                  </w:r>
                </w:p>
              </w:tc>
              <w:tc>
                <w:tcPr>
                  <w:tcW w:w="85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p>
              </w:tc>
              <w:tc>
                <w:tcPr>
                  <w:tcW w:w="63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r>
                    <w:rPr>
                      <w:rFonts w:hint="eastAsia" w:ascii="Times New Roman" w:hAnsi="Times New Roman" w:eastAsia="宋体" w:cs="Times New Roman"/>
                      <w:color w:val="auto"/>
                      <w:sz w:val="21"/>
                      <w:szCs w:val="21"/>
                      <w:u w:val="none"/>
                      <w:lang w:val="en-US" w:eastAsia="zh-CN"/>
                    </w:rPr>
                    <w:t>0.106</w:t>
                  </w:r>
                </w:p>
              </w:tc>
              <w:tc>
                <w:tcPr>
                  <w:tcW w:w="224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宋体" w:cs="Times New Roman"/>
                      <w:color w:val="auto"/>
                      <w:sz w:val="21"/>
                      <w:szCs w:val="21"/>
                      <w:u w:val="none"/>
                    </w:rPr>
                  </w:pPr>
                </w:p>
              </w:tc>
            </w:tr>
          </w:tbl>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本项目建成后，全厂Q值为0.</w:t>
            </w:r>
            <w:r>
              <w:rPr>
                <w:rFonts w:hint="eastAsia" w:ascii="Times New Roman" w:hAnsi="Times New Roman" w:eastAsia="宋体" w:cs="Times New Roman"/>
                <w:color w:val="auto"/>
                <w:sz w:val="24"/>
                <w:szCs w:val="24"/>
                <w:u w:val="none"/>
                <w:lang w:val="en-US" w:eastAsia="zh-CN"/>
              </w:rPr>
              <w:t>106</w:t>
            </w:r>
            <w:r>
              <w:rPr>
                <w:rFonts w:hint="default" w:ascii="Times New Roman" w:hAnsi="Times New Roman" w:eastAsia="宋体" w:cs="Times New Roman"/>
                <w:color w:val="auto"/>
                <w:sz w:val="24"/>
                <w:szCs w:val="24"/>
                <w:u w:val="none"/>
              </w:rPr>
              <w:t>，</w:t>
            </w:r>
            <w:r>
              <w:rPr>
                <w:rFonts w:hint="default" w:ascii="Times New Roman" w:hAnsi="Times New Roman" w:eastAsia="宋体" w:cs="Times New Roman"/>
                <w:color w:val="auto"/>
                <w:sz w:val="24"/>
                <w:szCs w:val="24"/>
                <w:u w:val="none"/>
              </w:rPr>
              <w:t>当Q＜1时，根据《建设项目环境影响报告表编制技术指南》（污染影响类）（试行），可不开展专项评价。</w:t>
            </w:r>
          </w:p>
          <w:p>
            <w:pPr>
              <w:widowControl/>
              <w:autoSpaceDE w:val="0"/>
              <w:adjustRightInd w:val="0"/>
              <w:snapToGrid w:val="0"/>
              <w:spacing w:line="360" w:lineRule="auto"/>
              <w:ind w:firstLine="482" w:firstLineChars="200"/>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4.7.2事故类型和事故原因</w:t>
            </w:r>
          </w:p>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（1）食用油在储存、使用过程中因事故而发生泄漏，导致地表水、地下水、土壤造成污染。</w:t>
            </w:r>
          </w:p>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（2）危险废物暂存泄漏，导致地表水、地下水、土壤造成污染。、</w:t>
            </w:r>
          </w:p>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（3）天然气管道泄漏，导致大气环境造成污染。</w:t>
            </w:r>
          </w:p>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（4）食用油属于可燃物质，若存在点火源、管理不当、作业失误和电路老化等问题时可能发生火灾事故，并造成火灾烟气排放、消防废水外排等次生环境污染事件。</w:t>
            </w:r>
          </w:p>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（5）污水处理设施故障导致废水事故排放，可能造成排放废水超标。</w:t>
            </w:r>
          </w:p>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（6）废气处理设施故障导致废气事故排放，可能造成排放废气超标。</w:t>
            </w:r>
          </w:p>
          <w:p>
            <w:pPr>
              <w:widowControl/>
              <w:autoSpaceDE w:val="0"/>
              <w:adjustRightInd w:val="0"/>
              <w:snapToGrid w:val="0"/>
              <w:spacing w:line="360" w:lineRule="auto"/>
              <w:ind w:firstLine="482" w:firstLineChars="200"/>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4.7.3环境风险防范措施及应急要求</w:t>
            </w:r>
          </w:p>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1）加强安全管理。厂区建立健全健康、安全的环境管理制度，并严格予以执行；严格执行我国有关的劳动安全、环境保护、工业卫生的规范和标准，最大限度地清除事故隐患，一旦发生事故应采取有效措施，降低因事故引起的损失和对环境的污染；加强工厂、车间的安全环保管理，制定出供正常、异常或紧急状态下的操作手册和维修手册，并对操作、维修人员进行培训，持证上岗，应定期进行安全活动，提高职工的安全意识。</w:t>
            </w:r>
          </w:p>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（2）建设单位应根据《湖南省突发环境事件应急预案管理办法（修订版）》（湘环发〔2024〕49 号）的要求核查判定后对本项目进行应急预案管理，并接受当地政府等有关部门的监督检查。</w:t>
            </w:r>
          </w:p>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（3）应针对不同类型环境风险应采取如下针对性措施：</w:t>
            </w:r>
          </w:p>
          <w:p>
            <w:pPr>
              <w:autoSpaceDE w:val="0"/>
              <w:ind w:firstLine="478" w:firstLineChars="200"/>
              <w:jc w:val="center"/>
              <w:rPr>
                <w:rFonts w:hint="default" w:ascii="Times New Roman" w:hAnsi="Times New Roman" w:eastAsia="宋体" w:cs="Times New Roman"/>
                <w:color w:val="auto"/>
                <w:sz w:val="24"/>
                <w:szCs w:val="24"/>
                <w:u w:val="none"/>
              </w:rPr>
            </w:pPr>
            <w:r>
              <w:rPr>
                <w:rFonts w:hint="default" w:ascii="Times New Roman" w:hAnsi="Times New Roman" w:eastAsia="宋体" w:cs="Times New Roman"/>
                <w:b/>
                <w:color w:val="auto"/>
                <w:spacing w:val="-1"/>
                <w:sz w:val="24"/>
                <w:szCs w:val="24"/>
                <w:u w:val="none"/>
              </w:rPr>
              <w:t>表4.7-2  风险防范措施表</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929"/>
              <w:gridCol w:w="967"/>
              <w:gridCol w:w="6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风险源</w:t>
                  </w:r>
                </w:p>
              </w:tc>
              <w:tc>
                <w:tcPr>
                  <w:tcW w:w="49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危险物质</w:t>
                  </w:r>
                </w:p>
              </w:tc>
              <w:tc>
                <w:tcPr>
                  <w:tcW w:w="51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环境风险类型</w:t>
                  </w:r>
                </w:p>
              </w:tc>
              <w:tc>
                <w:tcPr>
                  <w:tcW w:w="3452"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b/>
                      <w:bCs/>
                      <w:color w:val="auto"/>
                      <w:sz w:val="21"/>
                      <w:szCs w:val="21"/>
                      <w:u w:val="none"/>
                    </w:rPr>
                  </w:pPr>
                  <w:r>
                    <w:rPr>
                      <w:rFonts w:hint="default" w:ascii="Times New Roman" w:hAnsi="Times New Roman" w:eastAsia="宋体" w:cs="Times New Roman"/>
                      <w:b/>
                      <w:bCs/>
                      <w:color w:val="auto"/>
                      <w:sz w:val="21"/>
                      <w:szCs w:val="21"/>
                      <w:u w:val="none"/>
                    </w:rPr>
                    <w:t>风险防范措施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食用油储罐</w:t>
                  </w:r>
                </w:p>
              </w:tc>
              <w:tc>
                <w:tcPr>
                  <w:tcW w:w="49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食用油</w:t>
                  </w:r>
                </w:p>
              </w:tc>
              <w:tc>
                <w:tcPr>
                  <w:tcW w:w="51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泄漏</w:t>
                  </w:r>
                </w:p>
              </w:tc>
              <w:tc>
                <w:tcPr>
                  <w:tcW w:w="3452" w:type="pct"/>
                  <w:tcBorders>
                    <w:top w:val="single" w:color="auto" w:sz="4" w:space="0"/>
                    <w:left w:val="single" w:color="auto" w:sz="4" w:space="0"/>
                    <w:bottom w:val="single" w:color="auto" w:sz="4" w:space="0"/>
                    <w:right w:val="single" w:color="auto" w:sz="4" w:space="0"/>
                  </w:tcBorders>
                  <w:vAlign w:val="center"/>
                </w:tcPr>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①植物油储罐区</w:t>
                  </w:r>
                  <w:r>
                    <w:rPr>
                      <w:rFonts w:hint="eastAsia" w:ascii="Times New Roman" w:hAnsi="Times New Roman" w:eastAsia="宋体" w:cs="Times New Roman"/>
                      <w:color w:val="auto"/>
                      <w:sz w:val="21"/>
                      <w:szCs w:val="21"/>
                      <w:u w:val="none"/>
                      <w:lang w:val="en-US" w:eastAsia="zh-CN"/>
                    </w:rPr>
                    <w:t>及分装食用油生产线储罐区</w:t>
                  </w:r>
                  <w:r>
                    <w:rPr>
                      <w:rFonts w:hint="default" w:ascii="Times New Roman" w:hAnsi="Times New Roman" w:eastAsia="宋体" w:cs="Times New Roman"/>
                      <w:color w:val="auto"/>
                      <w:sz w:val="21"/>
                      <w:szCs w:val="21"/>
                      <w:u w:val="none"/>
                    </w:rPr>
                    <w:t>设置不小于单个储罐容积的围堰，围堰按照重点防渗去进行防渗，</w:t>
                  </w:r>
                  <w:r>
                    <w:rPr>
                      <w:rFonts w:hint="default" w:ascii="Times New Roman" w:hAnsi="Times New Roman" w:eastAsia="宋体" w:cs="Times New Roman"/>
                      <w:bCs/>
                      <w:color w:val="auto"/>
                      <w:sz w:val="21"/>
                      <w:szCs w:val="21"/>
                      <w:u w:val="none"/>
                    </w:rPr>
                    <w:t>防渗层为至少1m厚黏土层(渗透系数不大于10</w:t>
                  </w:r>
                  <w:r>
                    <w:rPr>
                      <w:rFonts w:hint="default" w:ascii="Times New Roman" w:hAnsi="Times New Roman" w:eastAsia="宋体" w:cs="Times New Roman"/>
                      <w:bCs/>
                      <w:color w:val="auto"/>
                      <w:sz w:val="21"/>
                      <w:szCs w:val="21"/>
                      <w:u w:val="none"/>
                      <w:vertAlign w:val="superscript"/>
                    </w:rPr>
                    <w:t>-7</w:t>
                  </w:r>
                  <w:r>
                    <w:rPr>
                      <w:rFonts w:hint="default" w:ascii="Times New Roman" w:hAnsi="Times New Roman" w:eastAsia="宋体" w:cs="Times New Roman"/>
                      <w:bCs/>
                      <w:color w:val="auto"/>
                      <w:sz w:val="21"/>
                      <w:szCs w:val="21"/>
                      <w:u w:val="none"/>
                    </w:rPr>
                    <w:t>cm/s)，或至少2mm厚高密度聚乙烯膜等人工防渗材料(渗透系数不大于10</w:t>
                  </w:r>
                  <w:r>
                    <w:rPr>
                      <w:rFonts w:hint="default" w:ascii="Times New Roman" w:hAnsi="Times New Roman" w:eastAsia="宋体" w:cs="Times New Roman"/>
                      <w:bCs/>
                      <w:color w:val="auto"/>
                      <w:sz w:val="21"/>
                      <w:szCs w:val="21"/>
                      <w:u w:val="none"/>
                      <w:vertAlign w:val="superscript"/>
                    </w:rPr>
                    <w:t>-10</w:t>
                  </w:r>
                  <w:r>
                    <w:rPr>
                      <w:rFonts w:hint="default" w:ascii="Times New Roman" w:hAnsi="Times New Roman" w:eastAsia="宋体" w:cs="Times New Roman"/>
                      <w:bCs/>
                      <w:color w:val="auto"/>
                      <w:sz w:val="21"/>
                      <w:szCs w:val="21"/>
                      <w:u w:val="none"/>
                    </w:rPr>
                    <w:t>cm/s)，或其他防渗性能等效的材料</w:t>
                  </w:r>
                  <w:r>
                    <w:rPr>
                      <w:rFonts w:hint="default" w:ascii="Times New Roman" w:hAnsi="Times New Roman" w:eastAsia="宋体" w:cs="Times New Roman"/>
                      <w:color w:val="auto"/>
                      <w:sz w:val="21"/>
                      <w:szCs w:val="21"/>
                      <w:u w:val="none"/>
                    </w:rPr>
                    <w:t>。</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②储罐区禁止火种、热源，保证阴凉、防水通风。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危废间</w:t>
                  </w:r>
                </w:p>
              </w:tc>
              <w:tc>
                <w:tcPr>
                  <w:tcW w:w="49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危险废物</w:t>
                  </w:r>
                </w:p>
              </w:tc>
              <w:tc>
                <w:tcPr>
                  <w:tcW w:w="51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泄漏</w:t>
                  </w:r>
                </w:p>
              </w:tc>
              <w:tc>
                <w:tcPr>
                  <w:tcW w:w="3452" w:type="pct"/>
                  <w:tcBorders>
                    <w:top w:val="single" w:color="auto" w:sz="4" w:space="0"/>
                    <w:left w:val="single" w:color="auto" w:sz="4" w:space="0"/>
                    <w:bottom w:val="single" w:color="auto" w:sz="4" w:space="0"/>
                    <w:right w:val="single" w:color="auto" w:sz="4" w:space="0"/>
                  </w:tcBorders>
                  <w:vAlign w:val="center"/>
                </w:tcPr>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①危险固废均分类收集暂存，严格按要求设置危废暂存间；</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②当发现包装桶发生破裂导致泄漏时，应及时转移泄漏物至完好的包装桶；并采用消防</w:t>
                  </w:r>
                  <w:r>
                    <w:rPr>
                      <w:rFonts w:hint="eastAsia" w:ascii="Times New Roman" w:hAnsi="Times New Roman" w:eastAsia="宋体" w:cs="Times New Roman"/>
                      <w:color w:val="auto"/>
                      <w:sz w:val="21"/>
                      <w:szCs w:val="21"/>
                      <w:u w:val="none"/>
                      <w:lang w:val="en-US" w:eastAsia="zh-CN"/>
                    </w:rPr>
                    <w:t>砂</w:t>
                  </w:r>
                  <w:r>
                    <w:rPr>
                      <w:rFonts w:hint="default" w:ascii="Times New Roman" w:hAnsi="Times New Roman" w:eastAsia="宋体" w:cs="Times New Roman"/>
                      <w:color w:val="auto"/>
                      <w:sz w:val="21"/>
                      <w:szCs w:val="21"/>
                      <w:u w:val="none"/>
                    </w:rPr>
                    <w:t>或抹布吸收处理，避免污染地下水及土壤。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天然气管道</w:t>
                  </w:r>
                </w:p>
              </w:tc>
              <w:tc>
                <w:tcPr>
                  <w:tcW w:w="49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天然气</w:t>
                  </w:r>
                </w:p>
              </w:tc>
              <w:tc>
                <w:tcPr>
                  <w:tcW w:w="51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泄漏</w:t>
                  </w:r>
                </w:p>
              </w:tc>
              <w:tc>
                <w:tcPr>
                  <w:tcW w:w="3452" w:type="pct"/>
                  <w:tcBorders>
                    <w:top w:val="single" w:color="auto" w:sz="4" w:space="0"/>
                    <w:left w:val="single" w:color="auto" w:sz="4" w:space="0"/>
                    <w:bottom w:val="single" w:color="auto" w:sz="4" w:space="0"/>
                    <w:right w:val="single" w:color="auto" w:sz="4" w:space="0"/>
                  </w:tcBorders>
                  <w:vAlign w:val="center"/>
                </w:tcPr>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①燃气使用前应检查阀门、胶管是否连接牢固。</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②定期（至少每年一次）对天然气管道进行定期维护，有泄漏现象和迹象的部位及时采取处理措施；漏气检查严禁使用明火照亮，一般可采用涂肥皂水的方法进行检查：用肥皂水涂阀门、管口连接部位、胶管接头、气门等部位，如发现某个部位出现连续冒泡现象即可判断为漏气，这时应立即关闭阀门，及时报修，以免发生意外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生产区</w:t>
                  </w:r>
                </w:p>
              </w:tc>
              <w:tc>
                <w:tcPr>
                  <w:tcW w:w="49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食用油、天然气等</w:t>
                  </w:r>
                </w:p>
              </w:tc>
              <w:tc>
                <w:tcPr>
                  <w:tcW w:w="51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火灾、爆炸次生污染</w:t>
                  </w:r>
                </w:p>
              </w:tc>
              <w:tc>
                <w:tcPr>
                  <w:tcW w:w="3452" w:type="pct"/>
                  <w:tcBorders>
                    <w:top w:val="single" w:color="auto" w:sz="4" w:space="0"/>
                    <w:left w:val="single" w:color="auto" w:sz="4" w:space="0"/>
                    <w:bottom w:val="single" w:color="auto" w:sz="4" w:space="0"/>
                    <w:right w:val="single" w:color="auto" w:sz="4" w:space="0"/>
                  </w:tcBorders>
                  <w:vAlign w:val="center"/>
                </w:tcPr>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①配备消防设备和消防器材，并要定期检查；</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②食用油储罐必须远离动火点，且保证储存地点通风良好，现场设置明显、醒目的安全标志、禁令、警语和告示牌；生产区应划分禁火区和固定动火区，并设置明显的标识。</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③对设备、管线等定期检查、保养、维修。电器线路定期进行检查、维修、保养。</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③当厂区发生火灾时，若火源较小且易控时，由事故第一发现人立即进行应急处置，使用便携式灭火器灭火，须确保火源已被完全扑灭后，立即向上级汇报，并立即组织人员排查厂区其他火灾风险源。</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④当火灾事故超出现场人员或厂区的控制能力后，立即向消防队请求支援。专人至厂区外道路或厂区入口指引消防车辆进入事故现场，立即转移事故现场周边一切助燃物物质，控制火势的发展。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污水处理站</w:t>
                  </w:r>
                </w:p>
              </w:tc>
              <w:tc>
                <w:tcPr>
                  <w:tcW w:w="49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废水</w:t>
                  </w:r>
                </w:p>
              </w:tc>
              <w:tc>
                <w:tcPr>
                  <w:tcW w:w="51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事故排放</w:t>
                  </w:r>
                </w:p>
              </w:tc>
              <w:tc>
                <w:tcPr>
                  <w:tcW w:w="3452" w:type="pct"/>
                  <w:tcBorders>
                    <w:top w:val="single" w:color="auto" w:sz="4" w:space="0"/>
                    <w:left w:val="single" w:color="auto" w:sz="4" w:space="0"/>
                    <w:bottom w:val="single" w:color="auto" w:sz="4" w:space="0"/>
                    <w:right w:val="single" w:color="auto" w:sz="4" w:space="0"/>
                  </w:tcBorders>
                  <w:vAlign w:val="center"/>
                </w:tcPr>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①当污水处理系统出现故障时，应停止废水外排，同时充分利用各池体剩余容量暂存废水，避免事故废水排放。</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②废水处理设施应有备用电源，避免因停电造成污水处理设备停运事故。相关的水泵应有备用的应急泵，以防止相关水泵的械故障导致无法处理污水。</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③加强机械设备定期检查和维护，要求污水处理人员加强对设备检查频次，定期维护，发现隐患马上及时有效解决，提高设备完好率和运行率，避免出现故障后才停机维修，影响污水系统的正常运行。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油烟净化器、除臭设施</w:t>
                  </w:r>
                </w:p>
              </w:tc>
              <w:tc>
                <w:tcPr>
                  <w:tcW w:w="49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废气</w:t>
                  </w:r>
                </w:p>
              </w:tc>
              <w:tc>
                <w:tcPr>
                  <w:tcW w:w="516" w:type="pct"/>
                  <w:tcBorders>
                    <w:top w:val="single" w:color="auto" w:sz="4" w:space="0"/>
                    <w:left w:val="single" w:color="auto" w:sz="4" w:space="0"/>
                    <w:bottom w:val="single" w:color="auto" w:sz="4" w:space="0"/>
                    <w:right w:val="single" w:color="auto" w:sz="4" w:space="0"/>
                  </w:tcBorders>
                  <w:vAlign w:val="center"/>
                </w:tcPr>
                <w:p>
                  <w:pPr>
                    <w:ind w:right="-80" w:rightChars="-3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事故排放</w:t>
                  </w:r>
                </w:p>
              </w:tc>
              <w:tc>
                <w:tcPr>
                  <w:tcW w:w="3452" w:type="pct"/>
                  <w:tcBorders>
                    <w:top w:val="single" w:color="auto" w:sz="4" w:space="0"/>
                    <w:left w:val="single" w:color="auto" w:sz="4" w:space="0"/>
                    <w:bottom w:val="single" w:color="auto" w:sz="4" w:space="0"/>
                    <w:right w:val="single" w:color="auto" w:sz="4" w:space="0"/>
                  </w:tcBorders>
                  <w:vAlign w:val="center"/>
                </w:tcPr>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①选用优质设备，选择质量优良、事故率低、便于维修的产品。易损部件留有备用件，在出现事故时能及时更换。</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②现场作业人员定时记录废气处理状况，如对废气处理设施的抽风机等设备进行点检工作，并派人巡视。</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③治理设施等发生故障时，应停止生产及时维修。</w:t>
                  </w:r>
                </w:p>
                <w:p>
                  <w:pPr>
                    <w:ind w:firstLine="420" w:firstLineChars="200"/>
                    <w:jc w:val="left"/>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④定期对废气排放口的污染物浓度进行监测。</w:t>
                  </w:r>
                </w:p>
              </w:tc>
            </w:tr>
          </w:tbl>
          <w:p>
            <w:pPr>
              <w:widowControl/>
              <w:autoSpaceDE w:val="0"/>
              <w:adjustRightInd w:val="0"/>
              <w:snapToGrid w:val="0"/>
              <w:spacing w:line="360" w:lineRule="auto"/>
              <w:ind w:firstLine="482" w:firstLineChars="200"/>
              <w:jc w:val="left"/>
              <w:rPr>
                <w:rFonts w:hint="default" w:ascii="Times New Roman" w:hAnsi="Times New Roman" w:eastAsia="宋体" w:cs="Times New Roman"/>
                <w:b/>
                <w:bCs/>
                <w:color w:val="auto"/>
                <w:sz w:val="24"/>
                <w:szCs w:val="24"/>
                <w:u w:val="none"/>
              </w:rPr>
            </w:pPr>
            <w:r>
              <w:rPr>
                <w:rFonts w:hint="default" w:ascii="Times New Roman" w:hAnsi="Times New Roman" w:eastAsia="宋体" w:cs="Times New Roman"/>
                <w:b/>
                <w:bCs/>
                <w:color w:val="auto"/>
                <w:sz w:val="24"/>
                <w:szCs w:val="24"/>
                <w:u w:val="none"/>
              </w:rPr>
              <w:t>4.7.4环境风险分析结论</w:t>
            </w:r>
          </w:p>
          <w:p>
            <w:pPr>
              <w:widowControl/>
              <w:autoSpaceDE w:val="0"/>
              <w:adjustRightInd w:val="0"/>
              <w:snapToGrid w:val="0"/>
              <w:spacing w:line="360" w:lineRule="auto"/>
              <w:ind w:firstLine="480" w:firstLineChars="200"/>
              <w:jc w:val="left"/>
              <w:rPr>
                <w:rFonts w:hint="default" w:ascii="Times New Roman" w:hAnsi="Times New Roman" w:eastAsia="宋体" w:cs="Times New Roman"/>
                <w:color w:val="auto"/>
                <w:sz w:val="24"/>
                <w:szCs w:val="24"/>
                <w:u w:val="none"/>
              </w:rPr>
            </w:pPr>
            <w:r>
              <w:rPr>
                <w:rFonts w:hint="default" w:ascii="Times New Roman" w:hAnsi="Times New Roman" w:eastAsia="宋体" w:cs="Times New Roman"/>
                <w:color w:val="auto"/>
                <w:sz w:val="24"/>
                <w:szCs w:val="24"/>
                <w:u w:val="none"/>
              </w:rPr>
              <w:t>在采取上述环境风险防范措施后，本项目的环境风险影响将会大大降低，环境风险水平可接受。</w:t>
            </w:r>
          </w:p>
          <w:p>
            <w:pPr>
              <w:pStyle w:val="85"/>
              <w:ind w:firstLine="0" w:firstLineChars="0"/>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b/>
                <w:color w:val="auto"/>
                <w:sz w:val="24"/>
                <w:szCs w:val="24"/>
                <w:u w:val="none"/>
              </w:rPr>
              <w:t>4.8 环保投资估算</w:t>
            </w:r>
          </w:p>
          <w:p>
            <w:pPr>
              <w:widowControl/>
              <w:spacing w:line="360" w:lineRule="auto"/>
              <w:ind w:firstLine="480" w:firstLineChars="200"/>
              <w:jc w:val="left"/>
              <w:rPr>
                <w:rFonts w:hint="default" w:ascii="Times New Roman" w:hAnsi="Times New Roman" w:eastAsia="宋体" w:cs="Times New Roman"/>
                <w:b/>
                <w:color w:val="auto"/>
                <w:sz w:val="24"/>
                <w:szCs w:val="24"/>
                <w:u w:val="none"/>
              </w:rPr>
            </w:pPr>
            <w:r>
              <w:rPr>
                <w:rFonts w:hint="default" w:ascii="Times New Roman" w:hAnsi="Times New Roman" w:eastAsia="宋体" w:cs="Times New Roman"/>
                <w:color w:val="auto"/>
                <w:sz w:val="24"/>
                <w:szCs w:val="24"/>
                <w:u w:val="none"/>
              </w:rPr>
              <w:t>本项目总投资2300万元，其中环保投资138万元，占总投资的6%，具体环保投资内容见表4.8-1。</w:t>
            </w:r>
          </w:p>
          <w:p>
            <w:pPr>
              <w:jc w:val="center"/>
              <w:rPr>
                <w:rFonts w:hint="default" w:ascii="Times New Roman" w:hAnsi="Times New Roman" w:eastAsia="宋体" w:cs="Times New Roman"/>
                <w:b/>
                <w:color w:val="auto"/>
                <w:spacing w:val="4"/>
                <w:sz w:val="24"/>
                <w:szCs w:val="24"/>
                <w:u w:val="none"/>
              </w:rPr>
            </w:pPr>
            <w:r>
              <w:rPr>
                <w:rFonts w:hint="default" w:ascii="Times New Roman" w:hAnsi="Times New Roman" w:eastAsia="宋体" w:cs="Times New Roman"/>
                <w:b/>
                <w:color w:val="auto"/>
                <w:spacing w:val="4"/>
                <w:sz w:val="24"/>
                <w:szCs w:val="24"/>
                <w:u w:val="none"/>
              </w:rPr>
              <w:t>表4.8-1  环保投资内容</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509"/>
              <w:gridCol w:w="4252"/>
              <w:gridCol w:w="1398"/>
              <w:gridCol w:w="1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污染类型</w:t>
                  </w:r>
                </w:p>
              </w:tc>
              <w:tc>
                <w:tcPr>
                  <w:tcW w:w="805"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污染源</w:t>
                  </w:r>
                </w:p>
              </w:tc>
              <w:tc>
                <w:tcPr>
                  <w:tcW w:w="226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防治措施</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预计投资（万元）</w:t>
                  </w:r>
                </w:p>
              </w:tc>
              <w:tc>
                <w:tcPr>
                  <w:tcW w:w="739" w:type="pct"/>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b/>
                      <w:color w:val="auto"/>
                      <w:sz w:val="21"/>
                      <w:szCs w:val="21"/>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废气</w:t>
                  </w:r>
                </w:p>
              </w:tc>
              <w:tc>
                <w:tcPr>
                  <w:tcW w:w="805"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蒸汽发生器废气</w:t>
                  </w:r>
                </w:p>
              </w:tc>
              <w:tc>
                <w:tcPr>
                  <w:tcW w:w="226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低氮燃烧+21m排气筒</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continue"/>
                  <w:vAlign w:val="center"/>
                </w:tcPr>
                <w:p>
                  <w:pPr>
                    <w:jc w:val="center"/>
                    <w:rPr>
                      <w:rFonts w:hint="default" w:ascii="Times New Roman" w:hAnsi="Times New Roman" w:eastAsia="宋体" w:cs="Times New Roman"/>
                      <w:color w:val="auto"/>
                      <w:sz w:val="21"/>
                      <w:szCs w:val="21"/>
                      <w:u w:val="none"/>
                    </w:rPr>
                  </w:pPr>
                </w:p>
              </w:tc>
              <w:tc>
                <w:tcPr>
                  <w:tcW w:w="805"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车间炒制油烟</w:t>
                  </w:r>
                </w:p>
              </w:tc>
              <w:tc>
                <w:tcPr>
                  <w:tcW w:w="226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两级高效静电式油烟净化器+1</w:t>
                  </w:r>
                  <w:r>
                    <w:rPr>
                      <w:rFonts w:hint="eastAsia" w:ascii="Times New Roman" w:hAnsi="Times New Roman" w:eastAsia="宋体" w:cs="Times New Roman"/>
                      <w:color w:val="auto"/>
                      <w:sz w:val="21"/>
                      <w:szCs w:val="21"/>
                      <w:u w:val="none"/>
                      <w:lang w:val="en-US" w:eastAsia="zh-CN"/>
                    </w:rPr>
                    <w:t>5</w:t>
                  </w:r>
                  <w:r>
                    <w:rPr>
                      <w:rFonts w:hint="default" w:ascii="Times New Roman" w:hAnsi="Times New Roman" w:eastAsia="宋体" w:cs="Times New Roman"/>
                      <w:color w:val="auto"/>
                      <w:sz w:val="21"/>
                      <w:szCs w:val="21"/>
                      <w:u w:val="none"/>
                    </w:rPr>
                    <w:t>m排气筒</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continue"/>
                  <w:vAlign w:val="center"/>
                </w:tcPr>
                <w:p>
                  <w:pPr>
                    <w:jc w:val="center"/>
                    <w:rPr>
                      <w:rFonts w:hint="default" w:ascii="Times New Roman" w:hAnsi="Times New Roman" w:eastAsia="宋体" w:cs="Times New Roman"/>
                      <w:color w:val="auto"/>
                      <w:sz w:val="21"/>
                      <w:szCs w:val="21"/>
                      <w:u w:val="none"/>
                    </w:rPr>
                  </w:pPr>
                </w:p>
              </w:tc>
              <w:tc>
                <w:tcPr>
                  <w:tcW w:w="805"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食堂油烟</w:t>
                  </w:r>
                </w:p>
              </w:tc>
              <w:tc>
                <w:tcPr>
                  <w:tcW w:w="226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静电油烟净化器+屋顶排放（</w:t>
                  </w:r>
                  <w:r>
                    <w:rPr>
                      <w:rFonts w:hint="eastAsia" w:ascii="Times New Roman" w:hAnsi="Times New Roman" w:eastAsia="宋体" w:cs="Times New Roman"/>
                      <w:color w:val="auto"/>
                      <w:sz w:val="21"/>
                      <w:szCs w:val="21"/>
                      <w:u w:val="none"/>
                      <w:lang w:val="en-US" w:eastAsia="zh-CN"/>
                    </w:rPr>
                    <w:t>9</w:t>
                  </w:r>
                  <w:r>
                    <w:rPr>
                      <w:rFonts w:hint="default" w:ascii="Times New Roman" w:hAnsi="Times New Roman" w:eastAsia="宋体" w:cs="Times New Roman"/>
                      <w:color w:val="auto"/>
                      <w:sz w:val="21"/>
                      <w:szCs w:val="21"/>
                      <w:u w:val="none"/>
                    </w:rPr>
                    <w:t>m）</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continue"/>
                  <w:vAlign w:val="center"/>
                </w:tcPr>
                <w:p>
                  <w:pPr>
                    <w:jc w:val="center"/>
                    <w:rPr>
                      <w:rFonts w:hint="default" w:ascii="Times New Roman" w:hAnsi="Times New Roman" w:eastAsia="宋体" w:cs="Times New Roman"/>
                      <w:color w:val="auto"/>
                      <w:sz w:val="21"/>
                      <w:szCs w:val="21"/>
                      <w:u w:val="none"/>
                    </w:rPr>
                  </w:pPr>
                </w:p>
              </w:tc>
              <w:tc>
                <w:tcPr>
                  <w:tcW w:w="805" w:type="pct"/>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污水处理站臭气</w:t>
                  </w:r>
                </w:p>
              </w:tc>
              <w:tc>
                <w:tcPr>
                  <w:tcW w:w="226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kern w:val="0"/>
                      <w:sz w:val="21"/>
                      <w:szCs w:val="21"/>
                      <w:u w:val="none"/>
                    </w:rPr>
                    <w:t>污水池密闭负压收集+“二级喷淋+生物滤池”+15m排气筒</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continue"/>
                  <w:vAlign w:val="center"/>
                </w:tcPr>
                <w:p>
                  <w:pPr>
                    <w:jc w:val="center"/>
                    <w:rPr>
                      <w:rFonts w:hint="default" w:ascii="Times New Roman" w:hAnsi="Times New Roman" w:eastAsia="宋体" w:cs="Times New Roman"/>
                      <w:color w:val="auto"/>
                      <w:sz w:val="21"/>
                      <w:szCs w:val="21"/>
                      <w:u w:val="none"/>
                    </w:rPr>
                  </w:pPr>
                </w:p>
              </w:tc>
              <w:tc>
                <w:tcPr>
                  <w:tcW w:w="805" w:type="pct"/>
                  <w:vMerge w:val="continue"/>
                  <w:vAlign w:val="center"/>
                </w:tcPr>
                <w:p>
                  <w:pPr>
                    <w:jc w:val="center"/>
                    <w:rPr>
                      <w:rFonts w:hint="default" w:ascii="Times New Roman" w:hAnsi="Times New Roman" w:eastAsia="宋体" w:cs="Times New Roman"/>
                      <w:color w:val="auto"/>
                      <w:sz w:val="21"/>
                      <w:szCs w:val="21"/>
                      <w:u w:val="none"/>
                    </w:rPr>
                  </w:pPr>
                </w:p>
              </w:tc>
              <w:tc>
                <w:tcPr>
                  <w:tcW w:w="2269" w:type="pct"/>
                  <w:vAlign w:val="center"/>
                </w:tcPr>
                <w:p>
                  <w:pPr>
                    <w:jc w:val="center"/>
                    <w:rPr>
                      <w:rFonts w:hint="default" w:ascii="Times New Roman" w:hAnsi="Times New Roman" w:eastAsia="宋体" w:cs="Times New Roman"/>
                      <w:color w:val="auto"/>
                      <w:kern w:val="0"/>
                      <w:sz w:val="21"/>
                      <w:szCs w:val="21"/>
                      <w:u w:val="none"/>
                    </w:rPr>
                  </w:pPr>
                  <w:r>
                    <w:rPr>
                      <w:rFonts w:hint="default" w:ascii="Times New Roman" w:hAnsi="Times New Roman" w:eastAsia="宋体" w:cs="Times New Roman"/>
                      <w:color w:val="auto"/>
                      <w:kern w:val="0"/>
                      <w:sz w:val="21"/>
                      <w:szCs w:val="21"/>
                      <w:u w:val="none"/>
                    </w:rPr>
                    <w:t>喷洒除臭剂、加强绿化</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continue"/>
                  <w:vAlign w:val="center"/>
                </w:tcPr>
                <w:p>
                  <w:pPr>
                    <w:jc w:val="center"/>
                    <w:rPr>
                      <w:rFonts w:hint="default" w:ascii="Times New Roman" w:hAnsi="Times New Roman" w:eastAsia="宋体" w:cs="Times New Roman"/>
                      <w:color w:val="auto"/>
                      <w:sz w:val="21"/>
                      <w:szCs w:val="21"/>
                      <w:u w:val="none"/>
                    </w:rPr>
                  </w:pPr>
                </w:p>
              </w:tc>
              <w:tc>
                <w:tcPr>
                  <w:tcW w:w="805" w:type="pct"/>
                  <w:vAlign w:val="center"/>
                </w:tcPr>
                <w:p>
                  <w:pPr>
                    <w:jc w:val="center"/>
                    <w:rPr>
                      <w:rFonts w:hint="eastAsia"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rPr>
                    <w:t>车间异味、搅拌粉尘</w:t>
                  </w:r>
                  <w:r>
                    <w:rPr>
                      <w:rFonts w:hint="eastAsia"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 w:val="21"/>
                      <w:szCs w:val="21"/>
                      <w:u w:val="none"/>
                    </w:rPr>
                    <w:t>打码废气、检验废气</w:t>
                  </w:r>
                </w:p>
              </w:tc>
              <w:tc>
                <w:tcPr>
                  <w:tcW w:w="2269"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rPr>
                    <w:t>设排风扇加强通风</w:t>
                  </w:r>
                </w:p>
              </w:tc>
              <w:tc>
                <w:tcPr>
                  <w:tcW w:w="746" w:type="pct"/>
                  <w:shd w:val="clear" w:color="auto" w:fill="auto"/>
                  <w:vAlign w:val="center"/>
                </w:tcPr>
                <w:p>
                  <w:pPr>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rPr>
                    <w:t>0.3</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废水</w:t>
                  </w:r>
                </w:p>
              </w:tc>
              <w:tc>
                <w:tcPr>
                  <w:tcW w:w="805"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生产废水</w:t>
                  </w:r>
                </w:p>
              </w:tc>
              <w:tc>
                <w:tcPr>
                  <w:tcW w:w="226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污水处理站，工艺为“</w:t>
                  </w:r>
                  <w:r>
                    <w:rPr>
                      <w:rFonts w:hint="eastAsia" w:ascii="Times New Roman" w:hAnsi="Times New Roman" w:eastAsia="宋体" w:cs="Times New Roman"/>
                      <w:color w:val="auto"/>
                      <w:sz w:val="21"/>
                      <w:szCs w:val="21"/>
                      <w:u w:val="none"/>
                      <w:lang w:eastAsia="zh-CN"/>
                    </w:rPr>
                    <w:t>格栅+隔油+调节+气浮</w:t>
                  </w:r>
                  <w:r>
                    <w:rPr>
                      <w:rFonts w:hint="default" w:ascii="Times New Roman" w:hAnsi="Times New Roman" w:eastAsia="宋体" w:cs="Times New Roman"/>
                      <w:color w:val="auto"/>
                      <w:sz w:val="21"/>
                      <w:szCs w:val="21"/>
                      <w:u w:val="none"/>
                      <w:lang w:eastAsia="zh-CN"/>
                    </w:rPr>
                    <w:t>+A</w:t>
                  </w:r>
                  <w:r>
                    <w:rPr>
                      <w:rFonts w:hint="eastAsia" w:ascii="Times New Roman" w:hAnsi="Times New Roman" w:eastAsia="宋体" w:cs="Times New Roman"/>
                      <w:color w:val="auto"/>
                      <w:sz w:val="21"/>
                      <w:szCs w:val="21"/>
                      <w:u w:val="none"/>
                      <w:vertAlign w:val="superscript"/>
                      <w:lang w:val="en-US" w:eastAsia="zh-CN"/>
                    </w:rPr>
                    <w:t>2</w:t>
                  </w:r>
                  <w:r>
                    <w:rPr>
                      <w:rFonts w:hint="default" w:ascii="Times New Roman" w:hAnsi="Times New Roman" w:eastAsia="宋体" w:cs="Times New Roman"/>
                      <w:color w:val="auto"/>
                      <w:sz w:val="21"/>
                      <w:szCs w:val="21"/>
                      <w:u w:val="none"/>
                      <w:lang w:eastAsia="zh-CN"/>
                    </w:rPr>
                    <w:t>O+二沉</w:t>
                  </w:r>
                  <w:r>
                    <w:rPr>
                      <w:rFonts w:hint="default" w:ascii="Times New Roman" w:hAnsi="Times New Roman" w:eastAsia="宋体" w:cs="Times New Roman"/>
                      <w:color w:val="auto"/>
                      <w:sz w:val="21"/>
                      <w:szCs w:val="21"/>
                      <w:u w:val="none"/>
                    </w:rPr>
                    <w:t>”，设计规模360m</w:t>
                  </w:r>
                  <w:r>
                    <w:rPr>
                      <w:rFonts w:hint="default" w:ascii="Times New Roman" w:hAnsi="Times New Roman" w:eastAsia="宋体" w:cs="Times New Roman"/>
                      <w:color w:val="auto"/>
                      <w:sz w:val="21"/>
                      <w:szCs w:val="21"/>
                      <w:u w:val="none"/>
                      <w:vertAlign w:val="superscript"/>
                    </w:rPr>
                    <w:t>3</w:t>
                  </w:r>
                  <w:r>
                    <w:rPr>
                      <w:rFonts w:hint="default" w:ascii="Times New Roman" w:hAnsi="Times New Roman" w:eastAsia="宋体" w:cs="Times New Roman"/>
                      <w:color w:val="auto"/>
                      <w:sz w:val="21"/>
                      <w:szCs w:val="21"/>
                      <w:u w:val="none"/>
                    </w:rPr>
                    <w:t>/d</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100</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continue"/>
                  <w:vAlign w:val="center"/>
                </w:tcPr>
                <w:p>
                  <w:pPr>
                    <w:jc w:val="center"/>
                    <w:rPr>
                      <w:rFonts w:hint="default" w:ascii="Times New Roman" w:hAnsi="Times New Roman" w:eastAsia="宋体" w:cs="Times New Roman"/>
                      <w:color w:val="auto"/>
                      <w:sz w:val="21"/>
                      <w:szCs w:val="21"/>
                      <w:u w:val="none"/>
                    </w:rPr>
                  </w:pPr>
                </w:p>
              </w:tc>
              <w:tc>
                <w:tcPr>
                  <w:tcW w:w="805"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质检废水</w:t>
                  </w:r>
                </w:p>
              </w:tc>
              <w:tc>
                <w:tcPr>
                  <w:tcW w:w="226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化粪池（已有）</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w:t>
                  </w:r>
                </w:p>
              </w:tc>
              <w:tc>
                <w:tcPr>
                  <w:tcW w:w="739" w:type="pct"/>
                  <w:vMerge w:val="restart"/>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化粪池依托厂区现有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continue"/>
                  <w:vAlign w:val="center"/>
                </w:tcPr>
                <w:p>
                  <w:pPr>
                    <w:jc w:val="center"/>
                    <w:rPr>
                      <w:rFonts w:hint="default" w:ascii="Times New Roman" w:hAnsi="Times New Roman" w:eastAsia="宋体" w:cs="Times New Roman"/>
                      <w:color w:val="auto"/>
                      <w:sz w:val="21"/>
                      <w:szCs w:val="21"/>
                      <w:u w:val="none"/>
                    </w:rPr>
                  </w:pPr>
                </w:p>
              </w:tc>
              <w:tc>
                <w:tcPr>
                  <w:tcW w:w="805"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生活污水</w:t>
                  </w:r>
                </w:p>
              </w:tc>
              <w:tc>
                <w:tcPr>
                  <w:tcW w:w="226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隔油池（新增）、化粪池（已有）</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0.5</w:t>
                  </w:r>
                </w:p>
              </w:tc>
              <w:tc>
                <w:tcPr>
                  <w:tcW w:w="739" w:type="pct"/>
                  <w:vMerge w:val="continue"/>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噪声</w:t>
                  </w:r>
                </w:p>
              </w:tc>
              <w:tc>
                <w:tcPr>
                  <w:tcW w:w="805"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设备噪声</w:t>
                  </w:r>
                </w:p>
              </w:tc>
              <w:tc>
                <w:tcPr>
                  <w:tcW w:w="2269"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低噪声设备、隔声门窗、减震垫基座、墙体隔声、消声器</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5</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restar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固废</w:t>
                  </w:r>
                </w:p>
              </w:tc>
              <w:tc>
                <w:tcPr>
                  <w:tcW w:w="805" w:type="pct"/>
                  <w:vAlign w:val="center"/>
                </w:tcPr>
                <w:p>
                  <w:pPr>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一般固废</w:t>
                  </w:r>
                </w:p>
              </w:tc>
              <w:tc>
                <w:tcPr>
                  <w:tcW w:w="2269" w:type="pct"/>
                  <w:vAlign w:val="center"/>
                </w:tcPr>
                <w:p>
                  <w:pPr>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一般固废间</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continue"/>
                  <w:vAlign w:val="center"/>
                </w:tcPr>
                <w:p>
                  <w:pPr>
                    <w:jc w:val="center"/>
                    <w:rPr>
                      <w:rFonts w:hint="default" w:ascii="Times New Roman" w:hAnsi="Times New Roman" w:eastAsia="宋体" w:cs="Times New Roman"/>
                      <w:color w:val="auto"/>
                      <w:sz w:val="21"/>
                      <w:szCs w:val="21"/>
                      <w:u w:val="none"/>
                    </w:rPr>
                  </w:pPr>
                </w:p>
              </w:tc>
              <w:tc>
                <w:tcPr>
                  <w:tcW w:w="805" w:type="pct"/>
                  <w:vAlign w:val="center"/>
                </w:tcPr>
                <w:p>
                  <w:pPr>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危险废物</w:t>
                  </w:r>
                </w:p>
              </w:tc>
              <w:tc>
                <w:tcPr>
                  <w:tcW w:w="2269" w:type="pct"/>
                  <w:vAlign w:val="center"/>
                </w:tcPr>
                <w:p>
                  <w:pPr>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危废间、地面防渗</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9" w:type="pct"/>
                  <w:vMerge w:val="continue"/>
                  <w:vAlign w:val="center"/>
                </w:tcPr>
                <w:p>
                  <w:pPr>
                    <w:jc w:val="center"/>
                    <w:rPr>
                      <w:rFonts w:hint="default" w:ascii="Times New Roman" w:hAnsi="Times New Roman" w:eastAsia="宋体" w:cs="Times New Roman"/>
                      <w:color w:val="auto"/>
                      <w:sz w:val="21"/>
                      <w:szCs w:val="21"/>
                      <w:u w:val="none"/>
                    </w:rPr>
                  </w:pPr>
                </w:p>
              </w:tc>
              <w:tc>
                <w:tcPr>
                  <w:tcW w:w="805" w:type="pct"/>
                  <w:vAlign w:val="center"/>
                </w:tcPr>
                <w:p>
                  <w:pPr>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生活垃圾</w:t>
                  </w:r>
                </w:p>
              </w:tc>
              <w:tc>
                <w:tcPr>
                  <w:tcW w:w="2269" w:type="pct"/>
                  <w:vAlign w:val="center"/>
                </w:tcPr>
                <w:p>
                  <w:pPr>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垃圾桶</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0.2</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4" w:type="pct"/>
                  <w:gridSpan w:val="2"/>
                  <w:vAlign w:val="center"/>
                </w:tcPr>
                <w:p>
                  <w:pPr>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地下水、土壤、风险</w:t>
                  </w:r>
                </w:p>
              </w:tc>
              <w:tc>
                <w:tcPr>
                  <w:tcW w:w="2269" w:type="pct"/>
                  <w:vAlign w:val="center"/>
                </w:tcPr>
                <w:p>
                  <w:pPr>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食用油罐设置围堰并采取防渗措施</w:t>
                  </w: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2</w:t>
                  </w:r>
                </w:p>
              </w:tc>
              <w:tc>
                <w:tcPr>
                  <w:tcW w:w="739" w:type="pct"/>
                </w:tcPr>
                <w:p>
                  <w:pPr>
                    <w:jc w:val="center"/>
                    <w:rPr>
                      <w:rFonts w:hint="default" w:ascii="Times New Roman" w:hAnsi="Times New Roman" w:eastAsia="宋体" w:cs="Times New Roman"/>
                      <w:color w:val="auto"/>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4" w:type="pct"/>
                  <w:gridSpan w:val="2"/>
                  <w:vAlign w:val="center"/>
                </w:tcPr>
                <w:p>
                  <w:pPr>
                    <w:snapToGrid w:val="0"/>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合计</w:t>
                  </w:r>
                </w:p>
              </w:tc>
              <w:tc>
                <w:tcPr>
                  <w:tcW w:w="2269" w:type="pct"/>
                  <w:vAlign w:val="center"/>
                </w:tcPr>
                <w:p>
                  <w:pPr>
                    <w:snapToGrid w:val="0"/>
                    <w:jc w:val="center"/>
                    <w:rPr>
                      <w:rFonts w:hint="default" w:ascii="Times New Roman" w:hAnsi="Times New Roman" w:eastAsia="宋体" w:cs="Times New Roman"/>
                      <w:color w:val="auto"/>
                      <w:sz w:val="21"/>
                      <w:szCs w:val="21"/>
                      <w:u w:val="none"/>
                    </w:rPr>
                  </w:pPr>
                </w:p>
              </w:tc>
              <w:tc>
                <w:tcPr>
                  <w:tcW w:w="746" w:type="pct"/>
                  <w:vAlign w:val="center"/>
                </w:tcPr>
                <w:p>
                  <w:pPr>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138</w:t>
                  </w:r>
                </w:p>
              </w:tc>
              <w:tc>
                <w:tcPr>
                  <w:tcW w:w="739" w:type="pct"/>
                </w:tcPr>
                <w:p>
                  <w:pPr>
                    <w:jc w:val="center"/>
                    <w:rPr>
                      <w:rFonts w:hint="default" w:ascii="Times New Roman" w:hAnsi="Times New Roman" w:eastAsia="宋体" w:cs="Times New Roman"/>
                      <w:color w:val="auto"/>
                      <w:sz w:val="21"/>
                      <w:szCs w:val="21"/>
                      <w:u w:val="none"/>
                    </w:rPr>
                  </w:pPr>
                </w:p>
              </w:tc>
            </w:tr>
          </w:tbl>
          <w:p>
            <w:pPr>
              <w:tabs>
                <w:tab w:val="left" w:pos="539"/>
              </w:tabs>
              <w:snapToGrid w:val="0"/>
              <w:spacing w:line="360" w:lineRule="auto"/>
              <w:jc w:val="left"/>
              <w:rPr>
                <w:rFonts w:hint="default" w:ascii="Times New Roman" w:hAnsi="Times New Roman" w:eastAsia="宋体" w:cs="Times New Roman"/>
                <w:b/>
                <w:bCs/>
                <w:color w:val="auto"/>
                <w:sz w:val="24"/>
                <w:szCs w:val="24"/>
                <w:u w:val="none"/>
              </w:rPr>
            </w:pPr>
          </w:p>
        </w:tc>
      </w:tr>
    </w:tbl>
    <w:p>
      <w:pPr>
        <w:adjustRightInd w:val="0"/>
        <w:snapToGrid w:val="0"/>
        <w:spacing w:line="360" w:lineRule="auto"/>
        <w:rPr>
          <w:b/>
          <w:color w:val="auto"/>
          <w:kern w:val="0"/>
          <w:sz w:val="28"/>
          <w:szCs w:val="28"/>
          <w:u w:val="none"/>
        </w:rPr>
        <w:sectPr>
          <w:pgSz w:w="11907" w:h="16840"/>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r>
        <w:rPr>
          <w:b/>
          <w:color w:val="auto"/>
          <w:kern w:val="0"/>
          <w:sz w:val="28"/>
          <w:szCs w:val="28"/>
          <w:u w:val="none"/>
        </w:rPr>
        <w:br w:type="textWrapping" w:clear="all"/>
      </w:r>
    </w:p>
    <w:p>
      <w:pPr>
        <w:pStyle w:val="23"/>
        <w:jc w:val="center"/>
        <w:outlineLvl w:val="0"/>
        <w:rPr>
          <w:rFonts w:ascii="Times New Roman" w:hAnsi="Times New Roman"/>
          <w:snapToGrid w:val="0"/>
          <w:color w:val="auto"/>
          <w:sz w:val="30"/>
          <w:szCs w:val="30"/>
          <w:u w:val="none"/>
        </w:rPr>
      </w:pPr>
      <w:bookmarkStart w:id="13" w:name="_Toc381"/>
      <w:r>
        <w:rPr>
          <w:rFonts w:ascii="Times New Roman" w:hAnsi="Times New Roman"/>
          <w:snapToGrid w:val="0"/>
          <w:color w:val="auto"/>
          <w:sz w:val="30"/>
          <w:szCs w:val="30"/>
          <w:u w:val="none"/>
        </w:rPr>
        <w:t>五、</w:t>
      </w:r>
      <w:bookmarkStart w:id="14" w:name="_Hlk54167917"/>
      <w:r>
        <w:rPr>
          <w:rFonts w:ascii="Times New Roman" w:hAnsi="Times New Roman"/>
          <w:snapToGrid w:val="0"/>
          <w:color w:val="auto"/>
          <w:sz w:val="30"/>
          <w:szCs w:val="30"/>
          <w:u w:val="none"/>
        </w:rPr>
        <w:t>环境保护措施监督检查清单</w:t>
      </w:r>
      <w:bookmarkEnd w:id="13"/>
      <w:bookmarkEnd w:id="14"/>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1843"/>
        <w:gridCol w:w="1417"/>
        <w:gridCol w:w="1985"/>
        <w:gridCol w:w="2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tcBorders>
              <w:tl2br w:val="single" w:color="auto" w:sz="4" w:space="0"/>
            </w:tcBorders>
            <w:vAlign w:val="center"/>
          </w:tcPr>
          <w:p>
            <w:pPr>
              <w:adjustRightInd w:val="0"/>
              <w:snapToGrid w:val="0"/>
              <w:jc w:val="center"/>
              <w:rPr>
                <w:color w:val="auto"/>
                <w:sz w:val="24"/>
                <w:u w:val="none"/>
              </w:rPr>
            </w:pPr>
            <w:r>
              <w:rPr>
                <w:rFonts w:hint="eastAsia"/>
                <w:color w:val="auto"/>
                <w:sz w:val="24"/>
                <w:u w:val="none"/>
              </w:rPr>
              <w:t xml:space="preserve"> </w:t>
            </w:r>
            <w:r>
              <w:rPr>
                <w:color w:val="auto"/>
                <w:sz w:val="24"/>
                <w:u w:val="none"/>
              </w:rPr>
              <w:t xml:space="preserve">   内容</w:t>
            </w:r>
          </w:p>
          <w:p>
            <w:pPr>
              <w:adjustRightInd w:val="0"/>
              <w:snapToGrid w:val="0"/>
              <w:rPr>
                <w:color w:val="auto"/>
                <w:sz w:val="24"/>
                <w:u w:val="none"/>
              </w:rPr>
            </w:pPr>
            <w:r>
              <w:rPr>
                <w:color w:val="auto"/>
                <w:sz w:val="24"/>
                <w:u w:val="none"/>
              </w:rPr>
              <w:t>要素</w:t>
            </w:r>
          </w:p>
        </w:tc>
        <w:tc>
          <w:tcPr>
            <w:tcW w:w="1843" w:type="dxa"/>
            <w:vAlign w:val="center"/>
          </w:tcPr>
          <w:p>
            <w:pPr>
              <w:adjustRightInd w:val="0"/>
              <w:snapToGrid w:val="0"/>
              <w:jc w:val="center"/>
              <w:rPr>
                <w:color w:val="auto"/>
                <w:sz w:val="24"/>
                <w:u w:val="none"/>
              </w:rPr>
            </w:pPr>
            <w:r>
              <w:rPr>
                <w:color w:val="auto"/>
                <w:sz w:val="24"/>
                <w:u w:val="none"/>
              </w:rPr>
              <w:t>排放口(编号、</w:t>
            </w:r>
          </w:p>
          <w:p>
            <w:pPr>
              <w:adjustRightInd w:val="0"/>
              <w:snapToGrid w:val="0"/>
              <w:jc w:val="center"/>
              <w:rPr>
                <w:color w:val="auto"/>
                <w:sz w:val="24"/>
                <w:u w:val="none"/>
              </w:rPr>
            </w:pPr>
            <w:r>
              <w:rPr>
                <w:color w:val="auto"/>
                <w:sz w:val="24"/>
                <w:u w:val="none"/>
              </w:rPr>
              <w:t>名称)/污染源</w:t>
            </w:r>
          </w:p>
        </w:tc>
        <w:tc>
          <w:tcPr>
            <w:tcW w:w="1417" w:type="dxa"/>
            <w:vAlign w:val="center"/>
          </w:tcPr>
          <w:p>
            <w:pPr>
              <w:adjustRightInd w:val="0"/>
              <w:snapToGrid w:val="0"/>
              <w:jc w:val="center"/>
              <w:rPr>
                <w:color w:val="auto"/>
                <w:sz w:val="24"/>
                <w:u w:val="none"/>
              </w:rPr>
            </w:pPr>
            <w:r>
              <w:rPr>
                <w:color w:val="auto"/>
                <w:sz w:val="24"/>
                <w:u w:val="none"/>
              </w:rPr>
              <w:t>污染物项目</w:t>
            </w:r>
          </w:p>
        </w:tc>
        <w:tc>
          <w:tcPr>
            <w:tcW w:w="1985" w:type="dxa"/>
            <w:vAlign w:val="center"/>
          </w:tcPr>
          <w:p>
            <w:pPr>
              <w:adjustRightInd w:val="0"/>
              <w:snapToGrid w:val="0"/>
              <w:jc w:val="center"/>
              <w:rPr>
                <w:color w:val="auto"/>
                <w:sz w:val="24"/>
                <w:u w:val="none"/>
              </w:rPr>
            </w:pPr>
            <w:r>
              <w:rPr>
                <w:color w:val="auto"/>
                <w:sz w:val="24"/>
                <w:u w:val="none"/>
              </w:rPr>
              <w:t>环境保护措施</w:t>
            </w:r>
          </w:p>
        </w:tc>
        <w:tc>
          <w:tcPr>
            <w:tcW w:w="2289" w:type="dxa"/>
            <w:vAlign w:val="center"/>
          </w:tcPr>
          <w:p>
            <w:pPr>
              <w:adjustRightInd w:val="0"/>
              <w:snapToGrid w:val="0"/>
              <w:jc w:val="center"/>
              <w:rPr>
                <w:color w:val="auto"/>
                <w:sz w:val="24"/>
                <w:u w:val="none"/>
              </w:rPr>
            </w:pPr>
            <w:r>
              <w:rPr>
                <w:color w:val="auto"/>
                <w:sz w:val="24"/>
                <w:u w:val="none"/>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restart"/>
            <w:vAlign w:val="center"/>
          </w:tcPr>
          <w:p>
            <w:pPr>
              <w:adjustRightInd w:val="0"/>
              <w:snapToGrid w:val="0"/>
              <w:jc w:val="center"/>
              <w:rPr>
                <w:color w:val="auto"/>
                <w:sz w:val="24"/>
                <w:u w:val="none"/>
              </w:rPr>
            </w:pPr>
            <w:r>
              <w:rPr>
                <w:rFonts w:hint="eastAsia"/>
                <w:color w:val="auto"/>
                <w:sz w:val="24"/>
                <w:u w:val="none"/>
              </w:rPr>
              <w:t>大气环境</w:t>
            </w:r>
          </w:p>
        </w:tc>
        <w:tc>
          <w:tcPr>
            <w:tcW w:w="1843" w:type="dxa"/>
            <w:vAlign w:val="center"/>
          </w:tcPr>
          <w:p>
            <w:pPr>
              <w:adjustRightInd w:val="0"/>
              <w:snapToGrid w:val="0"/>
              <w:jc w:val="center"/>
              <w:rPr>
                <w:color w:val="auto"/>
                <w:sz w:val="24"/>
                <w:u w:val="none"/>
              </w:rPr>
            </w:pPr>
            <w:r>
              <w:rPr>
                <w:rFonts w:hint="eastAsia"/>
                <w:color w:val="auto"/>
                <w:sz w:val="24"/>
                <w:u w:val="none"/>
              </w:rPr>
              <w:t>蒸汽发生器废气（DA001）</w:t>
            </w:r>
          </w:p>
        </w:tc>
        <w:tc>
          <w:tcPr>
            <w:tcW w:w="1417" w:type="dxa"/>
            <w:vAlign w:val="center"/>
          </w:tcPr>
          <w:p>
            <w:pPr>
              <w:adjustRightInd w:val="0"/>
              <w:snapToGrid w:val="0"/>
              <w:jc w:val="center"/>
              <w:rPr>
                <w:color w:val="auto"/>
                <w:sz w:val="24"/>
                <w:u w:val="none"/>
              </w:rPr>
            </w:pPr>
            <w:r>
              <w:rPr>
                <w:rFonts w:hint="eastAsia"/>
                <w:color w:val="auto"/>
                <w:sz w:val="24"/>
                <w:u w:val="none"/>
              </w:rPr>
              <w:t>颗粒物、S</w:t>
            </w:r>
            <w:r>
              <w:rPr>
                <w:color w:val="auto"/>
                <w:sz w:val="24"/>
                <w:u w:val="none"/>
              </w:rPr>
              <w:t>O</w:t>
            </w:r>
            <w:r>
              <w:rPr>
                <w:color w:val="auto"/>
                <w:sz w:val="24"/>
                <w:u w:val="none"/>
                <w:vertAlign w:val="subscript"/>
              </w:rPr>
              <w:t>2</w:t>
            </w:r>
            <w:r>
              <w:rPr>
                <w:rFonts w:hint="eastAsia"/>
                <w:color w:val="auto"/>
                <w:sz w:val="24"/>
                <w:u w:val="none"/>
              </w:rPr>
              <w:t>、N</w:t>
            </w:r>
            <w:r>
              <w:rPr>
                <w:color w:val="auto"/>
                <w:sz w:val="24"/>
                <w:u w:val="none"/>
              </w:rPr>
              <w:t>O</w:t>
            </w:r>
            <w:r>
              <w:rPr>
                <w:color w:val="auto"/>
                <w:sz w:val="24"/>
                <w:u w:val="none"/>
                <w:vertAlign w:val="subscript"/>
              </w:rPr>
              <w:t>X</w:t>
            </w:r>
            <w:r>
              <w:rPr>
                <w:rFonts w:hint="eastAsia"/>
                <w:color w:val="auto"/>
                <w:sz w:val="24"/>
                <w:u w:val="none"/>
              </w:rPr>
              <w:t>、烟气黑度</w:t>
            </w:r>
          </w:p>
        </w:tc>
        <w:tc>
          <w:tcPr>
            <w:tcW w:w="1985" w:type="dxa"/>
            <w:vAlign w:val="center"/>
          </w:tcPr>
          <w:p>
            <w:pPr>
              <w:adjustRightInd w:val="0"/>
              <w:snapToGrid w:val="0"/>
              <w:jc w:val="center"/>
              <w:rPr>
                <w:color w:val="auto"/>
                <w:sz w:val="24"/>
                <w:u w:val="none"/>
              </w:rPr>
            </w:pPr>
            <w:r>
              <w:rPr>
                <w:rFonts w:hint="eastAsia"/>
                <w:color w:val="auto"/>
                <w:sz w:val="24"/>
                <w:u w:val="none"/>
              </w:rPr>
              <w:t>低氮燃烧+21</w:t>
            </w:r>
            <w:r>
              <w:rPr>
                <w:color w:val="auto"/>
                <w:sz w:val="24"/>
                <w:u w:val="none"/>
              </w:rPr>
              <w:t>m</w:t>
            </w:r>
            <w:r>
              <w:rPr>
                <w:rFonts w:hint="eastAsia"/>
                <w:color w:val="auto"/>
                <w:sz w:val="24"/>
                <w:u w:val="none"/>
              </w:rPr>
              <w:t>排气筒</w:t>
            </w:r>
          </w:p>
        </w:tc>
        <w:tc>
          <w:tcPr>
            <w:tcW w:w="2289" w:type="dxa"/>
            <w:vAlign w:val="center"/>
          </w:tcPr>
          <w:p>
            <w:pPr>
              <w:adjustRightInd w:val="0"/>
              <w:snapToGrid w:val="0"/>
              <w:jc w:val="center"/>
              <w:rPr>
                <w:color w:val="auto"/>
                <w:sz w:val="24"/>
                <w:u w:val="none"/>
              </w:rPr>
            </w:pPr>
            <w:r>
              <w:rPr>
                <w:rFonts w:hint="eastAsia"/>
                <w:color w:val="auto"/>
                <w:position w:val="-10"/>
                <w:sz w:val="24"/>
                <w:u w:val="none"/>
              </w:rPr>
              <w:t>《锅炉大气污染物排放标准》（GB13271-2014）</w:t>
            </w:r>
            <w:r>
              <w:rPr>
                <w:color w:val="auto"/>
                <w:position w:val="-10"/>
                <w:sz w:val="24"/>
                <w:u w:val="none"/>
              </w:rPr>
              <w:t>表3燃气锅炉特别排放限值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continue"/>
            <w:vAlign w:val="center"/>
          </w:tcPr>
          <w:p>
            <w:pPr>
              <w:adjustRightInd w:val="0"/>
              <w:snapToGrid w:val="0"/>
              <w:jc w:val="center"/>
              <w:rPr>
                <w:color w:val="auto"/>
                <w:sz w:val="24"/>
                <w:u w:val="none"/>
              </w:rPr>
            </w:pPr>
          </w:p>
        </w:tc>
        <w:tc>
          <w:tcPr>
            <w:tcW w:w="1843" w:type="dxa"/>
            <w:vAlign w:val="center"/>
          </w:tcPr>
          <w:p>
            <w:pPr>
              <w:adjustRightInd w:val="0"/>
              <w:snapToGrid w:val="0"/>
              <w:jc w:val="center"/>
              <w:rPr>
                <w:color w:val="auto"/>
                <w:sz w:val="24"/>
                <w:u w:val="none"/>
              </w:rPr>
            </w:pPr>
            <w:r>
              <w:rPr>
                <w:rFonts w:hint="eastAsia"/>
                <w:color w:val="auto"/>
                <w:sz w:val="24"/>
                <w:u w:val="none"/>
              </w:rPr>
              <w:t>车间炒制油烟（DA002）</w:t>
            </w:r>
          </w:p>
        </w:tc>
        <w:tc>
          <w:tcPr>
            <w:tcW w:w="1417" w:type="dxa"/>
            <w:vAlign w:val="center"/>
          </w:tcPr>
          <w:p>
            <w:pPr>
              <w:adjustRightInd w:val="0"/>
              <w:snapToGrid w:val="0"/>
              <w:jc w:val="center"/>
              <w:rPr>
                <w:color w:val="auto"/>
                <w:sz w:val="24"/>
                <w:u w:val="none"/>
              </w:rPr>
            </w:pPr>
            <w:r>
              <w:rPr>
                <w:rFonts w:hint="eastAsia"/>
                <w:color w:val="auto"/>
                <w:sz w:val="24"/>
                <w:u w:val="none"/>
              </w:rPr>
              <w:t>油烟</w:t>
            </w:r>
          </w:p>
        </w:tc>
        <w:tc>
          <w:tcPr>
            <w:tcW w:w="1985" w:type="dxa"/>
            <w:vAlign w:val="center"/>
          </w:tcPr>
          <w:p>
            <w:pPr>
              <w:adjustRightInd w:val="0"/>
              <w:snapToGrid w:val="0"/>
              <w:jc w:val="center"/>
              <w:rPr>
                <w:color w:val="auto"/>
                <w:sz w:val="24"/>
                <w:u w:val="none"/>
              </w:rPr>
            </w:pPr>
            <w:r>
              <w:rPr>
                <w:color w:val="auto"/>
                <w:sz w:val="24"/>
                <w:u w:val="none"/>
              </w:rPr>
              <w:t>两级高效静电式油烟净化器+1</w:t>
            </w:r>
            <w:r>
              <w:rPr>
                <w:rFonts w:hint="eastAsia"/>
                <w:color w:val="auto"/>
                <w:sz w:val="24"/>
                <w:u w:val="none"/>
                <w:lang w:val="en-US" w:eastAsia="zh-CN"/>
              </w:rPr>
              <w:t>5</w:t>
            </w:r>
            <w:r>
              <w:rPr>
                <w:color w:val="auto"/>
                <w:sz w:val="24"/>
                <w:u w:val="none"/>
              </w:rPr>
              <w:t>m排气筒</w:t>
            </w:r>
          </w:p>
        </w:tc>
        <w:tc>
          <w:tcPr>
            <w:tcW w:w="2289" w:type="dxa"/>
            <w:vMerge w:val="restart"/>
            <w:vAlign w:val="center"/>
          </w:tcPr>
          <w:p>
            <w:pPr>
              <w:adjustRightInd w:val="0"/>
              <w:snapToGrid w:val="0"/>
              <w:jc w:val="center"/>
              <w:rPr>
                <w:color w:val="auto"/>
                <w:sz w:val="24"/>
                <w:u w:val="none"/>
              </w:rPr>
            </w:pPr>
            <w:r>
              <w:rPr>
                <w:rFonts w:hint="eastAsia"/>
                <w:color w:val="auto"/>
                <w:position w:val="-10"/>
                <w:sz w:val="24"/>
                <w:u w:val="none"/>
              </w:rPr>
              <w:t>《饮食业油烟排放标准（试行）》（GB18483-2001）表2标准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continue"/>
            <w:vAlign w:val="center"/>
          </w:tcPr>
          <w:p>
            <w:pPr>
              <w:adjustRightInd w:val="0"/>
              <w:snapToGrid w:val="0"/>
              <w:jc w:val="center"/>
              <w:rPr>
                <w:color w:val="auto"/>
                <w:sz w:val="24"/>
                <w:u w:val="none"/>
              </w:rPr>
            </w:pPr>
          </w:p>
        </w:tc>
        <w:tc>
          <w:tcPr>
            <w:tcW w:w="1843" w:type="dxa"/>
            <w:vAlign w:val="center"/>
          </w:tcPr>
          <w:p>
            <w:pPr>
              <w:adjustRightInd w:val="0"/>
              <w:snapToGrid w:val="0"/>
              <w:jc w:val="center"/>
              <w:rPr>
                <w:rFonts w:hint="eastAsia"/>
                <w:color w:val="auto"/>
                <w:sz w:val="24"/>
                <w:u w:val="none"/>
              </w:rPr>
            </w:pPr>
            <w:r>
              <w:rPr>
                <w:rFonts w:hint="eastAsia"/>
                <w:color w:val="auto"/>
                <w:sz w:val="24"/>
                <w:u w:val="none"/>
              </w:rPr>
              <w:t>食堂油烟（DA003）</w:t>
            </w:r>
          </w:p>
        </w:tc>
        <w:tc>
          <w:tcPr>
            <w:tcW w:w="1417" w:type="dxa"/>
            <w:vAlign w:val="center"/>
          </w:tcPr>
          <w:p>
            <w:pPr>
              <w:adjustRightInd w:val="0"/>
              <w:snapToGrid w:val="0"/>
              <w:jc w:val="center"/>
              <w:rPr>
                <w:rFonts w:hint="eastAsia"/>
                <w:color w:val="auto"/>
                <w:sz w:val="24"/>
                <w:u w:val="none"/>
              </w:rPr>
            </w:pPr>
            <w:r>
              <w:rPr>
                <w:rFonts w:hint="eastAsia"/>
                <w:color w:val="auto"/>
                <w:sz w:val="24"/>
                <w:u w:val="none"/>
              </w:rPr>
              <w:t>油烟</w:t>
            </w:r>
          </w:p>
        </w:tc>
        <w:tc>
          <w:tcPr>
            <w:tcW w:w="1985" w:type="dxa"/>
            <w:vAlign w:val="center"/>
          </w:tcPr>
          <w:p>
            <w:pPr>
              <w:adjustRightInd w:val="0"/>
              <w:snapToGrid w:val="0"/>
              <w:jc w:val="center"/>
              <w:rPr>
                <w:rFonts w:hint="eastAsia"/>
                <w:color w:val="auto"/>
                <w:sz w:val="24"/>
                <w:u w:val="none"/>
              </w:rPr>
            </w:pPr>
            <w:r>
              <w:rPr>
                <w:rFonts w:hint="eastAsia"/>
                <w:color w:val="auto"/>
                <w:sz w:val="24"/>
                <w:u w:val="none"/>
              </w:rPr>
              <w:t>静电油烟净化器+屋顶排放（</w:t>
            </w:r>
            <w:r>
              <w:rPr>
                <w:rFonts w:hint="eastAsia"/>
                <w:color w:val="auto"/>
                <w:sz w:val="24"/>
                <w:u w:val="none"/>
                <w:lang w:val="en-US" w:eastAsia="zh-CN"/>
              </w:rPr>
              <w:t>9</w:t>
            </w:r>
            <w:r>
              <w:rPr>
                <w:rFonts w:hint="eastAsia"/>
                <w:color w:val="auto"/>
                <w:sz w:val="24"/>
                <w:u w:val="none"/>
              </w:rPr>
              <w:t>m）</w:t>
            </w:r>
          </w:p>
        </w:tc>
        <w:tc>
          <w:tcPr>
            <w:tcW w:w="2289" w:type="dxa"/>
            <w:vMerge w:val="continue"/>
            <w:vAlign w:val="center"/>
          </w:tcPr>
          <w:p>
            <w:pPr>
              <w:adjustRightInd w:val="0"/>
              <w:snapToGrid w:val="0"/>
              <w:jc w:val="center"/>
              <w:rPr>
                <w:rFonts w:hint="eastAsia"/>
                <w:color w:val="auto"/>
                <w:sz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continue"/>
            <w:vAlign w:val="center"/>
          </w:tcPr>
          <w:p>
            <w:pPr>
              <w:adjustRightInd w:val="0"/>
              <w:snapToGrid w:val="0"/>
              <w:jc w:val="center"/>
              <w:rPr>
                <w:color w:val="auto"/>
                <w:sz w:val="24"/>
                <w:u w:val="none"/>
              </w:rPr>
            </w:pPr>
          </w:p>
        </w:tc>
        <w:tc>
          <w:tcPr>
            <w:tcW w:w="1843" w:type="dxa"/>
            <w:vAlign w:val="center"/>
          </w:tcPr>
          <w:p>
            <w:pPr>
              <w:adjustRightInd w:val="0"/>
              <w:snapToGrid w:val="0"/>
              <w:jc w:val="center"/>
              <w:rPr>
                <w:rFonts w:hint="eastAsia"/>
                <w:color w:val="auto"/>
                <w:sz w:val="24"/>
                <w:u w:val="none"/>
              </w:rPr>
            </w:pPr>
            <w:r>
              <w:rPr>
                <w:rFonts w:hint="eastAsia"/>
                <w:color w:val="auto"/>
                <w:sz w:val="24"/>
                <w:u w:val="none"/>
              </w:rPr>
              <w:t>污水处理站臭气（DA004）</w:t>
            </w:r>
          </w:p>
        </w:tc>
        <w:tc>
          <w:tcPr>
            <w:tcW w:w="1417" w:type="dxa"/>
            <w:vAlign w:val="center"/>
          </w:tcPr>
          <w:p>
            <w:pPr>
              <w:adjustRightInd w:val="0"/>
              <w:snapToGrid w:val="0"/>
              <w:jc w:val="center"/>
              <w:rPr>
                <w:rFonts w:hint="eastAsia"/>
                <w:color w:val="auto"/>
                <w:sz w:val="24"/>
                <w:u w:val="none"/>
              </w:rPr>
            </w:pPr>
            <w:r>
              <w:rPr>
                <w:rFonts w:hint="eastAsia"/>
                <w:color w:val="auto"/>
                <w:sz w:val="24"/>
                <w:u w:val="none"/>
              </w:rPr>
              <w:t>氨、硫化氢、臭气浓度</w:t>
            </w:r>
          </w:p>
        </w:tc>
        <w:tc>
          <w:tcPr>
            <w:tcW w:w="1985" w:type="dxa"/>
            <w:vAlign w:val="center"/>
          </w:tcPr>
          <w:p>
            <w:pPr>
              <w:adjustRightInd w:val="0"/>
              <w:snapToGrid w:val="0"/>
              <w:jc w:val="center"/>
              <w:rPr>
                <w:rFonts w:hint="eastAsia"/>
                <w:color w:val="auto"/>
                <w:sz w:val="24"/>
                <w:u w:val="none"/>
              </w:rPr>
            </w:pPr>
            <w:r>
              <w:rPr>
                <w:color w:val="auto"/>
                <w:kern w:val="0"/>
                <w:sz w:val="24"/>
                <w:u w:val="none"/>
              </w:rPr>
              <w:t>污水池密闭负压收集+“二级喷淋+生物滤池”+15m排气筒</w:t>
            </w:r>
          </w:p>
        </w:tc>
        <w:tc>
          <w:tcPr>
            <w:tcW w:w="2289" w:type="dxa"/>
            <w:vAlign w:val="center"/>
          </w:tcPr>
          <w:p>
            <w:pPr>
              <w:adjustRightInd w:val="0"/>
              <w:snapToGrid w:val="0"/>
              <w:jc w:val="center"/>
              <w:rPr>
                <w:rFonts w:hint="eastAsia"/>
                <w:color w:val="auto"/>
                <w:sz w:val="24"/>
                <w:u w:val="none"/>
              </w:rPr>
            </w:pPr>
            <w:r>
              <w:rPr>
                <w:color w:val="auto"/>
                <w:position w:val="-10"/>
                <w:sz w:val="24"/>
                <w:u w:val="none"/>
              </w:rPr>
              <w:t>《恶臭污染物排放标准》（GB 14554-93）表2标准限值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continue"/>
            <w:vAlign w:val="center"/>
          </w:tcPr>
          <w:p>
            <w:pPr>
              <w:adjustRightInd w:val="0"/>
              <w:snapToGrid w:val="0"/>
              <w:jc w:val="center"/>
              <w:rPr>
                <w:color w:val="auto"/>
                <w:sz w:val="24"/>
                <w:u w:val="none"/>
              </w:rPr>
            </w:pPr>
          </w:p>
        </w:tc>
        <w:tc>
          <w:tcPr>
            <w:tcW w:w="1843" w:type="dxa"/>
            <w:vAlign w:val="center"/>
          </w:tcPr>
          <w:p>
            <w:pPr>
              <w:adjustRightInd w:val="0"/>
              <w:snapToGrid w:val="0"/>
              <w:jc w:val="center"/>
              <w:rPr>
                <w:rFonts w:hint="eastAsia"/>
                <w:color w:val="auto"/>
                <w:sz w:val="24"/>
                <w:u w:val="none"/>
              </w:rPr>
            </w:pPr>
            <w:r>
              <w:rPr>
                <w:rFonts w:hint="eastAsia"/>
                <w:color w:val="auto"/>
                <w:sz w:val="24"/>
                <w:u w:val="none"/>
              </w:rPr>
              <w:t>污水处理站臭气（无组织）</w:t>
            </w:r>
          </w:p>
        </w:tc>
        <w:tc>
          <w:tcPr>
            <w:tcW w:w="1417" w:type="dxa"/>
            <w:vAlign w:val="center"/>
          </w:tcPr>
          <w:p>
            <w:pPr>
              <w:adjustRightInd w:val="0"/>
              <w:snapToGrid w:val="0"/>
              <w:jc w:val="center"/>
              <w:rPr>
                <w:rFonts w:hint="eastAsia"/>
                <w:color w:val="auto"/>
                <w:sz w:val="24"/>
                <w:u w:val="none"/>
              </w:rPr>
            </w:pPr>
            <w:r>
              <w:rPr>
                <w:rFonts w:hint="eastAsia"/>
                <w:color w:val="auto"/>
                <w:sz w:val="24"/>
                <w:u w:val="none"/>
              </w:rPr>
              <w:t>氨、硫化氢、臭气浓度</w:t>
            </w:r>
          </w:p>
        </w:tc>
        <w:tc>
          <w:tcPr>
            <w:tcW w:w="1985" w:type="dxa"/>
            <w:vAlign w:val="center"/>
          </w:tcPr>
          <w:p>
            <w:pPr>
              <w:adjustRightInd w:val="0"/>
              <w:snapToGrid w:val="0"/>
              <w:jc w:val="center"/>
              <w:rPr>
                <w:rFonts w:hint="eastAsia"/>
                <w:color w:val="auto"/>
                <w:sz w:val="24"/>
                <w:u w:val="none"/>
              </w:rPr>
            </w:pPr>
            <w:r>
              <w:rPr>
                <w:color w:val="auto"/>
                <w:kern w:val="0"/>
                <w:sz w:val="24"/>
                <w:u w:val="none"/>
              </w:rPr>
              <w:t>喷洒除臭剂、加强绿化</w:t>
            </w:r>
          </w:p>
        </w:tc>
        <w:tc>
          <w:tcPr>
            <w:tcW w:w="2289" w:type="dxa"/>
            <w:vMerge w:val="restart"/>
            <w:vAlign w:val="center"/>
          </w:tcPr>
          <w:p>
            <w:pPr>
              <w:adjustRightInd w:val="0"/>
              <w:snapToGrid w:val="0"/>
              <w:jc w:val="center"/>
              <w:rPr>
                <w:rFonts w:hint="eastAsia"/>
                <w:color w:val="auto"/>
                <w:sz w:val="24"/>
                <w:u w:val="none"/>
              </w:rPr>
            </w:pPr>
            <w:r>
              <w:rPr>
                <w:rFonts w:hint="eastAsia"/>
                <w:color w:val="auto"/>
                <w:position w:val="-10"/>
                <w:sz w:val="24"/>
                <w:u w:val="none"/>
              </w:rPr>
              <w:t>《恶臭污染物排放标准》GB14554-93表1二级新扩改建限值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continue"/>
            <w:vAlign w:val="center"/>
          </w:tcPr>
          <w:p>
            <w:pPr>
              <w:adjustRightInd w:val="0"/>
              <w:snapToGrid w:val="0"/>
              <w:jc w:val="center"/>
              <w:rPr>
                <w:color w:val="auto"/>
                <w:sz w:val="24"/>
                <w:u w:val="none"/>
              </w:rPr>
            </w:pPr>
          </w:p>
        </w:tc>
        <w:tc>
          <w:tcPr>
            <w:tcW w:w="1843" w:type="dxa"/>
            <w:vAlign w:val="center"/>
          </w:tcPr>
          <w:p>
            <w:pPr>
              <w:adjustRightInd w:val="0"/>
              <w:snapToGrid w:val="0"/>
              <w:jc w:val="center"/>
              <w:rPr>
                <w:rFonts w:hint="eastAsia"/>
                <w:color w:val="auto"/>
                <w:sz w:val="24"/>
                <w:u w:val="none"/>
              </w:rPr>
            </w:pPr>
            <w:r>
              <w:rPr>
                <w:rFonts w:hint="eastAsia"/>
                <w:color w:val="auto"/>
                <w:sz w:val="24"/>
                <w:u w:val="none"/>
              </w:rPr>
              <w:t>车间异味</w:t>
            </w:r>
          </w:p>
        </w:tc>
        <w:tc>
          <w:tcPr>
            <w:tcW w:w="1417" w:type="dxa"/>
            <w:vAlign w:val="center"/>
          </w:tcPr>
          <w:p>
            <w:pPr>
              <w:adjustRightInd w:val="0"/>
              <w:snapToGrid w:val="0"/>
              <w:jc w:val="center"/>
              <w:rPr>
                <w:rFonts w:hint="eastAsia"/>
                <w:color w:val="auto"/>
                <w:sz w:val="24"/>
                <w:u w:val="none"/>
              </w:rPr>
            </w:pPr>
            <w:r>
              <w:rPr>
                <w:rFonts w:hint="eastAsia"/>
                <w:color w:val="auto"/>
                <w:sz w:val="24"/>
                <w:u w:val="none"/>
              </w:rPr>
              <w:t>臭气浓度</w:t>
            </w:r>
          </w:p>
        </w:tc>
        <w:tc>
          <w:tcPr>
            <w:tcW w:w="1985" w:type="dxa"/>
            <w:vAlign w:val="center"/>
          </w:tcPr>
          <w:p>
            <w:pPr>
              <w:adjustRightInd w:val="0"/>
              <w:snapToGrid w:val="0"/>
              <w:jc w:val="center"/>
              <w:rPr>
                <w:rFonts w:hint="default" w:eastAsia="宋体"/>
                <w:color w:val="auto"/>
                <w:kern w:val="0"/>
                <w:sz w:val="24"/>
                <w:u w:val="none"/>
                <w:lang w:val="en-US" w:eastAsia="zh-CN"/>
              </w:rPr>
            </w:pPr>
            <w:r>
              <w:rPr>
                <w:rFonts w:hint="eastAsia"/>
                <w:color w:val="auto"/>
                <w:kern w:val="0"/>
                <w:sz w:val="24"/>
                <w:u w:val="none"/>
                <w:lang w:val="en-US" w:eastAsia="zh-CN"/>
              </w:rPr>
              <w:t>加强通风</w:t>
            </w:r>
          </w:p>
        </w:tc>
        <w:tc>
          <w:tcPr>
            <w:tcW w:w="2289" w:type="dxa"/>
            <w:vMerge w:val="continue"/>
            <w:vAlign w:val="center"/>
          </w:tcPr>
          <w:p>
            <w:pPr>
              <w:adjustRightInd w:val="0"/>
              <w:snapToGrid w:val="0"/>
              <w:jc w:val="center"/>
              <w:rPr>
                <w:rFonts w:hint="eastAsia"/>
                <w:color w:val="auto"/>
                <w:sz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continue"/>
            <w:vAlign w:val="center"/>
          </w:tcPr>
          <w:p>
            <w:pPr>
              <w:adjustRightInd w:val="0"/>
              <w:snapToGrid w:val="0"/>
              <w:jc w:val="center"/>
              <w:rPr>
                <w:color w:val="auto"/>
                <w:sz w:val="24"/>
                <w:u w:val="none"/>
              </w:rPr>
            </w:pPr>
          </w:p>
        </w:tc>
        <w:tc>
          <w:tcPr>
            <w:tcW w:w="1843" w:type="dxa"/>
            <w:vAlign w:val="center"/>
          </w:tcPr>
          <w:p>
            <w:pPr>
              <w:adjustRightInd w:val="0"/>
              <w:snapToGrid w:val="0"/>
              <w:jc w:val="center"/>
              <w:rPr>
                <w:rFonts w:hint="eastAsia"/>
                <w:color w:val="auto"/>
                <w:sz w:val="24"/>
                <w:u w:val="none"/>
              </w:rPr>
            </w:pPr>
            <w:r>
              <w:rPr>
                <w:rFonts w:hint="eastAsia"/>
                <w:color w:val="auto"/>
                <w:sz w:val="24"/>
                <w:u w:val="none"/>
              </w:rPr>
              <w:t>搅拌粉尘</w:t>
            </w:r>
          </w:p>
        </w:tc>
        <w:tc>
          <w:tcPr>
            <w:tcW w:w="1417" w:type="dxa"/>
            <w:vAlign w:val="center"/>
          </w:tcPr>
          <w:p>
            <w:pPr>
              <w:adjustRightInd w:val="0"/>
              <w:snapToGrid w:val="0"/>
              <w:jc w:val="center"/>
              <w:rPr>
                <w:rFonts w:hint="eastAsia"/>
                <w:color w:val="auto"/>
                <w:sz w:val="24"/>
                <w:u w:val="none"/>
              </w:rPr>
            </w:pPr>
            <w:r>
              <w:rPr>
                <w:rFonts w:hint="eastAsia"/>
                <w:color w:val="auto"/>
                <w:sz w:val="24"/>
                <w:u w:val="none"/>
              </w:rPr>
              <w:t>颗粒物</w:t>
            </w:r>
          </w:p>
        </w:tc>
        <w:tc>
          <w:tcPr>
            <w:tcW w:w="1985" w:type="dxa"/>
            <w:vAlign w:val="center"/>
          </w:tcPr>
          <w:p>
            <w:pPr>
              <w:adjustRightInd w:val="0"/>
              <w:snapToGrid w:val="0"/>
              <w:jc w:val="center"/>
              <w:rPr>
                <w:rFonts w:hint="eastAsia"/>
                <w:color w:val="auto"/>
                <w:sz w:val="24"/>
                <w:u w:val="none"/>
              </w:rPr>
            </w:pPr>
            <w:r>
              <w:rPr>
                <w:rFonts w:hint="eastAsia"/>
                <w:color w:val="auto"/>
                <w:kern w:val="0"/>
                <w:sz w:val="24"/>
                <w:u w:val="none"/>
                <w:lang w:val="en-US" w:eastAsia="zh-CN"/>
              </w:rPr>
              <w:t>加强通风</w:t>
            </w:r>
          </w:p>
        </w:tc>
        <w:tc>
          <w:tcPr>
            <w:tcW w:w="2289" w:type="dxa"/>
            <w:vMerge w:val="restart"/>
            <w:vAlign w:val="center"/>
          </w:tcPr>
          <w:p>
            <w:pPr>
              <w:adjustRightInd w:val="0"/>
              <w:snapToGrid w:val="0"/>
              <w:jc w:val="center"/>
              <w:rPr>
                <w:rFonts w:hint="eastAsia"/>
                <w:color w:val="auto"/>
                <w:sz w:val="24"/>
                <w:u w:val="none"/>
              </w:rPr>
            </w:pPr>
            <w:r>
              <w:rPr>
                <w:rFonts w:hint="eastAsia"/>
                <w:color w:val="auto"/>
                <w:position w:val="-10"/>
                <w:sz w:val="24"/>
                <w:u w:val="none"/>
              </w:rPr>
              <w:t>《大气污染物综合排放标准》（GB16297-1996）表2中无组织排放监控浓度限值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continue"/>
            <w:vAlign w:val="center"/>
          </w:tcPr>
          <w:p>
            <w:pPr>
              <w:adjustRightInd w:val="0"/>
              <w:snapToGrid w:val="0"/>
              <w:jc w:val="center"/>
              <w:rPr>
                <w:color w:val="auto"/>
                <w:sz w:val="24"/>
                <w:u w:val="none"/>
              </w:rPr>
            </w:pPr>
          </w:p>
        </w:tc>
        <w:tc>
          <w:tcPr>
            <w:tcW w:w="1843" w:type="dxa"/>
            <w:vAlign w:val="center"/>
          </w:tcPr>
          <w:p>
            <w:pPr>
              <w:adjustRightInd w:val="0"/>
              <w:snapToGrid w:val="0"/>
              <w:jc w:val="center"/>
              <w:rPr>
                <w:rFonts w:hint="eastAsia"/>
                <w:color w:val="auto"/>
                <w:sz w:val="24"/>
                <w:u w:val="none"/>
              </w:rPr>
            </w:pPr>
            <w:r>
              <w:rPr>
                <w:rFonts w:hint="eastAsia"/>
                <w:color w:val="auto"/>
                <w:sz w:val="24"/>
                <w:u w:val="none"/>
              </w:rPr>
              <w:t>打码废气</w:t>
            </w:r>
          </w:p>
        </w:tc>
        <w:tc>
          <w:tcPr>
            <w:tcW w:w="1417" w:type="dxa"/>
            <w:vAlign w:val="center"/>
          </w:tcPr>
          <w:p>
            <w:pPr>
              <w:adjustRightInd w:val="0"/>
              <w:snapToGrid w:val="0"/>
              <w:jc w:val="center"/>
              <w:rPr>
                <w:rFonts w:hint="eastAsia"/>
                <w:color w:val="auto"/>
                <w:sz w:val="24"/>
                <w:u w:val="none"/>
              </w:rPr>
            </w:pPr>
            <w:r>
              <w:rPr>
                <w:rFonts w:hint="eastAsia"/>
                <w:color w:val="auto"/>
                <w:sz w:val="24"/>
                <w:u w:val="none"/>
              </w:rPr>
              <w:t>非甲烷总烃</w:t>
            </w:r>
          </w:p>
        </w:tc>
        <w:tc>
          <w:tcPr>
            <w:tcW w:w="1985" w:type="dxa"/>
            <w:vAlign w:val="center"/>
          </w:tcPr>
          <w:p>
            <w:pPr>
              <w:adjustRightInd w:val="0"/>
              <w:snapToGrid w:val="0"/>
              <w:jc w:val="center"/>
              <w:rPr>
                <w:rFonts w:hint="eastAsia"/>
                <w:color w:val="auto"/>
                <w:sz w:val="24"/>
                <w:u w:val="none"/>
              </w:rPr>
            </w:pPr>
            <w:r>
              <w:rPr>
                <w:rFonts w:hint="eastAsia"/>
                <w:color w:val="auto"/>
                <w:sz w:val="24"/>
                <w:u w:val="none"/>
              </w:rPr>
              <w:t>采用水性油墨，加强通风</w:t>
            </w:r>
          </w:p>
        </w:tc>
        <w:tc>
          <w:tcPr>
            <w:tcW w:w="2289" w:type="dxa"/>
            <w:vMerge w:val="continue"/>
            <w:vAlign w:val="center"/>
          </w:tcPr>
          <w:p>
            <w:pPr>
              <w:adjustRightInd w:val="0"/>
              <w:snapToGrid w:val="0"/>
              <w:jc w:val="center"/>
              <w:rPr>
                <w:rFonts w:hint="eastAsia"/>
                <w:color w:val="auto"/>
                <w:sz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continue"/>
            <w:vAlign w:val="center"/>
          </w:tcPr>
          <w:p>
            <w:pPr>
              <w:adjustRightInd w:val="0"/>
              <w:snapToGrid w:val="0"/>
              <w:jc w:val="center"/>
              <w:rPr>
                <w:color w:val="auto"/>
                <w:sz w:val="24"/>
                <w:u w:val="none"/>
              </w:rPr>
            </w:pPr>
          </w:p>
        </w:tc>
        <w:tc>
          <w:tcPr>
            <w:tcW w:w="1843" w:type="dxa"/>
            <w:vAlign w:val="center"/>
          </w:tcPr>
          <w:p>
            <w:pPr>
              <w:adjustRightInd w:val="0"/>
              <w:snapToGrid w:val="0"/>
              <w:jc w:val="center"/>
              <w:rPr>
                <w:rFonts w:hint="eastAsia"/>
                <w:color w:val="auto"/>
                <w:sz w:val="24"/>
                <w:u w:val="none"/>
              </w:rPr>
            </w:pPr>
            <w:r>
              <w:rPr>
                <w:rFonts w:hint="eastAsia"/>
                <w:color w:val="auto"/>
                <w:sz w:val="24"/>
                <w:u w:val="none"/>
              </w:rPr>
              <w:t>检验废气</w:t>
            </w:r>
          </w:p>
        </w:tc>
        <w:tc>
          <w:tcPr>
            <w:tcW w:w="1417" w:type="dxa"/>
            <w:vAlign w:val="center"/>
          </w:tcPr>
          <w:p>
            <w:pPr>
              <w:adjustRightInd w:val="0"/>
              <w:snapToGrid w:val="0"/>
              <w:jc w:val="center"/>
              <w:rPr>
                <w:rFonts w:hint="eastAsia"/>
                <w:color w:val="auto"/>
                <w:sz w:val="24"/>
                <w:u w:val="none"/>
              </w:rPr>
            </w:pPr>
            <w:r>
              <w:rPr>
                <w:rFonts w:hint="eastAsia"/>
                <w:color w:val="auto"/>
                <w:sz w:val="24"/>
                <w:u w:val="none"/>
              </w:rPr>
              <w:t>氯化氢</w:t>
            </w:r>
          </w:p>
        </w:tc>
        <w:tc>
          <w:tcPr>
            <w:tcW w:w="1985" w:type="dxa"/>
            <w:vAlign w:val="center"/>
          </w:tcPr>
          <w:p>
            <w:pPr>
              <w:adjustRightInd w:val="0"/>
              <w:snapToGrid w:val="0"/>
              <w:jc w:val="center"/>
              <w:rPr>
                <w:rFonts w:hint="eastAsia"/>
                <w:color w:val="auto"/>
                <w:sz w:val="24"/>
                <w:u w:val="none"/>
              </w:rPr>
            </w:pPr>
            <w:r>
              <w:rPr>
                <w:rFonts w:hint="eastAsia"/>
                <w:color w:val="auto"/>
                <w:sz w:val="24"/>
                <w:u w:val="none"/>
              </w:rPr>
              <w:t>加强通风</w:t>
            </w:r>
          </w:p>
        </w:tc>
        <w:tc>
          <w:tcPr>
            <w:tcW w:w="2289" w:type="dxa"/>
            <w:vMerge w:val="continue"/>
            <w:vAlign w:val="center"/>
          </w:tcPr>
          <w:p>
            <w:pPr>
              <w:adjustRightInd w:val="0"/>
              <w:snapToGrid w:val="0"/>
              <w:jc w:val="center"/>
              <w:rPr>
                <w:rFonts w:hint="eastAsia"/>
                <w:color w:val="auto"/>
                <w:sz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restart"/>
            <w:vAlign w:val="center"/>
          </w:tcPr>
          <w:p>
            <w:pPr>
              <w:adjustRightInd w:val="0"/>
              <w:snapToGrid w:val="0"/>
              <w:jc w:val="center"/>
              <w:rPr>
                <w:color w:val="auto"/>
                <w:sz w:val="24"/>
                <w:u w:val="none"/>
              </w:rPr>
            </w:pPr>
            <w:r>
              <w:rPr>
                <w:color w:val="auto"/>
                <w:sz w:val="24"/>
                <w:u w:val="none"/>
              </w:rPr>
              <w:t>地表水环境</w:t>
            </w:r>
          </w:p>
        </w:tc>
        <w:tc>
          <w:tcPr>
            <w:tcW w:w="1843" w:type="dxa"/>
            <w:vAlign w:val="center"/>
          </w:tcPr>
          <w:p>
            <w:pPr>
              <w:adjustRightInd w:val="0"/>
              <w:snapToGrid w:val="0"/>
              <w:jc w:val="center"/>
              <w:rPr>
                <w:color w:val="auto"/>
                <w:sz w:val="24"/>
                <w:u w:val="none"/>
              </w:rPr>
            </w:pPr>
            <w:r>
              <w:rPr>
                <w:rFonts w:hint="eastAsia"/>
                <w:bCs/>
                <w:color w:val="auto"/>
                <w:sz w:val="24"/>
                <w:u w:val="none"/>
              </w:rPr>
              <w:t>生产综合废水</w:t>
            </w:r>
          </w:p>
        </w:tc>
        <w:tc>
          <w:tcPr>
            <w:tcW w:w="1417" w:type="dxa"/>
            <w:vAlign w:val="center"/>
          </w:tcPr>
          <w:p>
            <w:pPr>
              <w:adjustRightInd w:val="0"/>
              <w:snapToGrid w:val="0"/>
              <w:jc w:val="center"/>
              <w:rPr>
                <w:color w:val="auto"/>
                <w:sz w:val="24"/>
                <w:u w:val="none"/>
              </w:rPr>
            </w:pPr>
            <w:r>
              <w:rPr>
                <w:rFonts w:hint="eastAsia"/>
                <w:color w:val="auto"/>
                <w:sz w:val="24"/>
                <w:u w:val="none"/>
              </w:rPr>
              <w:t>pH、</w:t>
            </w:r>
            <w:r>
              <w:rPr>
                <w:color w:val="auto"/>
                <w:sz w:val="24"/>
                <w:u w:val="none"/>
              </w:rPr>
              <w:t>COD、BOD</w:t>
            </w:r>
            <w:r>
              <w:rPr>
                <w:color w:val="auto"/>
                <w:sz w:val="24"/>
                <w:u w:val="none"/>
                <w:vertAlign w:val="subscript"/>
              </w:rPr>
              <w:t>5</w:t>
            </w:r>
            <w:r>
              <w:rPr>
                <w:color w:val="auto"/>
                <w:sz w:val="24"/>
                <w:u w:val="none"/>
              </w:rPr>
              <w:t>、SS、NH</w:t>
            </w:r>
            <w:r>
              <w:rPr>
                <w:color w:val="auto"/>
                <w:sz w:val="24"/>
                <w:u w:val="none"/>
                <w:vertAlign w:val="subscript"/>
              </w:rPr>
              <w:t>3</w:t>
            </w:r>
            <w:r>
              <w:rPr>
                <w:color w:val="auto"/>
                <w:sz w:val="24"/>
                <w:u w:val="none"/>
              </w:rPr>
              <w:t>-N</w:t>
            </w:r>
            <w:r>
              <w:rPr>
                <w:rFonts w:hint="eastAsia"/>
                <w:color w:val="auto"/>
                <w:sz w:val="24"/>
                <w:u w:val="none"/>
              </w:rPr>
              <w:t>、TN、TP、动植物油、全盐量</w:t>
            </w:r>
          </w:p>
        </w:tc>
        <w:tc>
          <w:tcPr>
            <w:tcW w:w="1985" w:type="dxa"/>
            <w:vAlign w:val="center"/>
          </w:tcPr>
          <w:p>
            <w:pPr>
              <w:adjustRightInd w:val="0"/>
              <w:snapToGrid w:val="0"/>
              <w:jc w:val="center"/>
              <w:rPr>
                <w:color w:val="auto"/>
                <w:sz w:val="24"/>
                <w:u w:val="none"/>
              </w:rPr>
            </w:pPr>
            <w:r>
              <w:rPr>
                <w:color w:val="auto"/>
                <w:sz w:val="24"/>
                <w:u w:val="none"/>
              </w:rPr>
              <w:t>工艺为“</w:t>
            </w:r>
            <w:r>
              <w:rPr>
                <w:rFonts w:hint="eastAsia"/>
                <w:color w:val="auto"/>
                <w:sz w:val="24"/>
                <w:u w:val="none"/>
                <w:lang w:eastAsia="zh-CN"/>
              </w:rPr>
              <w:t>格栅+隔油+调节+气浮+A</w:t>
            </w:r>
            <w:r>
              <w:rPr>
                <w:rFonts w:hint="eastAsia"/>
                <w:color w:val="auto"/>
                <w:sz w:val="24"/>
                <w:u w:val="none"/>
                <w:vertAlign w:val="superscript"/>
                <w:lang w:eastAsia="zh-CN"/>
              </w:rPr>
              <w:t>2</w:t>
            </w:r>
            <w:r>
              <w:rPr>
                <w:rFonts w:hint="eastAsia"/>
                <w:color w:val="auto"/>
                <w:sz w:val="24"/>
                <w:u w:val="none"/>
                <w:lang w:eastAsia="zh-CN"/>
              </w:rPr>
              <w:t>O+二沉</w:t>
            </w:r>
            <w:r>
              <w:rPr>
                <w:color w:val="auto"/>
                <w:sz w:val="24"/>
                <w:u w:val="none"/>
              </w:rPr>
              <w:t>”，设计规模360m</w:t>
            </w:r>
            <w:r>
              <w:rPr>
                <w:color w:val="auto"/>
                <w:sz w:val="24"/>
                <w:u w:val="none"/>
                <w:vertAlign w:val="superscript"/>
              </w:rPr>
              <w:t>3</w:t>
            </w:r>
            <w:r>
              <w:rPr>
                <w:color w:val="auto"/>
                <w:sz w:val="24"/>
                <w:u w:val="none"/>
              </w:rPr>
              <w:t>/d</w:t>
            </w:r>
          </w:p>
        </w:tc>
        <w:tc>
          <w:tcPr>
            <w:tcW w:w="2289" w:type="dxa"/>
            <w:vMerge w:val="restart"/>
            <w:vAlign w:val="center"/>
          </w:tcPr>
          <w:p>
            <w:pPr>
              <w:adjustRightInd w:val="0"/>
              <w:snapToGrid w:val="0"/>
              <w:jc w:val="center"/>
              <w:rPr>
                <w:rFonts w:hint="default" w:eastAsia="宋体"/>
                <w:color w:val="auto"/>
                <w:sz w:val="24"/>
                <w:u w:val="none"/>
                <w:lang w:val="en-US" w:eastAsia="zh-CN"/>
              </w:rPr>
            </w:pPr>
            <w:r>
              <w:rPr>
                <w:rFonts w:hint="eastAsia"/>
                <w:color w:val="auto"/>
                <w:sz w:val="24"/>
                <w:u w:val="none"/>
              </w:rPr>
              <w:t>《食品加工制造业水污染物排放标准》（GB46817-2025）表1间接排放限值</w:t>
            </w:r>
            <w:r>
              <w:rPr>
                <w:rFonts w:hint="eastAsia"/>
                <w:color w:val="auto"/>
                <w:sz w:val="24"/>
                <w:u w:val="none"/>
                <w:lang w:val="en-US" w:eastAsia="zh-CN"/>
              </w:rPr>
              <w:t xml:space="preserve">及湘阴县第二污水处理厂进水水质要求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continue"/>
            <w:vAlign w:val="center"/>
          </w:tcPr>
          <w:p>
            <w:pPr>
              <w:adjustRightInd w:val="0"/>
              <w:snapToGrid w:val="0"/>
              <w:jc w:val="center"/>
              <w:rPr>
                <w:color w:val="auto"/>
                <w:sz w:val="24"/>
                <w:u w:val="none"/>
              </w:rPr>
            </w:pPr>
          </w:p>
        </w:tc>
        <w:tc>
          <w:tcPr>
            <w:tcW w:w="1843" w:type="dxa"/>
            <w:vAlign w:val="center"/>
          </w:tcPr>
          <w:p>
            <w:pPr>
              <w:adjustRightInd w:val="0"/>
              <w:snapToGrid w:val="0"/>
              <w:jc w:val="center"/>
              <w:rPr>
                <w:rFonts w:hint="eastAsia"/>
                <w:bCs/>
                <w:color w:val="auto"/>
                <w:sz w:val="24"/>
                <w:u w:val="none"/>
              </w:rPr>
            </w:pPr>
            <w:r>
              <w:rPr>
                <w:rFonts w:hint="eastAsia"/>
                <w:bCs/>
                <w:color w:val="auto"/>
                <w:sz w:val="24"/>
                <w:u w:val="none"/>
              </w:rPr>
              <w:t>质检废水</w:t>
            </w:r>
          </w:p>
        </w:tc>
        <w:tc>
          <w:tcPr>
            <w:tcW w:w="1417" w:type="dxa"/>
            <w:vMerge w:val="restart"/>
            <w:vAlign w:val="center"/>
          </w:tcPr>
          <w:p>
            <w:pPr>
              <w:adjustRightInd w:val="0"/>
              <w:snapToGrid w:val="0"/>
              <w:jc w:val="center"/>
              <w:rPr>
                <w:color w:val="auto"/>
                <w:sz w:val="24"/>
                <w:u w:val="none"/>
              </w:rPr>
            </w:pPr>
            <w:r>
              <w:rPr>
                <w:rFonts w:hint="eastAsia"/>
                <w:color w:val="auto"/>
                <w:sz w:val="24"/>
                <w:u w:val="none"/>
              </w:rPr>
              <w:t>pH、</w:t>
            </w:r>
            <w:r>
              <w:rPr>
                <w:color w:val="auto"/>
                <w:sz w:val="24"/>
                <w:u w:val="none"/>
              </w:rPr>
              <w:t>COD、BOD</w:t>
            </w:r>
            <w:r>
              <w:rPr>
                <w:color w:val="auto"/>
                <w:sz w:val="24"/>
                <w:u w:val="none"/>
                <w:vertAlign w:val="subscript"/>
              </w:rPr>
              <w:t>5</w:t>
            </w:r>
            <w:r>
              <w:rPr>
                <w:color w:val="auto"/>
                <w:sz w:val="24"/>
                <w:u w:val="none"/>
              </w:rPr>
              <w:t>、SS、NH</w:t>
            </w:r>
            <w:r>
              <w:rPr>
                <w:color w:val="auto"/>
                <w:sz w:val="24"/>
                <w:u w:val="none"/>
                <w:vertAlign w:val="subscript"/>
              </w:rPr>
              <w:t>3</w:t>
            </w:r>
            <w:r>
              <w:rPr>
                <w:color w:val="auto"/>
                <w:sz w:val="24"/>
                <w:u w:val="none"/>
              </w:rPr>
              <w:t>-N</w:t>
            </w:r>
            <w:r>
              <w:rPr>
                <w:rFonts w:hint="eastAsia"/>
                <w:color w:val="auto"/>
                <w:sz w:val="24"/>
                <w:u w:val="none"/>
              </w:rPr>
              <w:t>、TN、TP、动植物油</w:t>
            </w:r>
          </w:p>
        </w:tc>
        <w:tc>
          <w:tcPr>
            <w:tcW w:w="1985" w:type="dxa"/>
            <w:vAlign w:val="center"/>
          </w:tcPr>
          <w:p>
            <w:pPr>
              <w:adjustRightInd w:val="0"/>
              <w:snapToGrid w:val="0"/>
              <w:jc w:val="center"/>
              <w:rPr>
                <w:rFonts w:hint="eastAsia"/>
                <w:color w:val="auto"/>
                <w:sz w:val="24"/>
                <w:u w:val="none"/>
              </w:rPr>
            </w:pPr>
            <w:r>
              <w:rPr>
                <w:rFonts w:hint="eastAsia"/>
                <w:color w:val="auto"/>
                <w:sz w:val="24"/>
                <w:u w:val="none"/>
              </w:rPr>
              <w:t>化粪池</w:t>
            </w:r>
          </w:p>
        </w:tc>
        <w:tc>
          <w:tcPr>
            <w:tcW w:w="2289" w:type="dxa"/>
            <w:vMerge w:val="continue"/>
            <w:vAlign w:val="center"/>
          </w:tcPr>
          <w:p>
            <w:pPr>
              <w:adjustRightInd w:val="0"/>
              <w:snapToGrid w:val="0"/>
              <w:jc w:val="center"/>
              <w:rPr>
                <w:rFonts w:hint="eastAsia"/>
                <w:color w:val="auto"/>
                <w:sz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Merge w:val="continue"/>
            <w:vAlign w:val="center"/>
          </w:tcPr>
          <w:p>
            <w:pPr>
              <w:adjustRightInd w:val="0"/>
              <w:snapToGrid w:val="0"/>
              <w:jc w:val="center"/>
              <w:rPr>
                <w:color w:val="auto"/>
                <w:sz w:val="24"/>
                <w:u w:val="none"/>
              </w:rPr>
            </w:pPr>
          </w:p>
        </w:tc>
        <w:tc>
          <w:tcPr>
            <w:tcW w:w="1843" w:type="dxa"/>
            <w:vAlign w:val="center"/>
          </w:tcPr>
          <w:p>
            <w:pPr>
              <w:adjustRightInd w:val="0"/>
              <w:snapToGrid w:val="0"/>
              <w:jc w:val="center"/>
              <w:rPr>
                <w:rFonts w:hint="eastAsia"/>
                <w:bCs/>
                <w:color w:val="auto"/>
                <w:sz w:val="24"/>
                <w:u w:val="none"/>
              </w:rPr>
            </w:pPr>
            <w:r>
              <w:rPr>
                <w:rFonts w:hint="eastAsia"/>
                <w:bCs/>
                <w:color w:val="auto"/>
                <w:sz w:val="24"/>
                <w:u w:val="none"/>
              </w:rPr>
              <w:t>生活污水</w:t>
            </w:r>
          </w:p>
        </w:tc>
        <w:tc>
          <w:tcPr>
            <w:tcW w:w="1417" w:type="dxa"/>
            <w:vMerge w:val="continue"/>
            <w:vAlign w:val="center"/>
          </w:tcPr>
          <w:p>
            <w:pPr>
              <w:adjustRightInd w:val="0"/>
              <w:snapToGrid w:val="0"/>
              <w:jc w:val="center"/>
              <w:rPr>
                <w:color w:val="auto"/>
                <w:sz w:val="24"/>
                <w:u w:val="none"/>
              </w:rPr>
            </w:pPr>
          </w:p>
        </w:tc>
        <w:tc>
          <w:tcPr>
            <w:tcW w:w="1985" w:type="dxa"/>
            <w:vAlign w:val="center"/>
          </w:tcPr>
          <w:p>
            <w:pPr>
              <w:adjustRightInd w:val="0"/>
              <w:snapToGrid w:val="0"/>
              <w:jc w:val="center"/>
              <w:rPr>
                <w:rFonts w:hint="eastAsia"/>
                <w:color w:val="auto"/>
                <w:sz w:val="24"/>
                <w:u w:val="none"/>
              </w:rPr>
            </w:pPr>
            <w:r>
              <w:rPr>
                <w:rFonts w:hint="eastAsia"/>
                <w:color w:val="auto"/>
                <w:sz w:val="24"/>
                <w:u w:val="none"/>
              </w:rPr>
              <w:t>隔油池、化粪池</w:t>
            </w:r>
          </w:p>
        </w:tc>
        <w:tc>
          <w:tcPr>
            <w:tcW w:w="2289" w:type="dxa"/>
            <w:vMerge w:val="continue"/>
            <w:vAlign w:val="center"/>
          </w:tcPr>
          <w:p>
            <w:pPr>
              <w:adjustRightInd w:val="0"/>
              <w:snapToGrid w:val="0"/>
              <w:jc w:val="center"/>
              <w:rPr>
                <w:rFonts w:hint="eastAsia"/>
                <w:color w:val="auto"/>
                <w:sz w:val="24"/>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Align w:val="center"/>
          </w:tcPr>
          <w:p>
            <w:pPr>
              <w:adjustRightInd w:val="0"/>
              <w:snapToGrid w:val="0"/>
              <w:jc w:val="center"/>
              <w:rPr>
                <w:color w:val="auto"/>
                <w:sz w:val="24"/>
                <w:u w:val="none"/>
              </w:rPr>
            </w:pPr>
            <w:r>
              <w:rPr>
                <w:color w:val="auto"/>
                <w:sz w:val="24"/>
                <w:u w:val="none"/>
              </w:rPr>
              <w:t>声环境</w:t>
            </w:r>
          </w:p>
        </w:tc>
        <w:tc>
          <w:tcPr>
            <w:tcW w:w="1843" w:type="dxa"/>
            <w:vAlign w:val="center"/>
          </w:tcPr>
          <w:p>
            <w:pPr>
              <w:jc w:val="center"/>
              <w:rPr>
                <w:color w:val="auto"/>
                <w:sz w:val="24"/>
                <w:u w:val="none"/>
              </w:rPr>
            </w:pPr>
            <w:r>
              <w:rPr>
                <w:color w:val="auto"/>
                <w:sz w:val="24"/>
                <w:u w:val="none"/>
              </w:rPr>
              <w:t>生产设备</w:t>
            </w:r>
          </w:p>
        </w:tc>
        <w:tc>
          <w:tcPr>
            <w:tcW w:w="1417" w:type="dxa"/>
            <w:vAlign w:val="center"/>
          </w:tcPr>
          <w:p>
            <w:pPr>
              <w:jc w:val="center"/>
              <w:rPr>
                <w:color w:val="auto"/>
                <w:sz w:val="24"/>
                <w:u w:val="none"/>
              </w:rPr>
            </w:pPr>
            <w:r>
              <w:rPr>
                <w:color w:val="auto"/>
                <w:sz w:val="24"/>
                <w:u w:val="none"/>
              </w:rPr>
              <w:t>噪声</w:t>
            </w:r>
          </w:p>
        </w:tc>
        <w:tc>
          <w:tcPr>
            <w:tcW w:w="1985" w:type="dxa"/>
            <w:vAlign w:val="center"/>
          </w:tcPr>
          <w:p>
            <w:pPr>
              <w:jc w:val="center"/>
              <w:rPr>
                <w:color w:val="auto"/>
                <w:sz w:val="24"/>
                <w:u w:val="none"/>
              </w:rPr>
            </w:pPr>
            <w:r>
              <w:rPr>
                <w:color w:val="auto"/>
                <w:sz w:val="24"/>
                <w:u w:val="none"/>
              </w:rPr>
              <w:t>低噪声设备、</w:t>
            </w:r>
            <w:r>
              <w:rPr>
                <w:rFonts w:hint="eastAsia"/>
                <w:color w:val="auto"/>
                <w:sz w:val="24"/>
                <w:u w:val="none"/>
              </w:rPr>
              <w:t>隔声门窗、减震垫</w:t>
            </w:r>
            <w:r>
              <w:rPr>
                <w:color w:val="auto"/>
                <w:sz w:val="24"/>
                <w:u w:val="none"/>
              </w:rPr>
              <w:t>基座、墙体隔声</w:t>
            </w:r>
            <w:r>
              <w:rPr>
                <w:rFonts w:hint="eastAsia"/>
                <w:color w:val="auto"/>
                <w:sz w:val="24"/>
                <w:u w:val="none"/>
              </w:rPr>
              <w:t>、消声器</w:t>
            </w:r>
          </w:p>
        </w:tc>
        <w:tc>
          <w:tcPr>
            <w:tcW w:w="2289" w:type="dxa"/>
            <w:vAlign w:val="center"/>
          </w:tcPr>
          <w:p>
            <w:pPr>
              <w:jc w:val="center"/>
              <w:rPr>
                <w:rFonts w:hint="eastAsia"/>
                <w:color w:val="auto"/>
                <w:sz w:val="24"/>
                <w:u w:val="none"/>
              </w:rPr>
            </w:pPr>
            <w:r>
              <w:rPr>
                <w:color w:val="auto"/>
                <w:kern w:val="0"/>
                <w:sz w:val="24"/>
                <w:u w:val="none"/>
              </w:rPr>
              <w:t>《工业企业厂界环境噪声标准》（GB12348-2008）中</w:t>
            </w:r>
            <w:r>
              <w:rPr>
                <w:rFonts w:hint="eastAsia"/>
                <w:color w:val="auto"/>
                <w:kern w:val="0"/>
                <w:sz w:val="24"/>
                <w:u w:val="none"/>
              </w:rPr>
              <w:t>3</w:t>
            </w:r>
            <w:r>
              <w:rPr>
                <w:color w:val="auto"/>
                <w:kern w:val="0"/>
                <w:sz w:val="24"/>
                <w:u w:val="none"/>
              </w:rPr>
              <w:t>类标准</w:t>
            </w:r>
            <w:r>
              <w:rPr>
                <w:rFonts w:hint="eastAsia"/>
                <w:color w:val="auto"/>
                <w:kern w:val="0"/>
                <w:sz w:val="24"/>
                <w:u w:val="none"/>
              </w:rPr>
              <w:t>，东面执行4类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Align w:val="center"/>
          </w:tcPr>
          <w:p>
            <w:pPr>
              <w:adjustRightInd w:val="0"/>
              <w:snapToGrid w:val="0"/>
              <w:jc w:val="center"/>
              <w:rPr>
                <w:color w:val="auto"/>
                <w:sz w:val="24"/>
                <w:u w:val="none"/>
              </w:rPr>
            </w:pPr>
            <w:r>
              <w:rPr>
                <w:color w:val="auto"/>
                <w:sz w:val="24"/>
                <w:u w:val="none"/>
              </w:rPr>
              <w:t>电磁辐射</w:t>
            </w:r>
          </w:p>
        </w:tc>
        <w:tc>
          <w:tcPr>
            <w:tcW w:w="1843" w:type="dxa"/>
            <w:vAlign w:val="center"/>
          </w:tcPr>
          <w:p>
            <w:pPr>
              <w:adjustRightInd w:val="0"/>
              <w:snapToGrid w:val="0"/>
              <w:jc w:val="center"/>
              <w:rPr>
                <w:color w:val="auto"/>
                <w:sz w:val="24"/>
                <w:u w:val="none"/>
              </w:rPr>
            </w:pPr>
            <w:r>
              <w:rPr>
                <w:color w:val="auto"/>
                <w:sz w:val="24"/>
                <w:u w:val="none"/>
              </w:rPr>
              <w:t>/</w:t>
            </w:r>
          </w:p>
        </w:tc>
        <w:tc>
          <w:tcPr>
            <w:tcW w:w="1417" w:type="dxa"/>
            <w:vAlign w:val="center"/>
          </w:tcPr>
          <w:p>
            <w:pPr>
              <w:adjustRightInd w:val="0"/>
              <w:snapToGrid w:val="0"/>
              <w:jc w:val="center"/>
              <w:rPr>
                <w:color w:val="auto"/>
                <w:sz w:val="24"/>
                <w:u w:val="none"/>
              </w:rPr>
            </w:pPr>
            <w:r>
              <w:rPr>
                <w:color w:val="auto"/>
                <w:sz w:val="24"/>
                <w:u w:val="none"/>
              </w:rPr>
              <w:t>/</w:t>
            </w:r>
          </w:p>
        </w:tc>
        <w:tc>
          <w:tcPr>
            <w:tcW w:w="1985" w:type="dxa"/>
            <w:vAlign w:val="center"/>
          </w:tcPr>
          <w:p>
            <w:pPr>
              <w:adjustRightInd w:val="0"/>
              <w:snapToGrid w:val="0"/>
              <w:jc w:val="center"/>
              <w:rPr>
                <w:color w:val="auto"/>
                <w:sz w:val="24"/>
                <w:u w:val="none"/>
              </w:rPr>
            </w:pPr>
            <w:r>
              <w:rPr>
                <w:color w:val="auto"/>
                <w:sz w:val="24"/>
                <w:u w:val="none"/>
              </w:rPr>
              <w:t>/</w:t>
            </w:r>
          </w:p>
        </w:tc>
        <w:tc>
          <w:tcPr>
            <w:tcW w:w="2289" w:type="dxa"/>
            <w:vAlign w:val="center"/>
          </w:tcPr>
          <w:p>
            <w:pPr>
              <w:adjustRightInd w:val="0"/>
              <w:snapToGrid w:val="0"/>
              <w:jc w:val="center"/>
              <w:rPr>
                <w:color w:val="auto"/>
                <w:sz w:val="24"/>
                <w:u w:val="none"/>
              </w:rPr>
            </w:pPr>
            <w:r>
              <w:rPr>
                <w:color w:val="auto"/>
                <w:sz w:val="24"/>
                <w:u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Align w:val="center"/>
          </w:tcPr>
          <w:p>
            <w:pPr>
              <w:adjustRightInd w:val="0"/>
              <w:snapToGrid w:val="0"/>
              <w:jc w:val="center"/>
              <w:rPr>
                <w:color w:val="auto"/>
                <w:sz w:val="24"/>
                <w:u w:val="none"/>
              </w:rPr>
            </w:pPr>
            <w:r>
              <w:rPr>
                <w:color w:val="auto"/>
                <w:sz w:val="24"/>
                <w:u w:val="none"/>
              </w:rPr>
              <w:t>固体废物</w:t>
            </w:r>
          </w:p>
        </w:tc>
        <w:tc>
          <w:tcPr>
            <w:tcW w:w="7534" w:type="dxa"/>
            <w:gridSpan w:val="4"/>
            <w:vAlign w:val="center"/>
          </w:tcPr>
          <w:p>
            <w:pPr>
              <w:adjustRightInd w:val="0"/>
              <w:snapToGrid w:val="0"/>
              <w:spacing w:line="360" w:lineRule="auto"/>
              <w:ind w:right="55" w:rightChars="26" w:firstLine="480" w:firstLineChars="200"/>
              <w:jc w:val="left"/>
              <w:rPr>
                <w:bCs/>
                <w:color w:val="auto"/>
                <w:spacing w:val="4"/>
                <w:sz w:val="24"/>
                <w:u w:val="none"/>
              </w:rPr>
            </w:pPr>
            <w:r>
              <w:rPr>
                <w:rFonts w:hint="eastAsia"/>
                <w:color w:val="auto"/>
                <w:sz w:val="24"/>
                <w:u w:val="none"/>
              </w:rPr>
              <w:t>（1）设置一般固废间150m</w:t>
            </w:r>
            <w:r>
              <w:rPr>
                <w:rFonts w:hint="eastAsia"/>
                <w:color w:val="auto"/>
                <w:sz w:val="24"/>
                <w:u w:val="none"/>
                <w:vertAlign w:val="superscript"/>
              </w:rPr>
              <w:t>2</w:t>
            </w:r>
            <w:r>
              <w:rPr>
                <w:rFonts w:hint="eastAsia"/>
                <w:color w:val="auto"/>
                <w:sz w:val="24"/>
                <w:u w:val="none"/>
              </w:rPr>
              <w:t>，不合格原辅料、豆渣、废边角料、不合格产品、废检验样品</w:t>
            </w:r>
            <w:r>
              <w:rPr>
                <w:bCs/>
                <w:color w:val="auto"/>
                <w:spacing w:val="4"/>
                <w:sz w:val="24"/>
                <w:u w:val="none"/>
              </w:rPr>
              <w:t>外售给饲料加工企业综合利用</w:t>
            </w:r>
            <w:r>
              <w:rPr>
                <w:rFonts w:hint="eastAsia"/>
                <w:bCs/>
                <w:color w:val="auto"/>
                <w:spacing w:val="4"/>
                <w:sz w:val="24"/>
                <w:u w:val="none"/>
              </w:rPr>
              <w:t>,</w:t>
            </w:r>
            <w:r>
              <w:rPr>
                <w:rFonts w:hint="eastAsia"/>
                <w:color w:val="auto"/>
                <w:sz w:val="24"/>
                <w:u w:val="none"/>
              </w:rPr>
              <w:t xml:space="preserve"> 废包装材料外售给资源回收单位综合利用,油烟净化器废油脂、隔油池废油脂、</w:t>
            </w:r>
            <w:r>
              <w:rPr>
                <w:rFonts w:hint="eastAsia"/>
                <w:bCs/>
                <w:color w:val="auto"/>
                <w:spacing w:val="4"/>
                <w:sz w:val="24"/>
                <w:u w:val="none"/>
              </w:rPr>
              <w:t>清罐废油脂</w:t>
            </w:r>
            <w:r>
              <w:rPr>
                <w:rFonts w:hint="eastAsia"/>
                <w:color w:val="auto"/>
                <w:sz w:val="24"/>
                <w:u w:val="none"/>
              </w:rPr>
              <w:t>交由有餐厨垃圾回收资质的单位处理，污水处理</w:t>
            </w:r>
            <w:r>
              <w:rPr>
                <w:rFonts w:hint="eastAsia"/>
                <w:color w:val="auto"/>
                <w:sz w:val="24"/>
                <w:u w:val="none"/>
                <w:lang w:val="en-US" w:eastAsia="zh-CN"/>
              </w:rPr>
              <w:t>栅渣、</w:t>
            </w:r>
            <w:r>
              <w:rPr>
                <w:rFonts w:hint="eastAsia"/>
                <w:color w:val="auto"/>
                <w:sz w:val="24"/>
                <w:u w:val="none"/>
              </w:rPr>
              <w:t>污泥</w:t>
            </w:r>
            <w:r>
              <w:rPr>
                <w:color w:val="auto"/>
                <w:sz w:val="24"/>
                <w:u w:val="none"/>
              </w:rPr>
              <w:t>收集后</w:t>
            </w:r>
            <w:r>
              <w:rPr>
                <w:rFonts w:hint="eastAsia"/>
                <w:color w:val="auto"/>
                <w:sz w:val="24"/>
                <w:u w:val="none"/>
              </w:rPr>
              <w:t>给</w:t>
            </w:r>
            <w:r>
              <w:rPr>
                <w:color w:val="auto"/>
                <w:sz w:val="24"/>
                <w:u w:val="none"/>
              </w:rPr>
              <w:t>当地居民用作农肥</w:t>
            </w:r>
            <w:r>
              <w:rPr>
                <w:rFonts w:hint="eastAsia"/>
                <w:color w:val="auto"/>
                <w:sz w:val="24"/>
                <w:u w:val="none"/>
              </w:rPr>
              <w:t>，纯水机废过滤材料及反渗透膜、空气净化废过滤材料</w:t>
            </w:r>
            <w:r>
              <w:rPr>
                <w:rFonts w:hint="eastAsia"/>
                <w:bCs/>
                <w:color w:val="auto"/>
                <w:spacing w:val="4"/>
                <w:sz w:val="24"/>
                <w:u w:val="none"/>
              </w:rPr>
              <w:t>由供应商回收。</w:t>
            </w:r>
          </w:p>
          <w:p>
            <w:pPr>
              <w:adjustRightInd w:val="0"/>
              <w:snapToGrid w:val="0"/>
              <w:spacing w:line="360" w:lineRule="auto"/>
              <w:ind w:right="55" w:rightChars="26" w:firstLine="496" w:firstLineChars="200"/>
              <w:jc w:val="left"/>
              <w:rPr>
                <w:bCs/>
                <w:color w:val="auto"/>
                <w:spacing w:val="4"/>
                <w:sz w:val="24"/>
                <w:u w:val="none"/>
              </w:rPr>
            </w:pPr>
            <w:r>
              <w:rPr>
                <w:rFonts w:hint="eastAsia"/>
                <w:bCs/>
                <w:color w:val="auto"/>
                <w:spacing w:val="4"/>
                <w:sz w:val="24"/>
                <w:u w:val="none"/>
              </w:rPr>
              <w:t>（2）设置危废暂存间20m</w:t>
            </w:r>
            <w:r>
              <w:rPr>
                <w:rFonts w:hint="eastAsia"/>
                <w:bCs/>
                <w:color w:val="auto"/>
                <w:spacing w:val="4"/>
                <w:sz w:val="24"/>
                <w:u w:val="none"/>
                <w:vertAlign w:val="superscript"/>
                <w:lang w:val="en-US" w:eastAsia="zh-CN"/>
              </w:rPr>
              <w:t>2</w:t>
            </w:r>
            <w:r>
              <w:rPr>
                <w:rFonts w:hint="eastAsia"/>
                <w:bCs/>
                <w:color w:val="auto"/>
                <w:spacing w:val="4"/>
                <w:sz w:val="24"/>
                <w:u w:val="none"/>
              </w:rPr>
              <w:t>,</w:t>
            </w:r>
            <w:r>
              <w:rPr>
                <w:rFonts w:hint="eastAsia"/>
                <w:color w:val="auto"/>
                <w:sz w:val="24"/>
                <w:u w:val="none"/>
              </w:rPr>
              <w:t xml:space="preserve"> </w:t>
            </w:r>
            <w:r>
              <w:rPr>
                <w:rFonts w:hint="eastAsia"/>
                <w:bCs/>
                <w:color w:val="auto"/>
                <w:spacing w:val="4"/>
                <w:sz w:val="24"/>
                <w:u w:val="none"/>
              </w:rPr>
              <w:t>废紫外灯管、废润滑油及废油桶、废化学药品及包装材料收集暂存后定期交由有资质单位处置。</w:t>
            </w:r>
          </w:p>
          <w:p>
            <w:pPr>
              <w:adjustRightInd w:val="0"/>
              <w:snapToGrid w:val="0"/>
              <w:spacing w:line="360" w:lineRule="auto"/>
              <w:ind w:right="55" w:rightChars="26" w:firstLine="496" w:firstLineChars="200"/>
              <w:jc w:val="left"/>
              <w:rPr>
                <w:rFonts w:hint="eastAsia"/>
                <w:color w:val="auto"/>
                <w:sz w:val="24"/>
                <w:u w:val="none"/>
              </w:rPr>
            </w:pPr>
            <w:r>
              <w:rPr>
                <w:rFonts w:hint="eastAsia"/>
                <w:bCs/>
                <w:color w:val="auto"/>
                <w:spacing w:val="4"/>
                <w:sz w:val="24"/>
                <w:u w:val="none"/>
              </w:rPr>
              <w:t>（3）生活垃圾收集后由环卫部门统一清运。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Align w:val="center"/>
          </w:tcPr>
          <w:p>
            <w:pPr>
              <w:adjustRightInd w:val="0"/>
              <w:snapToGrid w:val="0"/>
              <w:jc w:val="center"/>
              <w:rPr>
                <w:color w:val="auto"/>
                <w:sz w:val="24"/>
                <w:u w:val="none"/>
              </w:rPr>
            </w:pPr>
            <w:r>
              <w:rPr>
                <w:color w:val="auto"/>
                <w:sz w:val="24"/>
                <w:u w:val="none"/>
              </w:rPr>
              <w:t>土壤及地下水污染防治措施</w:t>
            </w:r>
          </w:p>
        </w:tc>
        <w:tc>
          <w:tcPr>
            <w:tcW w:w="7534" w:type="dxa"/>
            <w:gridSpan w:val="4"/>
            <w:vAlign w:val="center"/>
          </w:tcPr>
          <w:p>
            <w:pPr>
              <w:spacing w:line="360" w:lineRule="auto"/>
              <w:jc w:val="center"/>
              <w:rPr>
                <w:rFonts w:hint="eastAsia"/>
                <w:color w:val="auto"/>
                <w:sz w:val="24"/>
                <w:u w:val="none"/>
              </w:rPr>
            </w:pPr>
            <w:r>
              <w:rPr>
                <w:rFonts w:hint="eastAsia"/>
                <w:color w:val="auto"/>
                <w:sz w:val="24"/>
                <w:u w:val="none"/>
              </w:rPr>
              <w:t>食用油储罐</w:t>
            </w:r>
            <w:r>
              <w:rPr>
                <w:rFonts w:hint="eastAsia"/>
                <w:color w:val="auto"/>
                <w:sz w:val="24"/>
                <w:u w:val="none"/>
                <w:lang w:val="en-US" w:eastAsia="zh-CN"/>
              </w:rPr>
              <w:t>区设置围堰并</w:t>
            </w:r>
            <w:r>
              <w:rPr>
                <w:rFonts w:hint="eastAsia"/>
                <w:color w:val="auto"/>
                <w:sz w:val="24"/>
                <w:u w:val="none"/>
              </w:rPr>
              <w:t>防渗；</w:t>
            </w:r>
            <w:r>
              <w:rPr>
                <w:rFonts w:hint="eastAsia"/>
                <w:color w:val="auto"/>
                <w:sz w:val="24"/>
                <w:u w:val="none"/>
              </w:rPr>
              <w:t>污水处理站防腐防渗；危废暂存间地面防渗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Align w:val="center"/>
          </w:tcPr>
          <w:p>
            <w:pPr>
              <w:adjustRightInd w:val="0"/>
              <w:snapToGrid w:val="0"/>
              <w:jc w:val="center"/>
              <w:rPr>
                <w:color w:val="auto"/>
                <w:sz w:val="24"/>
                <w:u w:val="none"/>
              </w:rPr>
            </w:pPr>
            <w:r>
              <w:rPr>
                <w:color w:val="auto"/>
                <w:sz w:val="24"/>
                <w:u w:val="none"/>
              </w:rPr>
              <w:t>生态保护措施</w:t>
            </w:r>
          </w:p>
        </w:tc>
        <w:tc>
          <w:tcPr>
            <w:tcW w:w="7534" w:type="dxa"/>
            <w:gridSpan w:val="4"/>
            <w:vAlign w:val="center"/>
          </w:tcPr>
          <w:p>
            <w:pPr>
              <w:adjustRightInd w:val="0"/>
              <w:snapToGrid w:val="0"/>
              <w:spacing w:line="360" w:lineRule="auto"/>
              <w:jc w:val="center"/>
              <w:rPr>
                <w:color w:val="auto"/>
                <w:sz w:val="24"/>
                <w:u w:val="none"/>
              </w:rPr>
            </w:pPr>
            <w:r>
              <w:rPr>
                <w:color w:val="auto"/>
                <w:sz w:val="24"/>
                <w:u w:val="none"/>
              </w:rPr>
              <w:t>不涉及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Align w:val="center"/>
          </w:tcPr>
          <w:p>
            <w:pPr>
              <w:adjustRightInd w:val="0"/>
              <w:snapToGrid w:val="0"/>
              <w:jc w:val="center"/>
              <w:rPr>
                <w:color w:val="auto"/>
                <w:spacing w:val="-8"/>
                <w:sz w:val="24"/>
                <w:u w:val="none"/>
              </w:rPr>
            </w:pPr>
            <w:r>
              <w:rPr>
                <w:color w:val="auto"/>
                <w:spacing w:val="-8"/>
                <w:sz w:val="24"/>
                <w:u w:val="none"/>
              </w:rPr>
              <w:t>环境风险</w:t>
            </w:r>
          </w:p>
          <w:p>
            <w:pPr>
              <w:adjustRightInd w:val="0"/>
              <w:snapToGrid w:val="0"/>
              <w:jc w:val="center"/>
              <w:rPr>
                <w:color w:val="auto"/>
                <w:spacing w:val="-8"/>
                <w:sz w:val="24"/>
                <w:u w:val="none"/>
              </w:rPr>
            </w:pPr>
            <w:r>
              <w:rPr>
                <w:color w:val="auto"/>
                <w:spacing w:val="-8"/>
                <w:sz w:val="24"/>
                <w:u w:val="none"/>
              </w:rPr>
              <w:t>防范措施</w:t>
            </w:r>
          </w:p>
        </w:tc>
        <w:tc>
          <w:tcPr>
            <w:tcW w:w="7534" w:type="dxa"/>
            <w:gridSpan w:val="4"/>
            <w:vAlign w:val="center"/>
          </w:tcPr>
          <w:p>
            <w:pPr>
              <w:pStyle w:val="85"/>
              <w:ind w:firstLine="480"/>
              <w:rPr>
                <w:color w:val="auto"/>
                <w:szCs w:val="24"/>
                <w:u w:val="none"/>
              </w:rPr>
            </w:pPr>
            <w:r>
              <w:rPr>
                <w:rFonts w:hint="eastAsia"/>
                <w:color w:val="auto"/>
                <w:szCs w:val="24"/>
                <w:u w:val="none"/>
              </w:rPr>
              <w:t>（1）</w:t>
            </w:r>
            <w:r>
              <w:rPr>
                <w:color w:val="auto"/>
                <w:szCs w:val="24"/>
                <w:u w:val="none"/>
              </w:rPr>
              <w:t>植物油储罐区设置</w:t>
            </w:r>
            <w:r>
              <w:rPr>
                <w:rFonts w:hint="eastAsia"/>
                <w:color w:val="auto"/>
                <w:szCs w:val="24"/>
                <w:u w:val="none"/>
              </w:rPr>
              <w:t>围堰并进行防渗，禁止</w:t>
            </w:r>
            <w:r>
              <w:rPr>
                <w:color w:val="auto"/>
                <w:szCs w:val="24"/>
                <w:u w:val="none"/>
              </w:rPr>
              <w:t>火种、热源</w:t>
            </w:r>
            <w:r>
              <w:rPr>
                <w:rFonts w:hint="eastAsia"/>
                <w:color w:val="auto"/>
                <w:szCs w:val="24"/>
                <w:u w:val="none"/>
              </w:rPr>
              <w:t>。</w:t>
            </w:r>
          </w:p>
          <w:p>
            <w:pPr>
              <w:spacing w:line="360" w:lineRule="auto"/>
              <w:ind w:firstLine="480" w:firstLineChars="200"/>
              <w:jc w:val="left"/>
              <w:rPr>
                <w:color w:val="auto"/>
                <w:sz w:val="24"/>
                <w:u w:val="none"/>
              </w:rPr>
            </w:pPr>
            <w:r>
              <w:rPr>
                <w:rFonts w:hint="eastAsia"/>
                <w:color w:val="auto"/>
                <w:sz w:val="24"/>
                <w:u w:val="none"/>
              </w:rPr>
              <w:t>（2）危险固废均分类收集暂存，严格按要求设置危废暂存间；配备应急空桶、消防沙、抹布。</w:t>
            </w:r>
          </w:p>
          <w:p>
            <w:pPr>
              <w:spacing w:line="360" w:lineRule="auto"/>
              <w:ind w:firstLine="480" w:firstLineChars="200"/>
              <w:jc w:val="left"/>
              <w:rPr>
                <w:rFonts w:hint="eastAsia"/>
                <w:color w:val="auto"/>
                <w:sz w:val="24"/>
                <w:u w:val="none"/>
              </w:rPr>
            </w:pPr>
            <w:r>
              <w:rPr>
                <w:rFonts w:hint="eastAsia"/>
                <w:color w:val="auto"/>
                <w:sz w:val="24"/>
                <w:u w:val="none"/>
              </w:rPr>
              <w:t>（3）燃气使用前应检查阀门、胶管是否连接牢固；定期（至少每年一次）对天然气管道进行定期维护。</w:t>
            </w:r>
          </w:p>
          <w:p>
            <w:pPr>
              <w:pStyle w:val="85"/>
              <w:ind w:firstLine="480"/>
              <w:rPr>
                <w:color w:val="auto"/>
                <w:szCs w:val="24"/>
                <w:u w:val="none"/>
              </w:rPr>
            </w:pPr>
            <w:r>
              <w:rPr>
                <w:rFonts w:hint="eastAsia"/>
                <w:color w:val="auto"/>
                <w:szCs w:val="24"/>
                <w:u w:val="none"/>
              </w:rPr>
              <w:t>（4）</w:t>
            </w:r>
            <w:r>
              <w:rPr>
                <w:color w:val="auto"/>
                <w:szCs w:val="24"/>
                <w:u w:val="none"/>
              </w:rPr>
              <w:t>配备消防设备和消防器材</w:t>
            </w:r>
            <w:r>
              <w:rPr>
                <w:rFonts w:hint="eastAsia"/>
                <w:color w:val="auto"/>
                <w:szCs w:val="24"/>
                <w:u w:val="none"/>
              </w:rPr>
              <w:t>；食用油储罐</w:t>
            </w:r>
            <w:r>
              <w:rPr>
                <w:color w:val="auto"/>
                <w:szCs w:val="24"/>
                <w:u w:val="none"/>
              </w:rPr>
              <w:t>必须远离动火点</w:t>
            </w:r>
            <w:r>
              <w:rPr>
                <w:rFonts w:hint="eastAsia"/>
                <w:color w:val="auto"/>
                <w:szCs w:val="24"/>
                <w:u w:val="none"/>
              </w:rPr>
              <w:t>；对设备、管线等定期检查、保养、维修；发生火灾爆炸时及时采取应急措施。</w:t>
            </w:r>
          </w:p>
          <w:p>
            <w:pPr>
              <w:pStyle w:val="85"/>
              <w:ind w:firstLine="480"/>
              <w:rPr>
                <w:rFonts w:hint="eastAsia"/>
                <w:color w:val="auto"/>
                <w:szCs w:val="24"/>
                <w:u w:val="none"/>
              </w:rPr>
            </w:pPr>
            <w:r>
              <w:rPr>
                <w:rFonts w:hint="eastAsia"/>
                <w:color w:val="auto"/>
                <w:szCs w:val="24"/>
                <w:u w:val="none"/>
              </w:rPr>
              <w:t>（5）加强污水处理站机械设备定期检查和维护，配备备用电源、应急泵，当污水处理系统出现故障时，应停止废水外排。</w:t>
            </w:r>
          </w:p>
          <w:p>
            <w:pPr>
              <w:pStyle w:val="85"/>
              <w:ind w:firstLine="480"/>
              <w:rPr>
                <w:rFonts w:hint="eastAsia"/>
                <w:color w:val="auto"/>
                <w:szCs w:val="24"/>
                <w:u w:val="none"/>
              </w:rPr>
            </w:pPr>
            <w:r>
              <w:rPr>
                <w:rFonts w:hint="eastAsia"/>
                <w:color w:val="auto"/>
                <w:szCs w:val="24"/>
                <w:u w:val="none"/>
              </w:rPr>
              <w:t>（6）加强废气处理设施定期检查和维护，定期对废气排放口的污染物浓度进行监测。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6" w:type="dxa"/>
            <w:vAlign w:val="center"/>
          </w:tcPr>
          <w:p>
            <w:pPr>
              <w:adjustRightInd w:val="0"/>
              <w:snapToGrid w:val="0"/>
              <w:jc w:val="center"/>
              <w:rPr>
                <w:color w:val="auto"/>
                <w:spacing w:val="-8"/>
                <w:sz w:val="24"/>
                <w:u w:val="none"/>
              </w:rPr>
            </w:pPr>
            <w:r>
              <w:rPr>
                <w:color w:val="auto"/>
                <w:spacing w:val="-8"/>
                <w:sz w:val="24"/>
                <w:u w:val="none"/>
              </w:rPr>
              <w:t>其他环境</w:t>
            </w:r>
          </w:p>
          <w:p>
            <w:pPr>
              <w:adjustRightInd w:val="0"/>
              <w:snapToGrid w:val="0"/>
              <w:jc w:val="center"/>
              <w:rPr>
                <w:color w:val="auto"/>
                <w:spacing w:val="-8"/>
                <w:sz w:val="24"/>
                <w:u w:val="none"/>
              </w:rPr>
            </w:pPr>
            <w:r>
              <w:rPr>
                <w:color w:val="auto"/>
                <w:spacing w:val="-8"/>
                <w:sz w:val="24"/>
                <w:u w:val="none"/>
              </w:rPr>
              <w:t>管理要求</w:t>
            </w:r>
          </w:p>
        </w:tc>
        <w:tc>
          <w:tcPr>
            <w:tcW w:w="7534" w:type="dxa"/>
            <w:gridSpan w:val="4"/>
            <w:vAlign w:val="center"/>
          </w:tcPr>
          <w:p>
            <w:pPr>
              <w:pStyle w:val="85"/>
              <w:ind w:firstLine="199" w:firstLineChars="83"/>
              <w:rPr>
                <w:color w:val="auto"/>
                <w:szCs w:val="24"/>
                <w:u w:val="none"/>
              </w:rPr>
            </w:pPr>
            <w:r>
              <w:rPr>
                <w:rFonts w:hint="eastAsia"/>
                <w:color w:val="auto"/>
                <w:szCs w:val="24"/>
                <w:u w:val="none"/>
              </w:rPr>
              <w:t>（1）建立环境管理体系</w:t>
            </w:r>
          </w:p>
          <w:p>
            <w:pPr>
              <w:pStyle w:val="85"/>
              <w:ind w:firstLine="480"/>
              <w:rPr>
                <w:color w:val="auto"/>
                <w:szCs w:val="24"/>
                <w:u w:val="none"/>
              </w:rPr>
            </w:pPr>
            <w:r>
              <w:rPr>
                <w:rFonts w:hint="eastAsia"/>
                <w:color w:val="auto"/>
                <w:szCs w:val="24"/>
                <w:u w:val="none"/>
              </w:rPr>
              <w:t>为做好环境管理工作，企业应建立环境管理体系，将环境管理工作自上而下的贯穿到企业的管理中，环境管理体系如下：</w:t>
            </w:r>
          </w:p>
          <w:p>
            <w:pPr>
              <w:pStyle w:val="85"/>
              <w:ind w:firstLine="480"/>
              <w:rPr>
                <w:color w:val="auto"/>
                <w:szCs w:val="24"/>
                <w:u w:val="none"/>
              </w:rPr>
            </w:pPr>
            <w:r>
              <w:rPr>
                <w:rFonts w:hint="eastAsia"/>
                <w:color w:val="auto"/>
                <w:szCs w:val="24"/>
                <w:u w:val="none"/>
              </w:rPr>
              <w:t>①企业的环境管理工作实行企业主要负责人负责制，并制定环保方针、制度、规划，协调人力、物力和财力等方面，将环境管理和生产管理结合起来。</w:t>
            </w:r>
          </w:p>
          <w:p>
            <w:pPr>
              <w:pStyle w:val="85"/>
              <w:ind w:firstLine="480"/>
              <w:rPr>
                <w:color w:val="auto"/>
                <w:szCs w:val="24"/>
                <w:u w:val="none"/>
              </w:rPr>
            </w:pPr>
            <w:r>
              <w:rPr>
                <w:rFonts w:hint="eastAsia"/>
                <w:color w:val="auto"/>
                <w:szCs w:val="24"/>
                <w:u w:val="none"/>
              </w:rPr>
              <w:t>②建立环境管理机构，配备环保管理人员1~2名，负责本企业的环境管理工作，并负责与政府环保主管部门的联系与协调工作。</w:t>
            </w:r>
          </w:p>
          <w:p>
            <w:pPr>
              <w:pStyle w:val="85"/>
              <w:ind w:firstLine="480"/>
              <w:rPr>
                <w:color w:val="auto"/>
                <w:szCs w:val="24"/>
                <w:u w:val="none"/>
              </w:rPr>
            </w:pPr>
            <w:r>
              <w:rPr>
                <w:rFonts w:hint="eastAsia"/>
                <w:color w:val="auto"/>
                <w:szCs w:val="24"/>
                <w:u w:val="none"/>
              </w:rPr>
              <w:t>③以水、气、声等环境要素的保护和改善作为推动企业环境保护工作的基础，并在营运过程中检查环境管理的成效。</w:t>
            </w:r>
          </w:p>
          <w:p>
            <w:pPr>
              <w:pStyle w:val="85"/>
              <w:ind w:firstLine="480"/>
              <w:rPr>
                <w:color w:val="auto"/>
                <w:szCs w:val="24"/>
                <w:u w:val="none"/>
              </w:rPr>
            </w:pPr>
            <w:r>
              <w:rPr>
                <w:rFonts w:hint="eastAsia"/>
                <w:color w:val="auto"/>
                <w:szCs w:val="24"/>
                <w:u w:val="none"/>
              </w:rPr>
              <w:t>④按照所制定的环保方针和环境管理方案，将环境管理目标和指标层层分解，落实到各生产部门和人，签订责任书，定期考核。</w:t>
            </w:r>
          </w:p>
          <w:p>
            <w:pPr>
              <w:pStyle w:val="85"/>
              <w:ind w:firstLine="480"/>
              <w:rPr>
                <w:color w:val="auto"/>
                <w:szCs w:val="24"/>
                <w:u w:val="none"/>
              </w:rPr>
            </w:pPr>
            <w:r>
              <w:rPr>
                <w:rFonts w:hint="eastAsia"/>
                <w:color w:val="auto"/>
                <w:szCs w:val="24"/>
                <w:u w:val="none"/>
              </w:rPr>
              <w:t>⑤按照环境管理的要求，将计划实现的目标和过程编制成文件，有关指标制成目标管理图表，标明工作内容和进度，以便与目标对比，及时掌握环保工作的进展情况。</w:t>
            </w:r>
          </w:p>
          <w:p>
            <w:pPr>
              <w:pStyle w:val="85"/>
              <w:ind w:firstLine="0" w:firstLineChars="0"/>
              <w:rPr>
                <w:color w:val="auto"/>
                <w:szCs w:val="24"/>
                <w:u w:val="none"/>
              </w:rPr>
            </w:pPr>
            <w:r>
              <w:rPr>
                <w:rFonts w:hint="eastAsia"/>
                <w:color w:val="auto"/>
                <w:szCs w:val="24"/>
                <w:u w:val="none"/>
              </w:rPr>
              <w:t>（2）环境管理规章制度</w:t>
            </w:r>
          </w:p>
          <w:p>
            <w:pPr>
              <w:pStyle w:val="85"/>
              <w:ind w:firstLine="480"/>
              <w:rPr>
                <w:color w:val="auto"/>
                <w:szCs w:val="24"/>
                <w:u w:val="none"/>
              </w:rPr>
            </w:pPr>
            <w:r>
              <w:rPr>
                <w:rFonts w:hint="eastAsia"/>
                <w:color w:val="auto"/>
                <w:szCs w:val="24"/>
                <w:u w:val="none"/>
              </w:rPr>
              <w:t>要求建立和完善环境管理制度，主要有：①环境管理岗位责任制；②环保设施运行和管理制度；③环境污染物排放和监测制度；④环境污染事故应急和处理制度；⑤营运过程中的环境管理制度。</w:t>
            </w:r>
          </w:p>
          <w:p>
            <w:pPr>
              <w:pStyle w:val="85"/>
              <w:ind w:firstLine="0" w:firstLineChars="0"/>
              <w:rPr>
                <w:color w:val="auto"/>
                <w:szCs w:val="24"/>
                <w:u w:val="none"/>
              </w:rPr>
            </w:pPr>
            <w:r>
              <w:rPr>
                <w:rFonts w:hint="eastAsia"/>
                <w:color w:val="auto"/>
                <w:szCs w:val="24"/>
                <w:u w:val="none"/>
              </w:rPr>
              <w:t>（3）环境管理机构的日常管理工作内容</w:t>
            </w:r>
          </w:p>
          <w:p>
            <w:pPr>
              <w:pStyle w:val="85"/>
              <w:ind w:firstLine="480"/>
              <w:rPr>
                <w:color w:val="auto"/>
                <w:szCs w:val="24"/>
                <w:u w:val="none"/>
              </w:rPr>
            </w:pPr>
            <w:r>
              <w:rPr>
                <w:rFonts w:hint="eastAsia"/>
                <w:color w:val="auto"/>
                <w:szCs w:val="24"/>
                <w:u w:val="none"/>
              </w:rPr>
              <w:t>①贯彻执行中华人民共和国的环境保护法规和标准，接受环保主管部门的检查监督，定期上报各项管理工作的执行情况。</w:t>
            </w:r>
          </w:p>
          <w:p>
            <w:pPr>
              <w:pStyle w:val="85"/>
              <w:ind w:firstLine="480"/>
              <w:rPr>
                <w:color w:val="auto"/>
                <w:szCs w:val="24"/>
                <w:u w:val="none"/>
              </w:rPr>
            </w:pPr>
            <w:r>
              <w:rPr>
                <w:rFonts w:hint="eastAsia"/>
                <w:color w:val="auto"/>
                <w:szCs w:val="24"/>
                <w:u w:val="none"/>
              </w:rPr>
              <w:t>③组织制定各部门的环保管理规章制度，并监督执行。</w:t>
            </w:r>
          </w:p>
          <w:p>
            <w:pPr>
              <w:pStyle w:val="85"/>
              <w:ind w:firstLine="480"/>
              <w:rPr>
                <w:color w:val="auto"/>
                <w:szCs w:val="24"/>
                <w:u w:val="none"/>
              </w:rPr>
            </w:pPr>
            <w:r>
              <w:rPr>
                <w:rFonts w:hint="eastAsia"/>
                <w:color w:val="auto"/>
                <w:szCs w:val="24"/>
                <w:u w:val="none"/>
              </w:rPr>
              <w:t>④企业内部环保治理设备的运转以及日常维护保养，保证其正常运转；</w:t>
            </w:r>
          </w:p>
          <w:p>
            <w:pPr>
              <w:pStyle w:val="85"/>
              <w:ind w:firstLine="480"/>
              <w:rPr>
                <w:color w:val="auto"/>
                <w:szCs w:val="24"/>
                <w:u w:val="none"/>
              </w:rPr>
            </w:pPr>
            <w:r>
              <w:rPr>
                <w:rFonts w:hint="eastAsia"/>
                <w:color w:val="auto"/>
                <w:szCs w:val="24"/>
                <w:u w:val="none"/>
              </w:rPr>
              <w:t>⑤组织参加环境监测工作。</w:t>
            </w:r>
          </w:p>
          <w:p>
            <w:pPr>
              <w:pStyle w:val="85"/>
              <w:ind w:firstLine="480"/>
              <w:rPr>
                <w:color w:val="auto"/>
                <w:szCs w:val="24"/>
                <w:u w:val="none"/>
              </w:rPr>
            </w:pPr>
            <w:r>
              <w:rPr>
                <w:rFonts w:hint="eastAsia"/>
                <w:color w:val="auto"/>
                <w:szCs w:val="24"/>
                <w:u w:val="none"/>
              </w:rPr>
              <w:t>⑥定期进行审计，检查环境管理计划实施情况，使环境污染的治理、管理和控制不断得到改善，使企业对环境的影响降到最低程度。</w:t>
            </w:r>
          </w:p>
          <w:p>
            <w:pPr>
              <w:pStyle w:val="85"/>
              <w:ind w:firstLine="0" w:firstLineChars="0"/>
              <w:rPr>
                <w:color w:val="auto"/>
                <w:szCs w:val="24"/>
                <w:u w:val="none"/>
              </w:rPr>
            </w:pPr>
            <w:r>
              <w:rPr>
                <w:rFonts w:hint="eastAsia"/>
                <w:color w:val="auto"/>
                <w:szCs w:val="24"/>
                <w:u w:val="none"/>
              </w:rPr>
              <w:t>（4）排污口规范化设置</w:t>
            </w:r>
          </w:p>
          <w:p>
            <w:pPr>
              <w:pStyle w:val="85"/>
              <w:ind w:firstLine="480"/>
              <w:rPr>
                <w:color w:val="auto"/>
                <w:szCs w:val="24"/>
                <w:u w:val="none"/>
              </w:rPr>
            </w:pPr>
            <w:r>
              <w:rPr>
                <w:rFonts w:hint="eastAsia"/>
                <w:color w:val="auto"/>
                <w:szCs w:val="24"/>
                <w:u w:val="none"/>
              </w:rPr>
              <w:t>根据国家环境保护总局《关于开展排放口规范化整治工作的通知》(2006年6月5日修正)和《排污口规范化整治技术要求》等规定的要求，一切新建、改扩建、改建的排污单位以及限期治理的排污单位必须在建设污染治理设施的同时，建设规范化排放口。因此，建设项目产生的各类污染物排放口必须规范化，而且规范化工作的完成必须与污染治理设施同步。</w:t>
            </w:r>
          </w:p>
          <w:p>
            <w:pPr>
              <w:pStyle w:val="85"/>
              <w:ind w:firstLine="0" w:firstLineChars="0"/>
              <w:rPr>
                <w:color w:val="auto"/>
                <w:szCs w:val="24"/>
                <w:u w:val="none"/>
              </w:rPr>
            </w:pPr>
            <w:r>
              <w:rPr>
                <w:rFonts w:hint="eastAsia"/>
                <w:color w:val="auto"/>
                <w:szCs w:val="24"/>
                <w:u w:val="none"/>
              </w:rPr>
              <w:t>（5）排污许可及环保竣工验收</w:t>
            </w:r>
          </w:p>
          <w:p>
            <w:pPr>
              <w:pStyle w:val="85"/>
              <w:ind w:firstLine="480"/>
              <w:rPr>
                <w:rFonts w:hint="eastAsia"/>
                <w:color w:val="auto"/>
                <w:szCs w:val="24"/>
                <w:u w:val="none"/>
                <w:lang w:eastAsia="zh-CN"/>
              </w:rPr>
            </w:pPr>
            <w:r>
              <w:rPr>
                <w:rFonts w:hint="eastAsia"/>
                <w:color w:val="auto"/>
                <w:szCs w:val="24"/>
                <w:u w:val="none"/>
                <w:lang w:val="en-US" w:eastAsia="zh-CN"/>
              </w:rPr>
              <w:t>本项目麻辣豆豉及腐乳生产行业类别为“</w:t>
            </w:r>
            <w:r>
              <w:rPr>
                <w:color w:val="auto"/>
                <w:sz w:val="24"/>
                <w:u w:val="none"/>
              </w:rPr>
              <w:t>C13</w:t>
            </w:r>
            <w:r>
              <w:rPr>
                <w:rFonts w:hint="eastAsia"/>
                <w:color w:val="auto"/>
                <w:sz w:val="24"/>
                <w:u w:val="none"/>
              </w:rPr>
              <w:t>92豆制品制造</w:t>
            </w:r>
            <w:r>
              <w:rPr>
                <w:rFonts w:hint="eastAsia"/>
                <w:color w:val="auto"/>
                <w:szCs w:val="24"/>
                <w:u w:val="none"/>
                <w:lang w:val="en-US" w:eastAsia="zh-CN"/>
              </w:rPr>
              <w:t>”</w:t>
            </w:r>
            <w:r>
              <w:rPr>
                <w:rFonts w:hint="eastAsia"/>
                <w:color w:val="auto"/>
                <w:sz w:val="24"/>
                <w:u w:val="none"/>
                <w:lang w:eastAsia="zh-CN"/>
              </w:rPr>
              <w:t>，</w:t>
            </w:r>
            <w:r>
              <w:rPr>
                <w:rFonts w:hint="eastAsia"/>
                <w:color w:val="auto"/>
                <w:sz w:val="24"/>
                <w:u w:val="none"/>
                <w:lang w:val="en-US" w:eastAsia="zh-CN"/>
              </w:rPr>
              <w:t>年加工豆类2893t/a</w:t>
            </w:r>
            <w:r>
              <w:rPr>
                <w:rFonts w:hint="eastAsia"/>
                <w:color w:val="auto"/>
                <w:sz w:val="24"/>
                <w:u w:val="none"/>
                <w:lang w:eastAsia="zh-CN"/>
              </w:rPr>
              <w:t>，</w:t>
            </w:r>
            <w:r>
              <w:rPr>
                <w:rFonts w:hint="eastAsia"/>
                <w:color w:val="auto"/>
                <w:szCs w:val="24"/>
                <w:u w:val="none"/>
                <w:lang w:val="en-US" w:eastAsia="zh-CN"/>
              </w:rPr>
              <w:t>根据《固定污染源排污许可分类管理名录（2019年版）》，属于《名录》中“16其他农副食品加工——除重点管理以外的年加工能力0.1万吨及以上薯类或豆类”，为简化管理；</w:t>
            </w:r>
            <w:r>
              <w:rPr>
                <w:rFonts w:hint="eastAsia"/>
                <w:color w:val="auto"/>
                <w:sz w:val="24"/>
                <w:u w:val="none"/>
              </w:rPr>
              <w:t>油辣椒及剁辣椒生产</w:t>
            </w:r>
            <w:r>
              <w:rPr>
                <w:rFonts w:hint="eastAsia"/>
                <w:color w:val="auto"/>
                <w:sz w:val="24"/>
                <w:u w:val="none"/>
                <w:lang w:val="en-US" w:eastAsia="zh-CN"/>
              </w:rPr>
              <w:t>行业类别为“</w:t>
            </w:r>
            <w:r>
              <w:rPr>
                <w:rFonts w:hint="eastAsia"/>
                <w:color w:val="auto"/>
                <w:sz w:val="24"/>
                <w:u w:val="none"/>
              </w:rPr>
              <w:t>C1469其他调味品、发酵制品制造</w:t>
            </w:r>
            <w:r>
              <w:rPr>
                <w:rFonts w:hint="eastAsia"/>
                <w:color w:val="auto"/>
                <w:sz w:val="24"/>
                <w:u w:val="none"/>
                <w:lang w:val="en-US" w:eastAsia="zh-CN"/>
              </w:rPr>
              <w:t>”</w:t>
            </w:r>
            <w:r>
              <w:rPr>
                <w:rFonts w:hint="eastAsia"/>
                <w:color w:val="auto"/>
                <w:sz w:val="24"/>
                <w:u w:val="none"/>
                <w:lang w:eastAsia="zh-CN"/>
              </w:rPr>
              <w:t>，</w:t>
            </w:r>
            <w:r>
              <w:rPr>
                <w:rFonts w:hint="eastAsia"/>
                <w:color w:val="auto"/>
                <w:sz w:val="24"/>
                <w:u w:val="none"/>
                <w:lang w:val="en-US" w:eastAsia="zh-CN"/>
              </w:rPr>
              <w:t>属于《名录》中“20调味品、发酵制品制造——除重点管理以外的调味品、发酵制品制造（不含单纯混合或者分装的）”，为简化管理；下饭菜生产行业类别为“</w:t>
            </w:r>
            <w:r>
              <w:rPr>
                <w:rFonts w:hint="eastAsia"/>
                <w:color w:val="auto"/>
                <w:sz w:val="24"/>
                <w:u w:val="none"/>
              </w:rPr>
              <w:t>C145罐头食品制造</w:t>
            </w:r>
            <w:r>
              <w:rPr>
                <w:rFonts w:hint="eastAsia"/>
                <w:color w:val="auto"/>
                <w:sz w:val="24"/>
                <w:u w:val="none"/>
                <w:lang w:val="en-US" w:eastAsia="zh-CN"/>
              </w:rPr>
              <w:t>”，属于《名录》中“18罐头食品制造——其他”，为登记管理；食用油分装行业类别为“</w:t>
            </w:r>
            <w:r>
              <w:rPr>
                <w:rFonts w:hint="eastAsia"/>
                <w:color w:val="auto"/>
                <w:sz w:val="24"/>
                <w:u w:val="none"/>
              </w:rPr>
              <w:t>C1331食用植物油加工</w:t>
            </w:r>
            <w:r>
              <w:rPr>
                <w:rFonts w:hint="eastAsia"/>
                <w:color w:val="auto"/>
                <w:sz w:val="24"/>
                <w:u w:val="none"/>
                <w:lang w:val="en-US" w:eastAsia="zh-CN"/>
              </w:rPr>
              <w:t>”，属于《名录》中“11植物油加工——单纯混合或者分装的”为登记管理；按最高级别，建设单位应实行排污许可简化管理，</w:t>
            </w:r>
            <w:r>
              <w:rPr>
                <w:rFonts w:hint="eastAsia"/>
                <w:color w:val="auto"/>
                <w:szCs w:val="24"/>
                <w:u w:val="none"/>
              </w:rPr>
              <w:t>项目建成投产排污前应</w:t>
            </w:r>
            <w:r>
              <w:rPr>
                <w:rFonts w:hint="eastAsia"/>
                <w:color w:val="auto"/>
                <w:szCs w:val="24"/>
                <w:u w:val="none"/>
                <w:lang w:val="en-US" w:eastAsia="zh-CN"/>
              </w:rPr>
              <w:t>重新申领</w:t>
            </w:r>
            <w:r>
              <w:rPr>
                <w:rFonts w:hint="eastAsia"/>
                <w:color w:val="auto"/>
                <w:szCs w:val="24"/>
                <w:u w:val="none"/>
              </w:rPr>
              <w:t>排污许可证</w:t>
            </w:r>
            <w:r>
              <w:rPr>
                <w:rFonts w:hint="eastAsia"/>
                <w:color w:val="auto"/>
                <w:szCs w:val="24"/>
                <w:u w:val="none"/>
                <w:lang w:eastAsia="zh-CN"/>
              </w:rPr>
              <w:t>。</w:t>
            </w:r>
          </w:p>
          <w:p>
            <w:pPr>
              <w:pStyle w:val="85"/>
              <w:ind w:firstLine="480"/>
              <w:rPr>
                <w:color w:val="auto"/>
                <w:szCs w:val="24"/>
                <w:u w:val="none"/>
              </w:rPr>
            </w:pPr>
            <w:r>
              <w:rPr>
                <w:rFonts w:hint="eastAsia"/>
                <w:color w:val="auto"/>
                <w:szCs w:val="24"/>
                <w:u w:val="none"/>
              </w:rPr>
              <w:t>项目取得排污许可证之后及时组织项目竣工环保验收，验收通过后方可正式运行。环保竣工验收资料及时报送环境保护主管部门备案并公示。</w:t>
            </w:r>
          </w:p>
        </w:tc>
      </w:tr>
    </w:tbl>
    <w:p>
      <w:pPr>
        <w:pStyle w:val="23"/>
        <w:jc w:val="center"/>
        <w:outlineLvl w:val="0"/>
        <w:rPr>
          <w:rFonts w:ascii="Times New Roman" w:hAnsi="Times New Roman"/>
          <w:snapToGrid w:val="0"/>
          <w:color w:val="auto"/>
          <w:sz w:val="30"/>
          <w:szCs w:val="30"/>
          <w:u w:val="none"/>
        </w:rPr>
      </w:pPr>
      <w:r>
        <w:rPr>
          <w:rFonts w:ascii="Times New Roman" w:hAnsi="Times New Roman"/>
          <w:snapToGrid w:val="0"/>
          <w:color w:val="auto"/>
          <w:u w:val="none"/>
        </w:rPr>
        <w:br w:type="page"/>
      </w:r>
      <w:bookmarkStart w:id="15" w:name="_Toc11046"/>
      <w:r>
        <w:rPr>
          <w:rFonts w:ascii="Times New Roman" w:hAnsi="Times New Roman"/>
          <w:snapToGrid w:val="0"/>
          <w:color w:val="auto"/>
          <w:sz w:val="30"/>
          <w:szCs w:val="30"/>
          <w:u w:val="none"/>
        </w:rPr>
        <w:t>六、结论</w:t>
      </w:r>
      <w:bookmarkEnd w:id="15"/>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pPr>
              <w:pStyle w:val="85"/>
              <w:ind w:firstLine="480"/>
              <w:rPr>
                <w:color w:val="auto"/>
                <w:u w:val="none"/>
              </w:rPr>
            </w:pPr>
            <w:r>
              <w:rPr>
                <w:rFonts w:hint="eastAsia"/>
                <w:color w:val="auto"/>
                <w:u w:val="none"/>
              </w:rPr>
              <w:t>综上，湖南金甸甸食品有限公司</w:t>
            </w:r>
            <w:r>
              <w:rPr>
                <w:rFonts w:hint="eastAsia"/>
                <w:color w:val="auto"/>
                <w:u w:val="none"/>
                <w:lang w:eastAsia="zh-CN"/>
              </w:rPr>
              <w:t>年产260万件（2.1万吨）调味食品及分装食用油迁扩建项目</w:t>
            </w:r>
            <w:r>
              <w:rPr>
                <w:rFonts w:hint="eastAsia"/>
                <w:color w:val="auto"/>
                <w:u w:val="none"/>
              </w:rPr>
              <w:t>符合国家相关产业政策，选址合理，总平面布置合理。项目实施后不会对地表水、环境空气、声环境产生明显影响，环境风险可控。建设单位在认真严格落实本报告中提出的各项污染防治措施的前提下，营运期产生的废水、</w:t>
            </w:r>
            <w:r>
              <w:rPr>
                <w:color w:val="auto"/>
                <w:u w:val="none"/>
              </w:rPr>
              <w:t>废气、噪声</w:t>
            </w:r>
            <w:r>
              <w:rPr>
                <w:rFonts w:hint="eastAsia"/>
                <w:color w:val="auto"/>
                <w:u w:val="none"/>
              </w:rPr>
              <w:t>可做到达标排放，固体废物得到综合利用或</w:t>
            </w:r>
            <w:r>
              <w:rPr>
                <w:color w:val="auto"/>
                <w:u w:val="none"/>
              </w:rPr>
              <w:t>合理有效处置</w:t>
            </w:r>
            <w:r>
              <w:rPr>
                <w:rFonts w:hint="eastAsia"/>
                <w:color w:val="auto"/>
                <w:u w:val="none"/>
              </w:rPr>
              <w:t>，对周围的环境影响小。</w:t>
            </w:r>
            <w:r>
              <w:rPr>
                <w:color w:val="auto"/>
                <w:u w:val="none"/>
              </w:rPr>
              <w:t>因此，</w:t>
            </w:r>
            <w:r>
              <w:rPr>
                <w:rFonts w:hint="eastAsia"/>
                <w:color w:val="auto"/>
                <w:u w:val="none"/>
              </w:rPr>
              <w:t>从环境保护角度考虑，本</w:t>
            </w:r>
            <w:r>
              <w:rPr>
                <w:color w:val="auto"/>
                <w:u w:val="none"/>
              </w:rPr>
              <w:t>项目</w:t>
            </w:r>
            <w:r>
              <w:rPr>
                <w:rFonts w:hint="eastAsia"/>
                <w:color w:val="auto"/>
                <w:u w:val="none"/>
              </w:rPr>
              <w:t>的</w:t>
            </w:r>
            <w:r>
              <w:rPr>
                <w:color w:val="auto"/>
                <w:u w:val="none"/>
              </w:rPr>
              <w:t>建设</w:t>
            </w:r>
            <w:r>
              <w:rPr>
                <w:rFonts w:hint="eastAsia"/>
                <w:color w:val="auto"/>
                <w:u w:val="none"/>
              </w:rPr>
              <w:t>是</w:t>
            </w:r>
            <w:r>
              <w:rPr>
                <w:color w:val="auto"/>
                <w:u w:val="none"/>
              </w:rPr>
              <w:t>可行</w:t>
            </w:r>
            <w:r>
              <w:rPr>
                <w:rFonts w:hint="eastAsia"/>
                <w:color w:val="auto"/>
                <w:u w:val="none"/>
              </w:rPr>
              <w:t>的</w:t>
            </w:r>
            <w:r>
              <w:rPr>
                <w:color w:val="auto"/>
                <w:u w:val="none"/>
              </w:rPr>
              <w:t>。</w:t>
            </w:r>
          </w:p>
          <w:p>
            <w:pPr>
              <w:spacing w:line="360" w:lineRule="auto"/>
              <w:ind w:firstLine="480" w:firstLineChars="200"/>
              <w:rPr>
                <w:color w:val="auto"/>
                <w:sz w:val="24"/>
                <w:u w:val="none"/>
              </w:rPr>
            </w:pPr>
          </w:p>
          <w:p>
            <w:pPr>
              <w:spacing w:line="360" w:lineRule="auto"/>
              <w:ind w:firstLine="480" w:firstLineChars="200"/>
              <w:rPr>
                <w:color w:val="auto"/>
                <w:sz w:val="24"/>
                <w:u w:val="none"/>
              </w:rPr>
            </w:pPr>
          </w:p>
        </w:tc>
      </w:tr>
    </w:tbl>
    <w:p>
      <w:pPr>
        <w:rPr>
          <w:color w:val="auto"/>
          <w:u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3"/>
        <w:outlineLvl w:val="0"/>
        <w:rPr>
          <w:rFonts w:ascii="Times New Roman" w:hAnsi="Times New Roman"/>
          <w:snapToGrid w:val="0"/>
          <w:color w:val="auto"/>
          <w:sz w:val="30"/>
          <w:szCs w:val="30"/>
          <w:u w:val="none"/>
        </w:rPr>
      </w:pPr>
      <w:bookmarkStart w:id="16" w:name="_Toc283"/>
      <w:r>
        <w:rPr>
          <w:rFonts w:ascii="Times New Roman" w:hAnsi="Times New Roman"/>
          <w:snapToGrid w:val="0"/>
          <w:color w:val="auto"/>
          <w:sz w:val="30"/>
          <w:szCs w:val="30"/>
          <w:u w:val="none"/>
        </w:rPr>
        <w:t>附表</w:t>
      </w:r>
      <w:bookmarkEnd w:id="16"/>
    </w:p>
    <w:p>
      <w:pPr>
        <w:jc w:val="center"/>
        <w:rPr>
          <w:b/>
          <w:color w:val="auto"/>
          <w:sz w:val="36"/>
          <w:szCs w:val="36"/>
          <w:u w:val="none"/>
        </w:rPr>
      </w:pPr>
      <w:bookmarkStart w:id="17" w:name="_Toc10719"/>
      <w:r>
        <w:rPr>
          <w:b/>
          <w:color w:val="auto"/>
          <w:sz w:val="36"/>
          <w:szCs w:val="36"/>
          <w:u w:val="none"/>
        </w:rPr>
        <w:t>建设项目污染物排放量汇总表</w:t>
      </w:r>
      <w:bookmarkEnd w:id="17"/>
    </w:p>
    <w:tbl>
      <w:tblPr>
        <w:tblStyle w:val="27"/>
        <w:tblW w:w="1379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2127"/>
        <w:gridCol w:w="1559"/>
        <w:gridCol w:w="1138"/>
        <w:gridCol w:w="1702"/>
        <w:gridCol w:w="1560"/>
        <w:gridCol w:w="1762"/>
        <w:gridCol w:w="1492"/>
        <w:gridCol w:w="1276"/>
        <w:gridCol w:w="1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tcBorders>
              <w:tl2br w:val="single" w:color="auto" w:sz="4" w:space="0"/>
            </w:tcBorders>
            <w:tcMar>
              <w:left w:w="28" w:type="dxa"/>
              <w:right w:w="28" w:type="dxa"/>
            </w:tcMar>
            <w:vAlign w:val="center"/>
          </w:tcPr>
          <w:p>
            <w:pPr>
              <w:pStyle w:val="47"/>
              <w:spacing w:beforeLines="0" w:afterLines="0" w:line="240" w:lineRule="auto"/>
              <w:jc w:val="right"/>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项目</w:t>
            </w:r>
          </w:p>
          <w:p>
            <w:pPr>
              <w:pStyle w:val="47"/>
              <w:spacing w:beforeLines="0" w:afterLines="0" w:line="240" w:lineRule="auto"/>
              <w:jc w:val="left"/>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分类</w:t>
            </w:r>
          </w:p>
        </w:tc>
        <w:tc>
          <w:tcPr>
            <w:tcW w:w="2127" w:type="dxa"/>
            <w:tcMar>
              <w:left w:w="28" w:type="dxa"/>
              <w:right w:w="28" w:type="dxa"/>
            </w:tcMar>
            <w:vAlign w:val="center"/>
          </w:tcPr>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污染物名称</w:t>
            </w:r>
          </w:p>
        </w:tc>
        <w:tc>
          <w:tcPr>
            <w:tcW w:w="1559" w:type="dxa"/>
            <w:tcMar>
              <w:left w:w="28" w:type="dxa"/>
              <w:right w:w="28" w:type="dxa"/>
            </w:tcMar>
            <w:vAlign w:val="center"/>
          </w:tcPr>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现有工程</w:t>
            </w:r>
          </w:p>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排放量（固体废物产生量）</w:t>
            </w:r>
            <w:r>
              <w:rPr>
                <w:rFonts w:ascii="Times New Roman"/>
                <w:snapToGrid w:val="0"/>
                <w:color w:val="auto"/>
                <w:spacing w:val="-6"/>
                <w:kern w:val="21"/>
                <w:szCs w:val="21"/>
                <w:u w:val="none"/>
                <w:lang w:val="en-US" w:eastAsia="zh-CN"/>
              </w:rPr>
              <w:fldChar w:fldCharType="begin"/>
            </w:r>
            <w:r>
              <w:rPr>
                <w:rFonts w:ascii="Times New Roman"/>
                <w:snapToGrid w:val="0"/>
                <w:color w:val="auto"/>
                <w:spacing w:val="-6"/>
                <w:kern w:val="21"/>
                <w:szCs w:val="21"/>
                <w:u w:val="none"/>
                <w:lang w:val="en-US" w:eastAsia="zh-CN"/>
              </w:rPr>
              <w:instrText xml:space="preserve"> = 1 \* GB3 \* MERGEFORMAT </w:instrText>
            </w:r>
            <w:r>
              <w:rPr>
                <w:rFonts w:ascii="Times New Roman"/>
                <w:snapToGrid w:val="0"/>
                <w:color w:val="auto"/>
                <w:spacing w:val="-6"/>
                <w:kern w:val="21"/>
                <w:szCs w:val="21"/>
                <w:u w:val="none"/>
                <w:lang w:val="en-US" w:eastAsia="zh-CN"/>
              </w:rPr>
              <w:fldChar w:fldCharType="separate"/>
            </w:r>
            <w:r>
              <w:rPr>
                <w:rFonts w:ascii="Cambria Math" w:hAnsi="Cambria Math" w:cs="Cambria Math"/>
                <w:color w:val="auto"/>
                <w:kern w:val="2"/>
                <w:szCs w:val="21"/>
                <w:u w:val="none"/>
                <w:lang w:val="en-US" w:eastAsia="zh-CN"/>
              </w:rPr>
              <w:t>①</w:t>
            </w:r>
            <w:r>
              <w:rPr>
                <w:rFonts w:ascii="Times New Roman"/>
                <w:snapToGrid w:val="0"/>
                <w:color w:val="auto"/>
                <w:spacing w:val="-6"/>
                <w:kern w:val="21"/>
                <w:szCs w:val="21"/>
                <w:u w:val="none"/>
                <w:lang w:val="en-US" w:eastAsia="zh-CN"/>
              </w:rPr>
              <w:fldChar w:fldCharType="end"/>
            </w:r>
          </w:p>
        </w:tc>
        <w:tc>
          <w:tcPr>
            <w:tcW w:w="1138" w:type="dxa"/>
            <w:tcMar>
              <w:left w:w="28" w:type="dxa"/>
              <w:right w:w="28" w:type="dxa"/>
            </w:tcMar>
            <w:vAlign w:val="center"/>
          </w:tcPr>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现有工程</w:t>
            </w:r>
          </w:p>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许可排放量</w:t>
            </w:r>
          </w:p>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fldChar w:fldCharType="begin"/>
            </w:r>
            <w:r>
              <w:rPr>
                <w:rFonts w:ascii="Times New Roman"/>
                <w:snapToGrid w:val="0"/>
                <w:color w:val="auto"/>
                <w:spacing w:val="-6"/>
                <w:kern w:val="21"/>
                <w:szCs w:val="21"/>
                <w:u w:val="none"/>
                <w:lang w:val="en-US" w:eastAsia="zh-CN"/>
              </w:rPr>
              <w:instrText xml:space="preserve"> = 2 \* GB3 \* MERGEFORMAT </w:instrText>
            </w:r>
            <w:r>
              <w:rPr>
                <w:rFonts w:ascii="Times New Roman"/>
                <w:snapToGrid w:val="0"/>
                <w:color w:val="auto"/>
                <w:spacing w:val="-6"/>
                <w:kern w:val="21"/>
                <w:szCs w:val="21"/>
                <w:u w:val="none"/>
                <w:lang w:val="en-US" w:eastAsia="zh-CN"/>
              </w:rPr>
              <w:fldChar w:fldCharType="separate"/>
            </w:r>
            <w:r>
              <w:rPr>
                <w:rFonts w:ascii="Cambria Math" w:hAnsi="Cambria Math" w:cs="Cambria Math"/>
                <w:snapToGrid w:val="0"/>
                <w:color w:val="auto"/>
                <w:spacing w:val="-6"/>
                <w:kern w:val="21"/>
                <w:szCs w:val="21"/>
                <w:u w:val="none"/>
                <w:lang w:val="en-US" w:eastAsia="zh-CN"/>
              </w:rPr>
              <w:t>②</w:t>
            </w:r>
            <w:r>
              <w:rPr>
                <w:rFonts w:ascii="Times New Roman"/>
                <w:snapToGrid w:val="0"/>
                <w:color w:val="auto"/>
                <w:spacing w:val="-6"/>
                <w:kern w:val="21"/>
                <w:szCs w:val="21"/>
                <w:u w:val="none"/>
                <w:lang w:val="en-US" w:eastAsia="zh-CN"/>
              </w:rPr>
              <w:fldChar w:fldCharType="end"/>
            </w:r>
          </w:p>
        </w:tc>
        <w:tc>
          <w:tcPr>
            <w:tcW w:w="1702" w:type="dxa"/>
            <w:tcMar>
              <w:left w:w="28" w:type="dxa"/>
              <w:right w:w="28" w:type="dxa"/>
            </w:tcMar>
            <w:vAlign w:val="center"/>
          </w:tcPr>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在建工程</w:t>
            </w:r>
          </w:p>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排放量（固体废物产生量）</w:t>
            </w:r>
            <w:r>
              <w:rPr>
                <w:rFonts w:ascii="Times New Roman"/>
                <w:snapToGrid w:val="0"/>
                <w:color w:val="auto"/>
                <w:spacing w:val="-6"/>
                <w:kern w:val="21"/>
                <w:szCs w:val="21"/>
                <w:u w:val="none"/>
                <w:lang w:val="en-US" w:eastAsia="zh-CN"/>
              </w:rPr>
              <w:fldChar w:fldCharType="begin"/>
            </w:r>
            <w:r>
              <w:rPr>
                <w:rFonts w:ascii="Times New Roman"/>
                <w:snapToGrid w:val="0"/>
                <w:color w:val="auto"/>
                <w:spacing w:val="-6"/>
                <w:kern w:val="21"/>
                <w:szCs w:val="21"/>
                <w:u w:val="none"/>
                <w:lang w:val="en-US" w:eastAsia="zh-CN"/>
              </w:rPr>
              <w:instrText xml:space="preserve"> = 3 \* GB3 \* MERGEFORMAT </w:instrText>
            </w:r>
            <w:r>
              <w:rPr>
                <w:rFonts w:ascii="Times New Roman"/>
                <w:snapToGrid w:val="0"/>
                <w:color w:val="auto"/>
                <w:spacing w:val="-6"/>
                <w:kern w:val="21"/>
                <w:szCs w:val="21"/>
                <w:u w:val="none"/>
                <w:lang w:val="en-US" w:eastAsia="zh-CN"/>
              </w:rPr>
              <w:fldChar w:fldCharType="separate"/>
            </w:r>
            <w:r>
              <w:rPr>
                <w:rFonts w:ascii="Cambria Math" w:hAnsi="Cambria Math" w:cs="Cambria Math"/>
                <w:color w:val="auto"/>
                <w:kern w:val="2"/>
                <w:szCs w:val="21"/>
                <w:u w:val="none"/>
                <w:lang w:val="en-US" w:eastAsia="zh-CN"/>
              </w:rPr>
              <w:t>③</w:t>
            </w:r>
            <w:r>
              <w:rPr>
                <w:rFonts w:ascii="Times New Roman"/>
                <w:snapToGrid w:val="0"/>
                <w:color w:val="auto"/>
                <w:spacing w:val="-6"/>
                <w:kern w:val="21"/>
                <w:szCs w:val="21"/>
                <w:u w:val="none"/>
                <w:lang w:val="en-US" w:eastAsia="zh-CN"/>
              </w:rPr>
              <w:fldChar w:fldCharType="end"/>
            </w:r>
          </w:p>
        </w:tc>
        <w:tc>
          <w:tcPr>
            <w:tcW w:w="1560" w:type="dxa"/>
            <w:tcMar>
              <w:left w:w="28" w:type="dxa"/>
              <w:right w:w="28" w:type="dxa"/>
            </w:tcMar>
            <w:vAlign w:val="center"/>
          </w:tcPr>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本项目</w:t>
            </w:r>
          </w:p>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排放量（固体废物产生量）</w:t>
            </w:r>
            <w:r>
              <w:rPr>
                <w:rFonts w:ascii="Times New Roman"/>
                <w:snapToGrid w:val="0"/>
                <w:color w:val="auto"/>
                <w:spacing w:val="-6"/>
                <w:kern w:val="21"/>
                <w:szCs w:val="21"/>
                <w:u w:val="none"/>
                <w:lang w:val="en-US" w:eastAsia="zh-CN"/>
              </w:rPr>
              <w:fldChar w:fldCharType="begin"/>
            </w:r>
            <w:r>
              <w:rPr>
                <w:rFonts w:ascii="Times New Roman"/>
                <w:snapToGrid w:val="0"/>
                <w:color w:val="auto"/>
                <w:spacing w:val="-6"/>
                <w:kern w:val="21"/>
                <w:szCs w:val="21"/>
                <w:u w:val="none"/>
                <w:lang w:val="en-US" w:eastAsia="zh-CN"/>
              </w:rPr>
              <w:instrText xml:space="preserve"> = 4 \* GB3 \* MERGEFORMAT </w:instrText>
            </w:r>
            <w:r>
              <w:rPr>
                <w:rFonts w:ascii="Times New Roman"/>
                <w:snapToGrid w:val="0"/>
                <w:color w:val="auto"/>
                <w:spacing w:val="-6"/>
                <w:kern w:val="21"/>
                <w:szCs w:val="21"/>
                <w:u w:val="none"/>
                <w:lang w:val="en-US" w:eastAsia="zh-CN"/>
              </w:rPr>
              <w:fldChar w:fldCharType="separate"/>
            </w:r>
            <w:r>
              <w:rPr>
                <w:rFonts w:ascii="Cambria Math" w:hAnsi="Cambria Math" w:cs="Cambria Math"/>
                <w:color w:val="auto"/>
                <w:kern w:val="2"/>
                <w:szCs w:val="21"/>
                <w:u w:val="none"/>
                <w:lang w:val="en-US" w:eastAsia="zh-CN"/>
              </w:rPr>
              <w:t>④</w:t>
            </w:r>
            <w:r>
              <w:rPr>
                <w:rFonts w:ascii="Times New Roman"/>
                <w:snapToGrid w:val="0"/>
                <w:color w:val="auto"/>
                <w:spacing w:val="-6"/>
                <w:kern w:val="21"/>
                <w:szCs w:val="21"/>
                <w:u w:val="none"/>
                <w:lang w:val="en-US" w:eastAsia="zh-CN"/>
              </w:rPr>
              <w:fldChar w:fldCharType="end"/>
            </w:r>
          </w:p>
        </w:tc>
        <w:tc>
          <w:tcPr>
            <w:tcW w:w="1762" w:type="dxa"/>
            <w:tcMar>
              <w:left w:w="28" w:type="dxa"/>
              <w:right w:w="28" w:type="dxa"/>
            </w:tcMar>
            <w:vAlign w:val="center"/>
          </w:tcPr>
          <w:p>
            <w:pPr>
              <w:pStyle w:val="47"/>
              <w:spacing w:beforeLines="0" w:afterLines="0" w:line="240" w:lineRule="auto"/>
              <w:rPr>
                <w:rFonts w:ascii="Times New Roman"/>
                <w:snapToGrid w:val="0"/>
                <w:color w:val="auto"/>
                <w:spacing w:val="-16"/>
                <w:kern w:val="21"/>
                <w:szCs w:val="21"/>
                <w:u w:val="none"/>
                <w:lang w:val="en-US" w:eastAsia="zh-CN"/>
              </w:rPr>
            </w:pPr>
            <w:r>
              <w:rPr>
                <w:rFonts w:ascii="Times New Roman"/>
                <w:snapToGrid w:val="0"/>
                <w:color w:val="auto"/>
                <w:spacing w:val="-16"/>
                <w:kern w:val="21"/>
                <w:szCs w:val="21"/>
                <w:u w:val="none"/>
                <w:lang w:val="en-US" w:eastAsia="zh-CN"/>
              </w:rPr>
              <w:t>以新带老削减量</w:t>
            </w:r>
          </w:p>
          <w:p>
            <w:pPr>
              <w:pStyle w:val="47"/>
              <w:spacing w:beforeLines="0" w:afterLines="0" w:line="240" w:lineRule="auto"/>
              <w:rPr>
                <w:rFonts w:ascii="Times New Roman"/>
                <w:snapToGrid w:val="0"/>
                <w:color w:val="auto"/>
                <w:spacing w:val="-16"/>
                <w:kern w:val="21"/>
                <w:szCs w:val="21"/>
                <w:u w:val="none"/>
                <w:lang w:val="en-US" w:eastAsia="zh-CN"/>
              </w:rPr>
            </w:pPr>
            <w:r>
              <w:rPr>
                <w:rFonts w:ascii="Times New Roman"/>
                <w:snapToGrid w:val="0"/>
                <w:color w:val="auto"/>
                <w:spacing w:val="-16"/>
                <w:kern w:val="21"/>
                <w:szCs w:val="21"/>
                <w:u w:val="none"/>
                <w:lang w:val="en-US" w:eastAsia="zh-CN"/>
              </w:rPr>
              <w:t>（新建项目不填）</w:t>
            </w:r>
            <w:r>
              <w:rPr>
                <w:rFonts w:ascii="Times New Roman"/>
                <w:snapToGrid w:val="0"/>
                <w:color w:val="auto"/>
                <w:spacing w:val="-16"/>
                <w:kern w:val="21"/>
                <w:szCs w:val="21"/>
                <w:u w:val="none"/>
                <w:lang w:val="en-US" w:eastAsia="zh-CN"/>
              </w:rPr>
              <w:fldChar w:fldCharType="begin"/>
            </w:r>
            <w:r>
              <w:rPr>
                <w:rFonts w:ascii="Times New Roman"/>
                <w:snapToGrid w:val="0"/>
                <w:color w:val="auto"/>
                <w:spacing w:val="-16"/>
                <w:kern w:val="21"/>
                <w:szCs w:val="21"/>
                <w:u w:val="none"/>
                <w:lang w:val="en-US" w:eastAsia="zh-CN"/>
              </w:rPr>
              <w:instrText xml:space="preserve"> = 5 \* GB3 \* MERGEFORMAT </w:instrText>
            </w:r>
            <w:r>
              <w:rPr>
                <w:rFonts w:ascii="Times New Roman"/>
                <w:snapToGrid w:val="0"/>
                <w:color w:val="auto"/>
                <w:spacing w:val="-16"/>
                <w:kern w:val="21"/>
                <w:szCs w:val="21"/>
                <w:u w:val="none"/>
                <w:lang w:val="en-US" w:eastAsia="zh-CN"/>
              </w:rPr>
              <w:fldChar w:fldCharType="separate"/>
            </w:r>
            <w:r>
              <w:rPr>
                <w:rFonts w:ascii="Cambria Math" w:hAnsi="Cambria Math" w:cs="Cambria Math"/>
                <w:color w:val="auto"/>
                <w:kern w:val="2"/>
                <w:szCs w:val="21"/>
                <w:u w:val="none"/>
                <w:lang w:val="en-US" w:eastAsia="zh-CN"/>
              </w:rPr>
              <w:t>⑤</w:t>
            </w:r>
            <w:r>
              <w:rPr>
                <w:rFonts w:ascii="Times New Roman"/>
                <w:snapToGrid w:val="0"/>
                <w:color w:val="auto"/>
                <w:spacing w:val="-16"/>
                <w:kern w:val="21"/>
                <w:szCs w:val="21"/>
                <w:u w:val="none"/>
                <w:lang w:val="en-US" w:eastAsia="zh-CN"/>
              </w:rPr>
              <w:fldChar w:fldCharType="end"/>
            </w:r>
          </w:p>
        </w:tc>
        <w:tc>
          <w:tcPr>
            <w:tcW w:w="1492" w:type="dxa"/>
            <w:tcMar>
              <w:left w:w="28" w:type="dxa"/>
              <w:right w:w="28" w:type="dxa"/>
            </w:tcMar>
            <w:vAlign w:val="center"/>
          </w:tcPr>
          <w:p>
            <w:pPr>
              <w:pStyle w:val="47"/>
              <w:spacing w:beforeLines="0" w:afterLines="0" w:line="240" w:lineRule="auto"/>
              <w:rPr>
                <w:rFonts w:ascii="Times New Roman"/>
                <w:snapToGrid w:val="0"/>
                <w:color w:val="auto"/>
                <w:spacing w:val="-16"/>
                <w:kern w:val="21"/>
                <w:szCs w:val="21"/>
                <w:u w:val="none"/>
                <w:lang w:val="en-US" w:eastAsia="zh-CN"/>
              </w:rPr>
            </w:pPr>
            <w:r>
              <w:rPr>
                <w:rFonts w:ascii="Times New Roman"/>
                <w:snapToGrid w:val="0"/>
                <w:color w:val="auto"/>
                <w:spacing w:val="-16"/>
                <w:kern w:val="21"/>
                <w:szCs w:val="21"/>
                <w:u w:val="none"/>
                <w:lang w:val="en-US" w:eastAsia="zh-CN"/>
              </w:rPr>
              <w:t>本项目建成后</w:t>
            </w:r>
          </w:p>
          <w:p>
            <w:pPr>
              <w:pStyle w:val="47"/>
              <w:spacing w:beforeLines="0" w:afterLines="0" w:line="240" w:lineRule="auto"/>
              <w:rPr>
                <w:rFonts w:ascii="Times New Roman"/>
                <w:snapToGrid w:val="0"/>
                <w:color w:val="auto"/>
                <w:spacing w:val="-16"/>
                <w:kern w:val="21"/>
                <w:szCs w:val="21"/>
                <w:u w:val="none"/>
                <w:lang w:val="en-US" w:eastAsia="zh-CN"/>
              </w:rPr>
            </w:pPr>
            <w:r>
              <w:rPr>
                <w:rFonts w:ascii="Times New Roman"/>
                <w:snapToGrid w:val="0"/>
                <w:color w:val="auto"/>
                <w:spacing w:val="-16"/>
                <w:kern w:val="21"/>
                <w:szCs w:val="21"/>
                <w:u w:val="none"/>
                <w:lang w:val="en-US" w:eastAsia="zh-CN"/>
              </w:rPr>
              <w:t>全厂排放量（固体废物产生量）</w:t>
            </w:r>
            <w:r>
              <w:rPr>
                <w:rFonts w:ascii="Times New Roman"/>
                <w:snapToGrid w:val="0"/>
                <w:color w:val="auto"/>
                <w:spacing w:val="-16"/>
                <w:kern w:val="21"/>
                <w:szCs w:val="21"/>
                <w:u w:val="none"/>
                <w:lang w:val="en-US" w:eastAsia="zh-CN"/>
              </w:rPr>
              <w:fldChar w:fldCharType="begin"/>
            </w:r>
            <w:r>
              <w:rPr>
                <w:rFonts w:ascii="Times New Roman"/>
                <w:snapToGrid w:val="0"/>
                <w:color w:val="auto"/>
                <w:spacing w:val="-16"/>
                <w:kern w:val="21"/>
                <w:szCs w:val="21"/>
                <w:u w:val="none"/>
                <w:lang w:val="en-US" w:eastAsia="zh-CN"/>
              </w:rPr>
              <w:instrText xml:space="preserve"> = 6 \* GB3 \* MERGEFORMAT </w:instrText>
            </w:r>
            <w:r>
              <w:rPr>
                <w:rFonts w:ascii="Times New Roman"/>
                <w:snapToGrid w:val="0"/>
                <w:color w:val="auto"/>
                <w:spacing w:val="-16"/>
                <w:kern w:val="21"/>
                <w:szCs w:val="21"/>
                <w:u w:val="none"/>
                <w:lang w:val="en-US" w:eastAsia="zh-CN"/>
              </w:rPr>
              <w:fldChar w:fldCharType="separate"/>
            </w:r>
            <w:r>
              <w:rPr>
                <w:rFonts w:ascii="Cambria Math" w:hAnsi="Cambria Math" w:cs="Cambria Math"/>
                <w:color w:val="auto"/>
                <w:kern w:val="2"/>
                <w:szCs w:val="21"/>
                <w:u w:val="none"/>
                <w:lang w:val="en-US" w:eastAsia="zh-CN"/>
              </w:rPr>
              <w:t>⑥</w:t>
            </w:r>
            <w:r>
              <w:rPr>
                <w:rFonts w:ascii="Times New Roman"/>
                <w:snapToGrid w:val="0"/>
                <w:color w:val="auto"/>
                <w:spacing w:val="-16"/>
                <w:kern w:val="21"/>
                <w:szCs w:val="21"/>
                <w:u w:val="none"/>
                <w:lang w:val="en-US" w:eastAsia="zh-CN"/>
              </w:rPr>
              <w:fldChar w:fldCharType="end"/>
            </w:r>
          </w:p>
        </w:tc>
        <w:tc>
          <w:tcPr>
            <w:tcW w:w="1294" w:type="dxa"/>
            <w:gridSpan w:val="2"/>
            <w:tcMar>
              <w:left w:w="28" w:type="dxa"/>
              <w:right w:w="28" w:type="dxa"/>
            </w:tcMar>
            <w:vAlign w:val="center"/>
          </w:tcPr>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t>变化量</w:t>
            </w:r>
          </w:p>
          <w:p>
            <w:pPr>
              <w:pStyle w:val="47"/>
              <w:spacing w:beforeLines="0" w:afterLines="0" w:line="240" w:lineRule="auto"/>
              <w:rPr>
                <w:rFonts w:ascii="Times New Roman"/>
                <w:snapToGrid w:val="0"/>
                <w:color w:val="auto"/>
                <w:spacing w:val="-6"/>
                <w:kern w:val="21"/>
                <w:szCs w:val="21"/>
                <w:u w:val="none"/>
                <w:lang w:val="en-US" w:eastAsia="zh-CN"/>
              </w:rPr>
            </w:pPr>
            <w:r>
              <w:rPr>
                <w:rFonts w:ascii="Times New Roman"/>
                <w:snapToGrid w:val="0"/>
                <w:color w:val="auto"/>
                <w:spacing w:val="-6"/>
                <w:kern w:val="21"/>
                <w:szCs w:val="21"/>
                <w:u w:val="none"/>
                <w:lang w:val="en-US" w:eastAsia="zh-CN"/>
              </w:rPr>
              <w:fldChar w:fldCharType="begin"/>
            </w:r>
            <w:r>
              <w:rPr>
                <w:rFonts w:ascii="Times New Roman"/>
                <w:snapToGrid w:val="0"/>
                <w:color w:val="auto"/>
                <w:spacing w:val="-6"/>
                <w:kern w:val="21"/>
                <w:szCs w:val="21"/>
                <w:u w:val="none"/>
                <w:lang w:val="en-US" w:eastAsia="zh-CN"/>
              </w:rPr>
              <w:instrText xml:space="preserve"> = 7 \* GB3 \* MERGEFORMAT </w:instrText>
            </w:r>
            <w:r>
              <w:rPr>
                <w:rFonts w:ascii="Times New Roman"/>
                <w:snapToGrid w:val="0"/>
                <w:color w:val="auto"/>
                <w:spacing w:val="-6"/>
                <w:kern w:val="21"/>
                <w:szCs w:val="21"/>
                <w:u w:val="none"/>
                <w:lang w:val="en-US" w:eastAsia="zh-CN"/>
              </w:rPr>
              <w:fldChar w:fldCharType="separate"/>
            </w:r>
            <w:r>
              <w:rPr>
                <w:rFonts w:ascii="Cambria Math" w:hAnsi="Cambria Math" w:cs="Cambria Math"/>
                <w:color w:val="auto"/>
                <w:kern w:val="2"/>
                <w:szCs w:val="21"/>
                <w:u w:val="none"/>
                <w:lang w:val="en-US" w:eastAsia="zh-CN"/>
              </w:rPr>
              <w:t>⑦</w:t>
            </w:r>
            <w:r>
              <w:rPr>
                <w:rFonts w:ascii="Times New Roman"/>
                <w:snapToGrid w:val="0"/>
                <w:color w:val="auto"/>
                <w:spacing w:val="-6"/>
                <w:kern w:val="21"/>
                <w:szCs w:val="21"/>
                <w:u w:val="none"/>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restart"/>
            <w:vAlign w:val="center"/>
          </w:tcPr>
          <w:p>
            <w:pPr>
              <w:pStyle w:val="47"/>
              <w:spacing w:beforeLines="0" w:afterLines="0" w:line="240" w:lineRule="auto"/>
              <w:rPr>
                <w:rFonts w:ascii="Times New Roman"/>
                <w:color w:val="auto"/>
                <w:szCs w:val="21"/>
                <w:u w:val="none"/>
                <w:lang w:val="en-US" w:eastAsia="zh-CN"/>
              </w:rPr>
            </w:pPr>
            <w:r>
              <w:rPr>
                <w:rFonts w:ascii="Times New Roman"/>
                <w:snapToGrid w:val="0"/>
                <w:color w:val="auto"/>
                <w:kern w:val="21"/>
                <w:szCs w:val="21"/>
                <w:u w:val="none"/>
                <w:lang w:val="en-US" w:eastAsia="zh-CN"/>
              </w:rPr>
              <w:t>废气</w:t>
            </w: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颗粒物</w:t>
            </w:r>
            <w:r>
              <w:rPr>
                <w:rFonts w:hint="eastAsia" w:ascii="Times New Roman"/>
                <w:snapToGrid w:val="0"/>
                <w:color w:val="auto"/>
                <w:kern w:val="21"/>
                <w:szCs w:val="21"/>
                <w:u w:val="none"/>
                <w:lang w:val="en-US" w:eastAsia="zh-CN"/>
              </w:rPr>
              <w:t>（有组织）</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0.12</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0.12</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zCs w:val="21"/>
                <w:u w:val="none"/>
                <w:lang w:val="en-US" w:eastAsia="zh-CN"/>
              </w:rPr>
              <w:t>+</w:t>
            </w:r>
            <w:r>
              <w:rPr>
                <w:rFonts w:ascii="Times New Roman"/>
                <w:color w:val="auto"/>
                <w:szCs w:val="21"/>
                <w:u w:val="none"/>
              </w:rPr>
              <w:t>0.12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SO</w:t>
            </w:r>
            <w:r>
              <w:rPr>
                <w:rFonts w:ascii="Times New Roman"/>
                <w:snapToGrid w:val="0"/>
                <w:color w:val="auto"/>
                <w:kern w:val="21"/>
                <w:szCs w:val="21"/>
                <w:u w:val="none"/>
                <w:vertAlign w:val="subscript"/>
                <w:lang w:val="en-US" w:eastAsia="zh-CN"/>
              </w:rPr>
              <w:t>2</w:t>
            </w:r>
            <w:r>
              <w:rPr>
                <w:rFonts w:hint="eastAsia" w:ascii="Times New Roman"/>
                <w:snapToGrid w:val="0"/>
                <w:color w:val="auto"/>
                <w:kern w:val="21"/>
                <w:szCs w:val="21"/>
                <w:u w:val="none"/>
                <w:lang w:val="en-US" w:eastAsia="zh-CN"/>
              </w:rPr>
              <w:t>（有组织）</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0.17</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0.17</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zCs w:val="21"/>
                <w:u w:val="none"/>
                <w:lang w:val="en-US" w:eastAsia="zh-CN"/>
              </w:rPr>
              <w:t>+</w:t>
            </w:r>
            <w:r>
              <w:rPr>
                <w:rFonts w:ascii="Times New Roman"/>
                <w:color w:val="auto"/>
                <w:szCs w:val="21"/>
                <w:u w:val="none"/>
              </w:rPr>
              <w:t>0.17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NO</w:t>
            </w:r>
            <w:r>
              <w:rPr>
                <w:rFonts w:ascii="Times New Roman"/>
                <w:snapToGrid w:val="0"/>
                <w:color w:val="auto"/>
                <w:kern w:val="21"/>
                <w:szCs w:val="21"/>
                <w:u w:val="none"/>
                <w:vertAlign w:val="subscript"/>
                <w:lang w:val="en-US" w:eastAsia="zh-CN"/>
              </w:rPr>
              <w:t>X</w:t>
            </w:r>
            <w:r>
              <w:rPr>
                <w:rFonts w:hint="eastAsia" w:ascii="Times New Roman"/>
                <w:snapToGrid w:val="0"/>
                <w:color w:val="auto"/>
                <w:kern w:val="21"/>
                <w:szCs w:val="21"/>
                <w:u w:val="none"/>
                <w:lang w:val="en-US" w:eastAsia="zh-CN"/>
              </w:rPr>
              <w:t>（有组织）</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hint="default" w:ascii="Times New Roman" w:eastAsia="宋体"/>
                <w:snapToGrid w:val="0"/>
                <w:color w:val="auto"/>
                <w:kern w:val="21"/>
                <w:szCs w:val="21"/>
                <w:u w:val="none"/>
                <w:lang w:val="en-US" w:eastAsia="zh-CN"/>
              </w:rPr>
            </w:pPr>
            <w:r>
              <w:rPr>
                <w:rFonts w:ascii="Times New Roman"/>
                <w:color w:val="auto"/>
                <w:szCs w:val="21"/>
                <w:u w:val="none"/>
              </w:rPr>
              <w:t>0.</w:t>
            </w:r>
            <w:r>
              <w:rPr>
                <w:rFonts w:hint="eastAsia" w:ascii="Times New Roman"/>
                <w:color w:val="auto"/>
                <w:szCs w:val="21"/>
                <w:u w:val="none"/>
                <w:lang w:val="en-US" w:eastAsia="zh-CN"/>
              </w:rPr>
              <w:t>18</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0.</w:t>
            </w:r>
            <w:r>
              <w:rPr>
                <w:rFonts w:hint="eastAsia" w:ascii="Times New Roman"/>
                <w:color w:val="auto"/>
                <w:szCs w:val="21"/>
                <w:u w:val="none"/>
                <w:lang w:val="en-US" w:eastAsia="zh-CN"/>
              </w:rPr>
              <w:t>18</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zCs w:val="21"/>
                <w:u w:val="none"/>
                <w:lang w:val="en-US" w:eastAsia="zh-CN"/>
              </w:rPr>
              <w:t>+</w:t>
            </w:r>
            <w:r>
              <w:rPr>
                <w:rFonts w:ascii="Times New Roman"/>
                <w:color w:val="auto"/>
                <w:szCs w:val="21"/>
                <w:u w:val="none"/>
              </w:rPr>
              <w:t>0.</w:t>
            </w:r>
            <w:r>
              <w:rPr>
                <w:rFonts w:hint="eastAsia" w:ascii="Times New Roman"/>
                <w:color w:val="auto"/>
                <w:szCs w:val="21"/>
                <w:u w:val="none"/>
                <w:lang w:val="en-US" w:eastAsia="zh-CN"/>
              </w:rPr>
              <w:t>18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颗粒物</w:t>
            </w:r>
            <w:r>
              <w:rPr>
                <w:rFonts w:hint="eastAsia" w:ascii="Times New Roman"/>
                <w:snapToGrid w:val="0"/>
                <w:color w:val="auto"/>
                <w:kern w:val="21"/>
                <w:szCs w:val="21"/>
                <w:u w:val="none"/>
                <w:lang w:val="en-US" w:eastAsia="zh-CN"/>
              </w:rPr>
              <w:t>（无组织）</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hint="eastAsia" w:ascii="Times New Roman"/>
                <w:color w:val="auto"/>
                <w:szCs w:val="21"/>
                <w:u w:val="none"/>
                <w:lang w:eastAsia="zh-CN"/>
              </w:rPr>
            </w:pPr>
            <w:r>
              <w:rPr>
                <w:rFonts w:hint="eastAsia" w:ascii="Times New Roman"/>
                <w:color w:val="auto"/>
                <w:szCs w:val="21"/>
                <w:u w:val="none"/>
                <w:lang w:eastAsia="zh-CN"/>
              </w:rPr>
              <w:t>0.022</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color w:val="auto"/>
                <w:szCs w:val="21"/>
                <w:u w:val="none"/>
              </w:rPr>
            </w:pPr>
            <w:r>
              <w:rPr>
                <w:rFonts w:hint="eastAsia" w:ascii="Times New Roman"/>
                <w:color w:val="auto"/>
                <w:szCs w:val="21"/>
                <w:u w:val="none"/>
                <w:lang w:eastAsia="zh-CN"/>
              </w:rPr>
              <w:t>0.022</w:t>
            </w:r>
          </w:p>
        </w:tc>
        <w:tc>
          <w:tcPr>
            <w:tcW w:w="1294" w:type="dxa"/>
            <w:gridSpan w:val="2"/>
            <w:vAlign w:val="center"/>
          </w:tcPr>
          <w:p>
            <w:pPr>
              <w:pStyle w:val="47"/>
              <w:spacing w:beforeLines="0" w:afterLines="0" w:line="240" w:lineRule="auto"/>
              <w:rPr>
                <w:rFonts w:ascii="Times New Roman"/>
                <w:color w:val="auto"/>
                <w:szCs w:val="21"/>
                <w:u w:val="none"/>
              </w:rPr>
            </w:pPr>
            <w:r>
              <w:rPr>
                <w:rFonts w:hint="eastAsia" w:ascii="Times New Roman"/>
                <w:color w:val="auto"/>
                <w:szCs w:val="21"/>
                <w:u w:val="none"/>
                <w:lang w:val="en-US" w:eastAsia="zh-CN"/>
              </w:rPr>
              <w:t>+</w:t>
            </w:r>
            <w:r>
              <w:rPr>
                <w:rFonts w:hint="eastAsia" w:ascii="Times New Roman"/>
                <w:color w:val="auto"/>
                <w:szCs w:val="21"/>
                <w:u w:val="none"/>
                <w:lang w:eastAsia="zh-CN"/>
              </w:rPr>
              <w:t>0.022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SO</w:t>
            </w:r>
            <w:r>
              <w:rPr>
                <w:rFonts w:ascii="Times New Roman"/>
                <w:snapToGrid w:val="0"/>
                <w:color w:val="auto"/>
                <w:kern w:val="21"/>
                <w:szCs w:val="21"/>
                <w:u w:val="none"/>
                <w:vertAlign w:val="subscript"/>
                <w:lang w:val="en-US" w:eastAsia="zh-CN"/>
              </w:rPr>
              <w:t>2</w:t>
            </w:r>
            <w:r>
              <w:rPr>
                <w:rFonts w:hint="eastAsia" w:ascii="Times New Roman"/>
                <w:snapToGrid w:val="0"/>
                <w:color w:val="auto"/>
                <w:kern w:val="21"/>
                <w:szCs w:val="21"/>
                <w:u w:val="none"/>
                <w:lang w:val="en-US" w:eastAsia="zh-CN"/>
              </w:rPr>
              <w:t>（无组织）</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color w:val="auto"/>
                <w:szCs w:val="21"/>
                <w:u w:val="none"/>
                <w:lang w:eastAsia="zh-CN"/>
              </w:rPr>
            </w:pPr>
            <w:r>
              <w:rPr>
                <w:rFonts w:ascii="Times New Roman"/>
                <w:color w:val="auto"/>
                <w:szCs w:val="21"/>
                <w:u w:val="none"/>
                <w:lang w:eastAsia="zh-CN"/>
              </w:rPr>
              <w:t>0.000108</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color w:val="auto"/>
                <w:szCs w:val="21"/>
                <w:u w:val="none"/>
              </w:rPr>
            </w:pPr>
            <w:r>
              <w:rPr>
                <w:rFonts w:ascii="Times New Roman"/>
                <w:color w:val="auto"/>
                <w:szCs w:val="21"/>
                <w:u w:val="none"/>
                <w:lang w:eastAsia="zh-CN"/>
              </w:rPr>
              <w:t>0.000108</w:t>
            </w:r>
          </w:p>
        </w:tc>
        <w:tc>
          <w:tcPr>
            <w:tcW w:w="1294" w:type="dxa"/>
            <w:gridSpan w:val="2"/>
            <w:vAlign w:val="center"/>
          </w:tcPr>
          <w:p>
            <w:pPr>
              <w:pStyle w:val="47"/>
              <w:spacing w:beforeLines="0" w:afterLines="0" w:line="240" w:lineRule="auto"/>
              <w:rPr>
                <w:rFonts w:ascii="Times New Roman"/>
                <w:color w:val="auto"/>
                <w:szCs w:val="21"/>
                <w:u w:val="none"/>
              </w:rPr>
            </w:pPr>
            <w:r>
              <w:rPr>
                <w:rFonts w:hint="eastAsia" w:ascii="Times New Roman"/>
                <w:color w:val="auto"/>
                <w:szCs w:val="21"/>
                <w:u w:val="none"/>
                <w:lang w:val="en-US" w:eastAsia="zh-CN"/>
              </w:rPr>
              <w:t>+</w:t>
            </w:r>
            <w:r>
              <w:rPr>
                <w:rFonts w:ascii="Times New Roman"/>
                <w:color w:val="auto"/>
                <w:szCs w:val="21"/>
                <w:u w:val="none"/>
                <w:lang w:eastAsia="zh-CN"/>
              </w:rPr>
              <w:t>0.000108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NO</w:t>
            </w:r>
            <w:r>
              <w:rPr>
                <w:rFonts w:ascii="Times New Roman"/>
                <w:snapToGrid w:val="0"/>
                <w:color w:val="auto"/>
                <w:kern w:val="21"/>
                <w:szCs w:val="21"/>
                <w:u w:val="none"/>
                <w:vertAlign w:val="subscript"/>
                <w:lang w:val="en-US" w:eastAsia="zh-CN"/>
              </w:rPr>
              <w:t>X</w:t>
            </w:r>
            <w:r>
              <w:rPr>
                <w:rFonts w:hint="eastAsia" w:ascii="Times New Roman"/>
                <w:snapToGrid w:val="0"/>
                <w:color w:val="auto"/>
                <w:kern w:val="21"/>
                <w:szCs w:val="21"/>
                <w:u w:val="none"/>
                <w:lang w:val="en-US" w:eastAsia="zh-CN"/>
              </w:rPr>
              <w:t>（无组织）</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color w:val="auto"/>
                <w:szCs w:val="21"/>
                <w:u w:val="none"/>
                <w:lang w:eastAsia="zh-CN"/>
              </w:rPr>
            </w:pPr>
            <w:r>
              <w:rPr>
                <w:rFonts w:ascii="Times New Roman"/>
                <w:color w:val="auto"/>
                <w:szCs w:val="21"/>
                <w:u w:val="none"/>
                <w:lang w:eastAsia="zh-CN"/>
              </w:rPr>
              <w:t>0.24</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color w:val="auto"/>
                <w:szCs w:val="21"/>
                <w:u w:val="none"/>
              </w:rPr>
            </w:pPr>
            <w:r>
              <w:rPr>
                <w:rFonts w:ascii="Times New Roman"/>
                <w:color w:val="auto"/>
                <w:szCs w:val="21"/>
                <w:u w:val="none"/>
                <w:lang w:eastAsia="zh-CN"/>
              </w:rPr>
              <w:t>0.24</w:t>
            </w:r>
          </w:p>
        </w:tc>
        <w:tc>
          <w:tcPr>
            <w:tcW w:w="1294" w:type="dxa"/>
            <w:gridSpan w:val="2"/>
            <w:vAlign w:val="center"/>
          </w:tcPr>
          <w:p>
            <w:pPr>
              <w:pStyle w:val="47"/>
              <w:spacing w:beforeLines="0" w:afterLines="0" w:line="240" w:lineRule="auto"/>
              <w:rPr>
                <w:rFonts w:ascii="Times New Roman"/>
                <w:color w:val="auto"/>
                <w:szCs w:val="21"/>
                <w:u w:val="none"/>
              </w:rPr>
            </w:pPr>
            <w:r>
              <w:rPr>
                <w:rFonts w:hint="eastAsia" w:ascii="Times New Roman"/>
                <w:color w:val="auto"/>
                <w:szCs w:val="21"/>
                <w:u w:val="none"/>
                <w:lang w:val="en-US" w:eastAsia="zh-CN"/>
              </w:rPr>
              <w:t>+</w:t>
            </w:r>
            <w:r>
              <w:rPr>
                <w:rFonts w:ascii="Times New Roman"/>
                <w:color w:val="auto"/>
                <w:szCs w:val="21"/>
                <w:u w:val="none"/>
                <w:lang w:eastAsia="zh-CN"/>
              </w:rPr>
              <w:t>0.24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油烟</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hint="default"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0.0</w:t>
            </w:r>
            <w:r>
              <w:rPr>
                <w:rFonts w:hint="eastAsia" w:ascii="Times New Roman"/>
                <w:snapToGrid w:val="0"/>
                <w:color w:val="auto"/>
                <w:kern w:val="21"/>
                <w:szCs w:val="21"/>
                <w:u w:val="none"/>
                <w:lang w:val="en-US" w:eastAsia="zh-CN"/>
              </w:rPr>
              <w:t>6</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0.0</w:t>
            </w:r>
            <w:r>
              <w:rPr>
                <w:rFonts w:hint="eastAsia" w:ascii="Times New Roman"/>
                <w:snapToGrid w:val="0"/>
                <w:color w:val="auto"/>
                <w:kern w:val="21"/>
                <w:szCs w:val="21"/>
                <w:u w:val="none"/>
                <w:lang w:val="en-US" w:eastAsia="zh-CN"/>
              </w:rPr>
              <w:t>6</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w:t>
            </w:r>
            <w:r>
              <w:rPr>
                <w:rFonts w:ascii="Times New Roman"/>
                <w:snapToGrid w:val="0"/>
                <w:color w:val="auto"/>
                <w:kern w:val="21"/>
                <w:szCs w:val="21"/>
                <w:u w:val="none"/>
                <w:lang w:val="en-US" w:eastAsia="zh-CN"/>
              </w:rPr>
              <w:t>0.0</w:t>
            </w:r>
            <w:r>
              <w:rPr>
                <w:rFonts w:hint="eastAsia" w:ascii="Times New Roman"/>
                <w:snapToGrid w:val="0"/>
                <w:color w:val="auto"/>
                <w:kern w:val="21"/>
                <w:szCs w:val="21"/>
                <w:u w:val="none"/>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10"/>
                <w:szCs w:val="21"/>
                <w:u w:val="none"/>
              </w:rPr>
              <w:t>氨</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snapToGrid w:val="0"/>
                <w:color w:val="auto"/>
                <w:kern w:val="21"/>
                <w:szCs w:val="21"/>
                <w:u w:val="none"/>
                <w:lang w:val="en-US" w:eastAsia="zh-CN"/>
              </w:rPr>
            </w:pPr>
            <w:r>
              <w:rPr>
                <w:rFonts w:hint="eastAsia" w:ascii="Times New Roman" w:hAnsi="Times New Roman" w:eastAsia="宋体" w:cs="Times New Roman"/>
                <w:color w:val="auto"/>
                <w:sz w:val="21"/>
                <w:szCs w:val="21"/>
                <w:highlight w:val="none"/>
                <w:u w:val="none"/>
                <w:lang w:val="en-US" w:eastAsia="zh-CN"/>
              </w:rPr>
              <w:t>0.0736</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snapToGrid w:val="0"/>
                <w:color w:val="auto"/>
                <w:kern w:val="21"/>
                <w:szCs w:val="21"/>
                <w:u w:val="none"/>
                <w:lang w:val="en-US" w:eastAsia="zh-CN"/>
              </w:rPr>
            </w:pPr>
            <w:r>
              <w:rPr>
                <w:rFonts w:hint="eastAsia" w:ascii="Times New Roman" w:hAnsi="Times New Roman" w:eastAsia="宋体" w:cs="Times New Roman"/>
                <w:color w:val="auto"/>
                <w:sz w:val="21"/>
                <w:szCs w:val="21"/>
                <w:highlight w:val="none"/>
                <w:u w:val="none"/>
                <w:lang w:val="en-US" w:eastAsia="zh-CN"/>
              </w:rPr>
              <w:t>0.0736</w:t>
            </w:r>
          </w:p>
        </w:tc>
        <w:tc>
          <w:tcPr>
            <w:tcW w:w="1294" w:type="dxa"/>
            <w:gridSpan w:val="2"/>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snapToGrid w:val="0"/>
                <w:color w:val="auto"/>
                <w:kern w:val="21"/>
                <w:szCs w:val="21"/>
                <w:u w:val="none"/>
                <w:lang w:val="en-US" w:eastAsia="zh-CN"/>
              </w:rPr>
            </w:pPr>
            <w:r>
              <w:rPr>
                <w:rFonts w:hint="eastAsia" w:ascii="Times New Roman" w:hAnsi="Times New Roman" w:eastAsia="宋体" w:cs="Times New Roman"/>
                <w:color w:val="auto"/>
                <w:sz w:val="21"/>
                <w:szCs w:val="21"/>
                <w:highlight w:val="none"/>
                <w:u w:val="none"/>
                <w:lang w:val="en-US" w:eastAsia="zh-CN"/>
              </w:rPr>
              <w:t>+0.0736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10"/>
                <w:szCs w:val="21"/>
                <w:u w:val="none"/>
              </w:rPr>
              <w:t>硫化氢</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snapToGrid w:val="0"/>
                <w:color w:val="auto"/>
                <w:kern w:val="21"/>
                <w:szCs w:val="21"/>
                <w:u w:val="none"/>
                <w:lang w:val="en-US" w:eastAsia="zh-CN"/>
              </w:rPr>
            </w:pPr>
            <w:r>
              <w:rPr>
                <w:rFonts w:hint="eastAsia" w:ascii="Times New Roman" w:hAnsi="Times New Roman" w:eastAsia="宋体" w:cs="Times New Roman"/>
                <w:color w:val="auto"/>
                <w:sz w:val="21"/>
                <w:szCs w:val="21"/>
                <w:highlight w:val="none"/>
                <w:u w:val="none"/>
                <w:lang w:val="en-US" w:eastAsia="zh-CN"/>
              </w:rPr>
              <w:t>0.0029</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snapToGrid w:val="0"/>
                <w:color w:val="auto"/>
                <w:kern w:val="21"/>
                <w:szCs w:val="21"/>
                <w:u w:val="none"/>
                <w:lang w:val="en-US" w:eastAsia="zh-CN"/>
              </w:rPr>
            </w:pPr>
            <w:r>
              <w:rPr>
                <w:rFonts w:hint="eastAsia" w:ascii="Times New Roman" w:hAnsi="Times New Roman" w:eastAsia="宋体" w:cs="Times New Roman"/>
                <w:color w:val="auto"/>
                <w:sz w:val="21"/>
                <w:szCs w:val="21"/>
                <w:highlight w:val="none"/>
                <w:u w:val="none"/>
                <w:lang w:val="en-US" w:eastAsia="zh-CN"/>
              </w:rPr>
              <w:t>0.0029</w:t>
            </w:r>
          </w:p>
        </w:tc>
        <w:tc>
          <w:tcPr>
            <w:tcW w:w="1294" w:type="dxa"/>
            <w:gridSpan w:val="2"/>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snapToGrid w:val="0"/>
                <w:color w:val="auto"/>
                <w:kern w:val="21"/>
                <w:szCs w:val="21"/>
                <w:u w:val="none"/>
                <w:lang w:val="en-US" w:eastAsia="zh-CN"/>
              </w:rPr>
            </w:pPr>
            <w:r>
              <w:rPr>
                <w:rFonts w:hint="eastAsia" w:ascii="Times New Roman" w:hAnsi="Times New Roman" w:eastAsia="宋体" w:cs="Times New Roman"/>
                <w:color w:val="auto"/>
                <w:sz w:val="21"/>
                <w:szCs w:val="21"/>
                <w:highlight w:val="none"/>
                <w:u w:val="none"/>
                <w:lang w:val="en-US" w:eastAsia="zh-CN"/>
              </w:rPr>
              <w:t>+0.0029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10"/>
                <w:szCs w:val="21"/>
                <w:u w:val="none"/>
              </w:rPr>
              <w:t>臭气浓度</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color w:val="auto"/>
                <w:spacing w:val="-10"/>
                <w:szCs w:val="21"/>
                <w:u w:val="none"/>
              </w:rPr>
            </w:pPr>
            <w:r>
              <w:rPr>
                <w:rFonts w:ascii="Times New Roman"/>
                <w:color w:val="auto"/>
                <w:spacing w:val="-10"/>
                <w:szCs w:val="21"/>
                <w:u w:val="none"/>
              </w:rPr>
              <w:t>非甲烷总烃</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少量</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少量</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少量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color w:val="auto"/>
                <w:spacing w:val="-10"/>
                <w:szCs w:val="21"/>
                <w:u w:val="none"/>
              </w:rPr>
            </w:pPr>
            <w:r>
              <w:rPr>
                <w:rFonts w:ascii="Times New Roman"/>
                <w:color w:val="auto"/>
                <w:spacing w:val="-10"/>
                <w:szCs w:val="21"/>
                <w:u w:val="none"/>
              </w:rPr>
              <w:t>氯化氢</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少量</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少量</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少量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restart"/>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废水</w:t>
            </w:r>
          </w:p>
        </w:tc>
        <w:tc>
          <w:tcPr>
            <w:tcW w:w="2127" w:type="dxa"/>
            <w:vAlign w:val="center"/>
          </w:tcPr>
          <w:p>
            <w:pPr>
              <w:adjustRightInd w:val="0"/>
              <w:snapToGrid w:val="0"/>
              <w:jc w:val="center"/>
              <w:rPr>
                <w:color w:val="auto"/>
                <w:szCs w:val="21"/>
                <w:u w:val="none"/>
              </w:rPr>
            </w:pPr>
            <w:r>
              <w:rPr>
                <w:color w:val="auto"/>
                <w:szCs w:val="21"/>
                <w:u w:val="none"/>
              </w:rPr>
              <w:t>COD</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4.14</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4.14</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4.14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adjustRightInd w:val="0"/>
              <w:snapToGrid w:val="0"/>
              <w:jc w:val="center"/>
              <w:rPr>
                <w:color w:val="auto"/>
                <w:szCs w:val="21"/>
                <w:u w:val="none"/>
              </w:rPr>
            </w:pPr>
            <w:r>
              <w:rPr>
                <w:color w:val="auto"/>
                <w:szCs w:val="21"/>
                <w:u w:val="none"/>
              </w:rPr>
              <w:t>BOD</w:t>
            </w:r>
            <w:r>
              <w:rPr>
                <w:rStyle w:val="117"/>
                <w:b w:val="0"/>
                <w:bCs w:val="0"/>
                <w:color w:val="auto"/>
                <w:sz w:val="21"/>
                <w:szCs w:val="21"/>
                <w:u w:val="none"/>
              </w:rPr>
              <w:t>5</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0.83</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0.83</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0.83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adjustRightInd w:val="0"/>
              <w:snapToGrid w:val="0"/>
              <w:jc w:val="center"/>
              <w:rPr>
                <w:color w:val="auto"/>
                <w:szCs w:val="21"/>
                <w:u w:val="none"/>
              </w:rPr>
            </w:pPr>
            <w:r>
              <w:rPr>
                <w:color w:val="auto"/>
                <w:szCs w:val="21"/>
                <w:u w:val="none"/>
              </w:rPr>
              <w:t>SS</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0.83</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0.83</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0.83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adjustRightInd w:val="0"/>
              <w:snapToGrid w:val="0"/>
              <w:jc w:val="center"/>
              <w:rPr>
                <w:color w:val="auto"/>
                <w:szCs w:val="21"/>
                <w:u w:val="none"/>
              </w:rPr>
            </w:pPr>
            <w:r>
              <w:rPr>
                <w:color w:val="auto"/>
                <w:szCs w:val="21"/>
                <w:u w:val="none"/>
              </w:rPr>
              <w:t>氨氮</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hint="default"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0.41</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0.41</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+0.41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adjustRightInd w:val="0"/>
              <w:snapToGrid w:val="0"/>
              <w:jc w:val="center"/>
              <w:rPr>
                <w:color w:val="auto"/>
                <w:szCs w:val="21"/>
                <w:u w:val="none"/>
              </w:rPr>
            </w:pPr>
            <w:r>
              <w:rPr>
                <w:color w:val="auto"/>
                <w:szCs w:val="21"/>
                <w:u w:val="none"/>
              </w:rPr>
              <w:t>TN</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hint="default"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1.24</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1.24</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+1.24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adjustRightInd w:val="0"/>
              <w:snapToGrid w:val="0"/>
              <w:jc w:val="center"/>
              <w:rPr>
                <w:color w:val="auto"/>
                <w:szCs w:val="21"/>
                <w:u w:val="none"/>
              </w:rPr>
            </w:pPr>
            <w:r>
              <w:rPr>
                <w:color w:val="auto"/>
                <w:szCs w:val="21"/>
                <w:u w:val="none"/>
              </w:rPr>
              <w:t>TP</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hint="default"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0.04</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0.04</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+0.04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adjustRightInd w:val="0"/>
              <w:snapToGrid w:val="0"/>
              <w:jc w:val="center"/>
              <w:rPr>
                <w:color w:val="auto"/>
                <w:szCs w:val="21"/>
                <w:u w:val="none"/>
              </w:rPr>
            </w:pPr>
            <w:r>
              <w:rPr>
                <w:color w:val="auto"/>
                <w:szCs w:val="21"/>
                <w:u w:val="none"/>
              </w:rPr>
              <w:t>动植物油</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hint="default"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0.08</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0.08</w:t>
            </w:r>
          </w:p>
        </w:tc>
        <w:tc>
          <w:tcPr>
            <w:tcW w:w="1294" w:type="dxa"/>
            <w:gridSpan w:val="2"/>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snapToGrid w:val="0"/>
                <w:color w:val="auto"/>
                <w:kern w:val="21"/>
                <w:szCs w:val="21"/>
                <w:u w:val="none"/>
                <w:lang w:val="en-US" w:eastAsia="zh-CN"/>
              </w:rPr>
              <w:t>+0.08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restart"/>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一般工业</w:t>
            </w:r>
          </w:p>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固体废物</w:t>
            </w: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不合格原辅料</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11</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11</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豆渣及废边角料</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220</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220</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220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不合格产品、废检验样品</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11</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11</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废包装材料</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5</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5</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油烟净化器废油脂</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hint="eastAsia" w:ascii="Times New Roman" w:eastAsia="宋体"/>
                <w:snapToGrid w:val="0"/>
                <w:color w:val="auto"/>
                <w:kern w:val="21"/>
                <w:szCs w:val="21"/>
                <w:u w:val="none"/>
                <w:lang w:val="en-US" w:eastAsia="zh-CN"/>
              </w:rPr>
            </w:pPr>
            <w:r>
              <w:rPr>
                <w:rFonts w:hint="eastAsia" w:ascii="Times New Roman"/>
                <w:color w:val="auto"/>
                <w:spacing w:val="4"/>
                <w:szCs w:val="21"/>
                <w:u w:val="none"/>
                <w:lang w:val="en-US" w:eastAsia="zh-CN"/>
              </w:rPr>
              <w:t>5</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5</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隔油池废油脂</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hint="default" w:ascii="Times New Roman" w:eastAsia="宋体"/>
                <w:snapToGrid w:val="0"/>
                <w:color w:val="auto"/>
                <w:kern w:val="21"/>
                <w:szCs w:val="21"/>
                <w:u w:val="none"/>
                <w:lang w:val="en-US" w:eastAsia="zh-CN"/>
              </w:rPr>
            </w:pPr>
            <w:r>
              <w:rPr>
                <w:rFonts w:ascii="Times New Roman"/>
                <w:color w:val="auto"/>
                <w:spacing w:val="4"/>
                <w:szCs w:val="21"/>
                <w:u w:val="none"/>
              </w:rPr>
              <w:t>5</w:t>
            </w:r>
            <w:r>
              <w:rPr>
                <w:rFonts w:hint="eastAsia" w:ascii="Times New Roman"/>
                <w:color w:val="auto"/>
                <w:spacing w:val="4"/>
                <w:szCs w:val="21"/>
                <w:u w:val="none"/>
                <w:lang w:val="en-US" w:eastAsia="zh-CN"/>
              </w:rPr>
              <w:t>.6</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5</w:t>
            </w:r>
            <w:r>
              <w:rPr>
                <w:rFonts w:hint="eastAsia" w:ascii="Times New Roman"/>
                <w:color w:val="auto"/>
                <w:spacing w:val="4"/>
                <w:szCs w:val="21"/>
                <w:u w:val="none"/>
                <w:lang w:val="en-US" w:eastAsia="zh-CN"/>
              </w:rPr>
              <w:t>.6</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5</w:t>
            </w:r>
            <w:r>
              <w:rPr>
                <w:rFonts w:hint="eastAsia" w:ascii="Times New Roman"/>
                <w:color w:val="auto"/>
                <w:spacing w:val="4"/>
                <w:szCs w:val="21"/>
                <w:u w:val="none"/>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清罐废油脂</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2</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2</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污水处理污泥</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20</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20</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纯水机废过滤材料及反渗透膜</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0.05</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0.05</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空气净化废过滤材料</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0.1</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0.1</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restart"/>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危险废物</w:t>
            </w: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废紫外灯管</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0.01</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0.01</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废润滑油及废油桶</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hint="eastAsia" w:ascii="Times New Roman" w:eastAsia="宋体"/>
                <w:snapToGrid w:val="0"/>
                <w:color w:val="auto"/>
                <w:kern w:val="21"/>
                <w:szCs w:val="21"/>
                <w:u w:val="none"/>
                <w:lang w:val="en-US" w:eastAsia="zh-CN"/>
              </w:rPr>
            </w:pPr>
            <w:r>
              <w:rPr>
                <w:rFonts w:ascii="Times New Roman"/>
                <w:color w:val="auto"/>
                <w:spacing w:val="4"/>
                <w:szCs w:val="21"/>
                <w:u w:val="none"/>
              </w:rPr>
              <w:t>0.0</w:t>
            </w:r>
            <w:r>
              <w:rPr>
                <w:rFonts w:hint="eastAsia" w:ascii="Times New Roman"/>
                <w:color w:val="auto"/>
                <w:spacing w:val="4"/>
                <w:szCs w:val="21"/>
                <w:u w:val="none"/>
                <w:lang w:val="en-US" w:eastAsia="zh-CN"/>
              </w:rPr>
              <w:t>5</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0.0</w:t>
            </w:r>
            <w:r>
              <w:rPr>
                <w:rFonts w:hint="eastAsia" w:ascii="Times New Roman"/>
                <w:color w:val="auto"/>
                <w:spacing w:val="4"/>
                <w:szCs w:val="21"/>
                <w:u w:val="none"/>
                <w:lang w:val="en-US" w:eastAsia="zh-CN"/>
              </w:rPr>
              <w:t>5</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0.0</w:t>
            </w:r>
            <w:r>
              <w:rPr>
                <w:rFonts w:hint="eastAsia" w:ascii="Times New Roman"/>
                <w:color w:val="auto"/>
                <w:spacing w:val="4"/>
                <w:szCs w:val="21"/>
                <w:u w:val="none"/>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Merge w:val="continue"/>
            <w:vAlign w:val="center"/>
          </w:tcPr>
          <w:p>
            <w:pPr>
              <w:pStyle w:val="47"/>
              <w:spacing w:beforeLines="0" w:afterLines="0" w:line="240" w:lineRule="auto"/>
              <w:rPr>
                <w:rFonts w:ascii="Times New Roman"/>
                <w:snapToGrid w:val="0"/>
                <w:color w:val="auto"/>
                <w:kern w:val="21"/>
                <w:szCs w:val="21"/>
                <w:u w:val="none"/>
                <w:lang w:val="en-US" w:eastAsia="zh-CN"/>
              </w:rPr>
            </w:pP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zCs w:val="21"/>
                <w:u w:val="none"/>
              </w:rPr>
              <w:t>废化学药品及包装材料</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0.01</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0.01</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340" w:hRule="atLeast"/>
        </w:trPr>
        <w:tc>
          <w:tcPr>
            <w:tcW w:w="11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生活垃圾</w:t>
            </w:r>
          </w:p>
        </w:tc>
        <w:tc>
          <w:tcPr>
            <w:tcW w:w="2127"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员工生活垃圾</w:t>
            </w:r>
          </w:p>
        </w:tc>
        <w:tc>
          <w:tcPr>
            <w:tcW w:w="1559"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138"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70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560"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25</w:t>
            </w:r>
          </w:p>
        </w:tc>
        <w:tc>
          <w:tcPr>
            <w:tcW w:w="176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snapToGrid w:val="0"/>
                <w:color w:val="auto"/>
                <w:kern w:val="21"/>
                <w:szCs w:val="21"/>
                <w:u w:val="none"/>
                <w:lang w:val="en-US" w:eastAsia="zh-CN"/>
              </w:rPr>
              <w:t>0</w:t>
            </w:r>
          </w:p>
        </w:tc>
        <w:tc>
          <w:tcPr>
            <w:tcW w:w="1492"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ascii="Times New Roman"/>
                <w:color w:val="auto"/>
                <w:spacing w:val="4"/>
                <w:szCs w:val="21"/>
                <w:u w:val="none"/>
              </w:rPr>
              <w:t>25</w:t>
            </w:r>
          </w:p>
        </w:tc>
        <w:tc>
          <w:tcPr>
            <w:tcW w:w="1276" w:type="dxa"/>
            <w:vAlign w:val="center"/>
          </w:tcPr>
          <w:p>
            <w:pPr>
              <w:pStyle w:val="47"/>
              <w:spacing w:beforeLines="0" w:afterLines="0" w:line="240" w:lineRule="auto"/>
              <w:rPr>
                <w:rFonts w:ascii="Times New Roman"/>
                <w:snapToGrid w:val="0"/>
                <w:color w:val="auto"/>
                <w:kern w:val="21"/>
                <w:szCs w:val="21"/>
                <w:u w:val="none"/>
                <w:lang w:val="en-US" w:eastAsia="zh-CN"/>
              </w:rPr>
            </w:pPr>
            <w:r>
              <w:rPr>
                <w:rFonts w:hint="eastAsia" w:ascii="Times New Roman"/>
                <w:color w:val="auto"/>
                <w:spacing w:val="4"/>
                <w:szCs w:val="21"/>
                <w:u w:val="none"/>
                <w:lang w:val="en-US" w:eastAsia="zh-CN"/>
              </w:rPr>
              <w:t>+</w:t>
            </w:r>
            <w:r>
              <w:rPr>
                <w:rFonts w:ascii="Times New Roman"/>
                <w:color w:val="auto"/>
                <w:spacing w:val="4"/>
                <w:szCs w:val="21"/>
                <w:u w:val="none"/>
              </w:rPr>
              <w:t>25</w:t>
            </w:r>
          </w:p>
        </w:tc>
      </w:tr>
    </w:tbl>
    <w:p>
      <w:pPr>
        <w:rPr>
          <w:color w:val="auto"/>
          <w:u w:val="none"/>
        </w:rPr>
      </w:pPr>
      <w:r>
        <w:rPr>
          <w:rFonts w:ascii="Times New Roman"/>
          <w:snapToGrid w:val="0"/>
          <w:color w:val="auto"/>
          <w:kern w:val="21"/>
          <w:szCs w:val="21"/>
          <w:u w:val="none"/>
        </w:rPr>
        <w:t>注：</w:t>
      </w:r>
      <w:r>
        <w:rPr>
          <w:rFonts w:ascii="Times New Roman"/>
          <w:snapToGrid w:val="0"/>
          <w:color w:val="auto"/>
          <w:spacing w:val="-16"/>
          <w:kern w:val="21"/>
          <w:szCs w:val="21"/>
          <w:u w:val="none"/>
        </w:rPr>
        <w:fldChar w:fldCharType="begin"/>
      </w:r>
      <w:r>
        <w:rPr>
          <w:rFonts w:ascii="Times New Roman"/>
          <w:snapToGrid w:val="0"/>
          <w:color w:val="auto"/>
          <w:spacing w:val="-16"/>
          <w:kern w:val="21"/>
          <w:szCs w:val="21"/>
          <w:u w:val="none"/>
        </w:rPr>
        <w:instrText xml:space="preserve"> = 6 \* GB3 \* MERGEFORMAT </w:instrText>
      </w:r>
      <w:r>
        <w:rPr>
          <w:rFonts w:ascii="Times New Roman"/>
          <w:snapToGrid w:val="0"/>
          <w:color w:val="auto"/>
          <w:spacing w:val="-16"/>
          <w:kern w:val="21"/>
          <w:szCs w:val="21"/>
          <w:u w:val="none"/>
        </w:rPr>
        <w:fldChar w:fldCharType="separate"/>
      </w:r>
      <w:r>
        <w:rPr>
          <w:rFonts w:hint="eastAsia" w:hAnsi="宋体" w:cs="宋体"/>
          <w:color w:val="auto"/>
          <w:szCs w:val="21"/>
          <w:u w:val="none"/>
        </w:rPr>
        <w:t>⑥</w:t>
      </w:r>
      <w:r>
        <w:rPr>
          <w:rFonts w:ascii="Times New Roman"/>
          <w:snapToGrid w:val="0"/>
          <w:color w:val="auto"/>
          <w:spacing w:val="-16"/>
          <w:kern w:val="21"/>
          <w:szCs w:val="21"/>
          <w:u w:val="none"/>
        </w:rPr>
        <w:fldChar w:fldCharType="end"/>
      </w:r>
      <w:r>
        <w:rPr>
          <w:rFonts w:ascii="Times New Roman"/>
          <w:snapToGrid w:val="0"/>
          <w:color w:val="auto"/>
          <w:spacing w:val="-16"/>
          <w:kern w:val="21"/>
          <w:szCs w:val="21"/>
          <w:u w:val="none"/>
        </w:rPr>
        <w:t>=</w:t>
      </w:r>
      <w:r>
        <w:rPr>
          <w:rFonts w:ascii="Times New Roman"/>
          <w:snapToGrid w:val="0"/>
          <w:color w:val="auto"/>
          <w:spacing w:val="-6"/>
          <w:kern w:val="21"/>
          <w:szCs w:val="21"/>
          <w:u w:val="none"/>
        </w:rPr>
        <w:fldChar w:fldCharType="begin"/>
      </w:r>
      <w:r>
        <w:rPr>
          <w:rFonts w:ascii="Times New Roman"/>
          <w:snapToGrid w:val="0"/>
          <w:color w:val="auto"/>
          <w:spacing w:val="-6"/>
          <w:kern w:val="21"/>
          <w:szCs w:val="21"/>
          <w:u w:val="none"/>
        </w:rPr>
        <w:instrText xml:space="preserve"> = 1 \* GB3 \* MERGEFORMAT </w:instrText>
      </w:r>
      <w:r>
        <w:rPr>
          <w:rFonts w:ascii="Times New Roman"/>
          <w:snapToGrid w:val="0"/>
          <w:color w:val="auto"/>
          <w:spacing w:val="-6"/>
          <w:kern w:val="21"/>
          <w:szCs w:val="21"/>
          <w:u w:val="none"/>
        </w:rPr>
        <w:fldChar w:fldCharType="separate"/>
      </w:r>
      <w:r>
        <w:rPr>
          <w:rFonts w:hint="eastAsia" w:hAnsi="宋体" w:cs="宋体"/>
          <w:color w:val="auto"/>
          <w:szCs w:val="21"/>
          <w:u w:val="none"/>
        </w:rPr>
        <w:t>①</w:t>
      </w:r>
      <w:r>
        <w:rPr>
          <w:rFonts w:ascii="Times New Roman"/>
          <w:snapToGrid w:val="0"/>
          <w:color w:val="auto"/>
          <w:spacing w:val="-6"/>
          <w:kern w:val="21"/>
          <w:szCs w:val="21"/>
          <w:u w:val="none"/>
        </w:rPr>
        <w:fldChar w:fldCharType="end"/>
      </w:r>
      <w:r>
        <w:rPr>
          <w:rFonts w:ascii="Times New Roman"/>
          <w:snapToGrid w:val="0"/>
          <w:color w:val="auto"/>
          <w:spacing w:val="-6"/>
          <w:kern w:val="21"/>
          <w:szCs w:val="21"/>
          <w:u w:val="none"/>
        </w:rPr>
        <w:t>+</w:t>
      </w:r>
      <w:r>
        <w:rPr>
          <w:rFonts w:ascii="Times New Roman"/>
          <w:snapToGrid w:val="0"/>
          <w:color w:val="auto"/>
          <w:spacing w:val="-6"/>
          <w:kern w:val="21"/>
          <w:szCs w:val="21"/>
          <w:u w:val="none"/>
        </w:rPr>
        <w:fldChar w:fldCharType="begin"/>
      </w:r>
      <w:r>
        <w:rPr>
          <w:rFonts w:ascii="Times New Roman"/>
          <w:snapToGrid w:val="0"/>
          <w:color w:val="auto"/>
          <w:spacing w:val="-6"/>
          <w:kern w:val="21"/>
          <w:szCs w:val="21"/>
          <w:u w:val="none"/>
        </w:rPr>
        <w:instrText xml:space="preserve"> = 3 \* GB3 \* MERGEFORMAT </w:instrText>
      </w:r>
      <w:r>
        <w:rPr>
          <w:rFonts w:ascii="Times New Roman"/>
          <w:snapToGrid w:val="0"/>
          <w:color w:val="auto"/>
          <w:spacing w:val="-6"/>
          <w:kern w:val="21"/>
          <w:szCs w:val="21"/>
          <w:u w:val="none"/>
        </w:rPr>
        <w:fldChar w:fldCharType="separate"/>
      </w:r>
      <w:r>
        <w:rPr>
          <w:rFonts w:hint="eastAsia" w:hAnsi="宋体" w:cs="宋体"/>
          <w:color w:val="auto"/>
          <w:szCs w:val="21"/>
          <w:u w:val="none"/>
        </w:rPr>
        <w:t>③</w:t>
      </w:r>
      <w:r>
        <w:rPr>
          <w:rFonts w:ascii="Times New Roman"/>
          <w:snapToGrid w:val="0"/>
          <w:color w:val="auto"/>
          <w:spacing w:val="-6"/>
          <w:kern w:val="21"/>
          <w:szCs w:val="21"/>
          <w:u w:val="none"/>
        </w:rPr>
        <w:fldChar w:fldCharType="end"/>
      </w:r>
      <w:r>
        <w:rPr>
          <w:rFonts w:ascii="Times New Roman"/>
          <w:snapToGrid w:val="0"/>
          <w:color w:val="auto"/>
          <w:spacing w:val="-6"/>
          <w:kern w:val="21"/>
          <w:szCs w:val="21"/>
          <w:u w:val="none"/>
        </w:rPr>
        <w:t>+</w:t>
      </w:r>
      <w:r>
        <w:rPr>
          <w:rFonts w:ascii="Times New Roman"/>
          <w:snapToGrid w:val="0"/>
          <w:color w:val="auto"/>
          <w:spacing w:val="-6"/>
          <w:kern w:val="21"/>
          <w:szCs w:val="21"/>
          <w:u w:val="none"/>
        </w:rPr>
        <w:fldChar w:fldCharType="begin"/>
      </w:r>
      <w:r>
        <w:rPr>
          <w:rFonts w:ascii="Times New Roman"/>
          <w:snapToGrid w:val="0"/>
          <w:color w:val="auto"/>
          <w:spacing w:val="-6"/>
          <w:kern w:val="21"/>
          <w:szCs w:val="21"/>
          <w:u w:val="none"/>
        </w:rPr>
        <w:instrText xml:space="preserve"> = 4 \* GB3 \* MERGEFORMAT </w:instrText>
      </w:r>
      <w:r>
        <w:rPr>
          <w:rFonts w:ascii="Times New Roman"/>
          <w:snapToGrid w:val="0"/>
          <w:color w:val="auto"/>
          <w:spacing w:val="-6"/>
          <w:kern w:val="21"/>
          <w:szCs w:val="21"/>
          <w:u w:val="none"/>
        </w:rPr>
        <w:fldChar w:fldCharType="separate"/>
      </w:r>
      <w:r>
        <w:rPr>
          <w:rFonts w:hint="eastAsia" w:hAnsi="宋体" w:cs="宋体"/>
          <w:color w:val="auto"/>
          <w:szCs w:val="21"/>
          <w:u w:val="none"/>
        </w:rPr>
        <w:t>④</w:t>
      </w:r>
      <w:r>
        <w:rPr>
          <w:rFonts w:ascii="Times New Roman"/>
          <w:snapToGrid w:val="0"/>
          <w:color w:val="auto"/>
          <w:spacing w:val="-6"/>
          <w:kern w:val="21"/>
          <w:szCs w:val="21"/>
          <w:u w:val="none"/>
        </w:rPr>
        <w:fldChar w:fldCharType="end"/>
      </w:r>
      <w:r>
        <w:rPr>
          <w:rFonts w:ascii="Times New Roman"/>
          <w:snapToGrid w:val="0"/>
          <w:color w:val="auto"/>
          <w:spacing w:val="-6"/>
          <w:kern w:val="21"/>
          <w:szCs w:val="21"/>
          <w:u w:val="none"/>
        </w:rPr>
        <w:t>-</w:t>
      </w:r>
      <w:r>
        <w:rPr>
          <w:rFonts w:ascii="Times New Roman"/>
          <w:snapToGrid w:val="0"/>
          <w:color w:val="auto"/>
          <w:spacing w:val="-16"/>
          <w:kern w:val="21"/>
          <w:szCs w:val="21"/>
          <w:u w:val="none"/>
        </w:rPr>
        <w:fldChar w:fldCharType="begin"/>
      </w:r>
      <w:r>
        <w:rPr>
          <w:rFonts w:ascii="Times New Roman"/>
          <w:snapToGrid w:val="0"/>
          <w:color w:val="auto"/>
          <w:spacing w:val="-16"/>
          <w:kern w:val="21"/>
          <w:szCs w:val="21"/>
          <w:u w:val="none"/>
        </w:rPr>
        <w:instrText xml:space="preserve"> = 5 \* GB3 \* MERGEFORMAT </w:instrText>
      </w:r>
      <w:r>
        <w:rPr>
          <w:rFonts w:ascii="Times New Roman"/>
          <w:snapToGrid w:val="0"/>
          <w:color w:val="auto"/>
          <w:spacing w:val="-16"/>
          <w:kern w:val="21"/>
          <w:szCs w:val="21"/>
          <w:u w:val="none"/>
        </w:rPr>
        <w:fldChar w:fldCharType="separate"/>
      </w:r>
      <w:r>
        <w:rPr>
          <w:rFonts w:hint="eastAsia" w:hAnsi="宋体" w:cs="宋体"/>
          <w:color w:val="auto"/>
          <w:szCs w:val="21"/>
          <w:u w:val="none"/>
        </w:rPr>
        <w:t>⑤</w:t>
      </w:r>
      <w:r>
        <w:rPr>
          <w:rFonts w:ascii="Times New Roman"/>
          <w:snapToGrid w:val="0"/>
          <w:color w:val="auto"/>
          <w:spacing w:val="-16"/>
          <w:kern w:val="21"/>
          <w:szCs w:val="21"/>
          <w:u w:val="none"/>
        </w:rPr>
        <w:fldChar w:fldCharType="end"/>
      </w:r>
      <w:r>
        <w:rPr>
          <w:rFonts w:ascii="Times New Roman"/>
          <w:snapToGrid w:val="0"/>
          <w:color w:val="auto"/>
          <w:spacing w:val="-16"/>
          <w:kern w:val="21"/>
          <w:szCs w:val="21"/>
          <w:u w:val="none"/>
        </w:rPr>
        <w:t>；</w:t>
      </w:r>
      <w:r>
        <w:rPr>
          <w:rFonts w:ascii="Times New Roman"/>
          <w:snapToGrid w:val="0"/>
          <w:color w:val="auto"/>
          <w:spacing w:val="-6"/>
          <w:kern w:val="21"/>
          <w:szCs w:val="21"/>
          <w:u w:val="none"/>
        </w:rPr>
        <w:fldChar w:fldCharType="begin"/>
      </w:r>
      <w:r>
        <w:rPr>
          <w:rFonts w:ascii="Times New Roman"/>
          <w:snapToGrid w:val="0"/>
          <w:color w:val="auto"/>
          <w:spacing w:val="-6"/>
          <w:kern w:val="21"/>
          <w:szCs w:val="21"/>
          <w:u w:val="none"/>
        </w:rPr>
        <w:instrText xml:space="preserve"> = 7 \* GB3 \* MERGEFORMAT </w:instrText>
      </w:r>
      <w:r>
        <w:rPr>
          <w:rFonts w:ascii="Times New Roman"/>
          <w:snapToGrid w:val="0"/>
          <w:color w:val="auto"/>
          <w:spacing w:val="-6"/>
          <w:kern w:val="21"/>
          <w:szCs w:val="21"/>
          <w:u w:val="none"/>
        </w:rPr>
        <w:fldChar w:fldCharType="separate"/>
      </w:r>
      <w:r>
        <w:rPr>
          <w:rFonts w:hint="eastAsia" w:hAnsi="宋体" w:cs="宋体"/>
          <w:color w:val="auto"/>
          <w:szCs w:val="21"/>
          <w:u w:val="none"/>
        </w:rPr>
        <w:t>⑦</w:t>
      </w:r>
      <w:r>
        <w:rPr>
          <w:rFonts w:ascii="Times New Roman"/>
          <w:snapToGrid w:val="0"/>
          <w:color w:val="auto"/>
          <w:spacing w:val="-6"/>
          <w:kern w:val="21"/>
          <w:szCs w:val="21"/>
          <w:u w:val="none"/>
        </w:rPr>
        <w:fldChar w:fldCharType="end"/>
      </w:r>
      <w:r>
        <w:rPr>
          <w:rFonts w:ascii="Times New Roman"/>
          <w:snapToGrid w:val="0"/>
          <w:color w:val="auto"/>
          <w:spacing w:val="-6"/>
          <w:kern w:val="21"/>
          <w:szCs w:val="21"/>
          <w:u w:val="none"/>
        </w:rPr>
        <w:t>=</w:t>
      </w:r>
      <w:r>
        <w:rPr>
          <w:rFonts w:ascii="Times New Roman"/>
          <w:snapToGrid w:val="0"/>
          <w:color w:val="auto"/>
          <w:spacing w:val="-16"/>
          <w:kern w:val="21"/>
          <w:szCs w:val="21"/>
          <w:u w:val="none"/>
        </w:rPr>
        <w:fldChar w:fldCharType="begin"/>
      </w:r>
      <w:r>
        <w:rPr>
          <w:rFonts w:ascii="Times New Roman"/>
          <w:snapToGrid w:val="0"/>
          <w:color w:val="auto"/>
          <w:spacing w:val="-16"/>
          <w:kern w:val="21"/>
          <w:szCs w:val="21"/>
          <w:u w:val="none"/>
        </w:rPr>
        <w:instrText xml:space="preserve"> = 6 \* GB3 \* MERGEFORMAT </w:instrText>
      </w:r>
      <w:r>
        <w:rPr>
          <w:rFonts w:ascii="Times New Roman"/>
          <w:snapToGrid w:val="0"/>
          <w:color w:val="auto"/>
          <w:spacing w:val="-16"/>
          <w:kern w:val="21"/>
          <w:szCs w:val="21"/>
          <w:u w:val="none"/>
        </w:rPr>
        <w:fldChar w:fldCharType="separate"/>
      </w:r>
      <w:r>
        <w:rPr>
          <w:rFonts w:hint="eastAsia" w:hAnsi="宋体" w:cs="宋体"/>
          <w:color w:val="auto"/>
          <w:szCs w:val="21"/>
          <w:u w:val="none"/>
        </w:rPr>
        <w:t>⑥</w:t>
      </w:r>
      <w:r>
        <w:rPr>
          <w:rFonts w:ascii="Times New Roman"/>
          <w:snapToGrid w:val="0"/>
          <w:color w:val="auto"/>
          <w:spacing w:val="-16"/>
          <w:kern w:val="21"/>
          <w:szCs w:val="21"/>
          <w:u w:val="none"/>
        </w:rPr>
        <w:fldChar w:fldCharType="end"/>
      </w:r>
      <w:r>
        <w:rPr>
          <w:rFonts w:ascii="Times New Roman"/>
          <w:snapToGrid w:val="0"/>
          <w:color w:val="auto"/>
          <w:spacing w:val="-16"/>
          <w:kern w:val="21"/>
          <w:szCs w:val="21"/>
          <w:u w:val="none"/>
        </w:rPr>
        <w:t>-</w:t>
      </w:r>
      <w:r>
        <w:rPr>
          <w:rFonts w:ascii="Times New Roman"/>
          <w:snapToGrid w:val="0"/>
          <w:color w:val="auto"/>
          <w:spacing w:val="-6"/>
          <w:kern w:val="21"/>
          <w:szCs w:val="21"/>
          <w:u w:val="none"/>
        </w:rPr>
        <w:fldChar w:fldCharType="begin"/>
      </w:r>
      <w:r>
        <w:rPr>
          <w:rFonts w:ascii="Times New Roman"/>
          <w:snapToGrid w:val="0"/>
          <w:color w:val="auto"/>
          <w:spacing w:val="-6"/>
          <w:kern w:val="21"/>
          <w:szCs w:val="21"/>
          <w:u w:val="none"/>
        </w:rPr>
        <w:instrText xml:space="preserve"> = 1 \* GB3 \* MERGEFORMAT </w:instrText>
      </w:r>
      <w:r>
        <w:rPr>
          <w:rFonts w:ascii="Times New Roman"/>
          <w:snapToGrid w:val="0"/>
          <w:color w:val="auto"/>
          <w:spacing w:val="-6"/>
          <w:kern w:val="21"/>
          <w:szCs w:val="21"/>
          <w:u w:val="none"/>
        </w:rPr>
        <w:fldChar w:fldCharType="separate"/>
      </w:r>
      <w:r>
        <w:rPr>
          <w:rFonts w:hint="eastAsia" w:hAnsi="宋体" w:cs="宋体"/>
          <w:color w:val="auto"/>
          <w:szCs w:val="21"/>
          <w:u w:val="none"/>
        </w:rPr>
        <w:t>①</w:t>
      </w:r>
      <w:r>
        <w:rPr>
          <w:rFonts w:ascii="Times New Roman"/>
          <w:snapToGrid w:val="0"/>
          <w:color w:val="auto"/>
          <w:spacing w:val="-6"/>
          <w:kern w:val="21"/>
          <w:szCs w:val="21"/>
          <w:u w:val="none"/>
        </w:rPr>
        <w:fldChar w:fldCharType="end"/>
      </w:r>
      <w:bookmarkStart w:id="18" w:name="_GoBack"/>
      <w:bookmarkEnd w:id="18"/>
    </w:p>
    <w:sectPr>
      <w:footerReference r:id="rId5" w:type="default"/>
      <w:pgSz w:w="16840" w:h="11907" w:orient="landscape"/>
      <w:pgMar w:top="720" w:right="720" w:bottom="720" w:left="720"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NewRoman">
    <w:altName w:val="宋体"/>
    <w:panose1 w:val="00000000000000000000"/>
    <w:charset w:val="00"/>
    <w:family w:val="roman"/>
    <w:pitch w:val="default"/>
    <w:sig w:usb0="00000000" w:usb1="00000000" w:usb2="00000000" w:usb3="00000000" w:csb0="00000001" w:csb1="00000000"/>
  </w:font>
  <w:font w:name="Segoe UI Emoji">
    <w:panose1 w:val="020B0502040204020203"/>
    <w:charset w:val="00"/>
    <w:family w:val="swiss"/>
    <w:pitch w:val="default"/>
    <w:sig w:usb0="00000001" w:usb1="02000000" w:usb2="08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center" w:y="1"/>
      <w:rPr>
        <w:rStyle w:val="31"/>
      </w:rPr>
    </w:pPr>
    <w:r>
      <w:fldChar w:fldCharType="begin"/>
    </w:r>
    <w:r>
      <w:rPr>
        <w:rStyle w:val="31"/>
      </w:rPr>
      <w:instrText xml:space="preserve">PAGE  </w:instrText>
    </w:r>
    <w:r>
      <w:fldChar w:fldCharType="end"/>
    </w:r>
  </w:p>
  <w:p>
    <w:pPr>
      <w:pStyle w:val="1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posOffset>2682240</wp:posOffset>
              </wp:positionH>
              <wp:positionV relativeFrom="paragraph">
                <wp:posOffset>-15875</wp:posOffset>
              </wp:positionV>
              <wp:extent cx="22225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2222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1.2pt;margin-top:-1.25pt;height:144pt;width:17.5pt;mso-position-horizontal-relative:margin;z-index:251659264;mso-width-relative:page;mso-height-relative:page;" filled="f" stroked="f" coordsize="21600,21600" o:gfxdata="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AQSZTYAAAACgEAAA8AAAAAAAAAAQAgAAAAIgAAAGRycy9kb3du&#10;cmV2LnhtbFBLAQIUABQAAAAIAIdO4kDqKNhOOAIAAGYEAAAOAAAAAAAAAAEAIAAAACcBAABkcnMv&#10;ZTJvRG9jLnhtbFBLBQYAAAAABgAGAFkBAADR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Style w:val="31"/>
                            </w:rPr>
                          </w:pPr>
                          <w:r>
                            <w:rPr>
                              <w:rStyle w:val="31"/>
                            </w:rPr>
                            <w:fldChar w:fldCharType="begin"/>
                          </w:r>
                          <w:r>
                            <w:rPr>
                              <w:rStyle w:val="31"/>
                            </w:rPr>
                            <w:instrText xml:space="preserve">PAGE  </w:instrText>
                          </w:r>
                          <w:r>
                            <w:rPr>
                              <w:rStyle w:val="31"/>
                            </w:rPr>
                            <w:fldChar w:fldCharType="separate"/>
                          </w:r>
                          <w:r>
                            <w:rPr>
                              <w:rStyle w:val="31"/>
                            </w:rPr>
                            <w:t>58</w:t>
                          </w:r>
                          <w:r>
                            <w:rPr>
                              <w:rStyle w:val="3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fill on="f" focussize="0,0"/>
              <v:stroke on="f" weight="0.5pt"/>
              <v:imagedata o:title=""/>
              <o:lock v:ext="edit" aspectratio="f"/>
              <v:textbox inset="0mm,0mm,0mm,0mm" style="mso-fit-shape-to-text:t;">
                <w:txbxContent>
                  <w:p>
                    <w:pPr>
                      <w:pStyle w:val="17"/>
                      <w:rPr>
                        <w:rStyle w:val="31"/>
                      </w:rPr>
                    </w:pPr>
                    <w:r>
                      <w:rPr>
                        <w:rStyle w:val="31"/>
                      </w:rPr>
                      <w:fldChar w:fldCharType="begin"/>
                    </w:r>
                    <w:r>
                      <w:rPr>
                        <w:rStyle w:val="31"/>
                      </w:rPr>
                      <w:instrText xml:space="preserve">PAGE  </w:instrText>
                    </w:r>
                    <w:r>
                      <w:rPr>
                        <w:rStyle w:val="31"/>
                      </w:rPr>
                      <w:fldChar w:fldCharType="separate"/>
                    </w:r>
                    <w:r>
                      <w:rPr>
                        <w:rStyle w:val="31"/>
                      </w:rPr>
                      <w:t>58</w:t>
                    </w:r>
                    <w:r>
                      <w:rPr>
                        <w:rStyle w:val="3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8D7EB0"/>
    <w:multiLevelType w:val="singleLevel"/>
    <w:tmpl w:val="298D7EB0"/>
    <w:lvl w:ilvl="0" w:tentative="0">
      <w:start w:val="1"/>
      <w:numFmt w:val="decimal"/>
      <w:suff w:val="nothing"/>
      <w:lvlText w:val="（%1）"/>
      <w:lvlJc w:val="left"/>
    </w:lvl>
  </w:abstractNum>
  <w:abstractNum w:abstractNumId="1">
    <w:nsid w:val="319D1A6C"/>
    <w:multiLevelType w:val="multilevel"/>
    <w:tmpl w:val="319D1A6C"/>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482E41D1"/>
    <w:multiLevelType w:val="multilevel"/>
    <w:tmpl w:val="482E41D1"/>
    <w:lvl w:ilvl="0" w:tentative="0">
      <w:start w:val="1"/>
      <w:numFmt w:val="decimalEnclosedCircle"/>
      <w:lvlText w:val="%1"/>
      <w:lvlJc w:val="left"/>
      <w:pPr>
        <w:ind w:left="840" w:hanging="36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947"/>
    <w:rsid w:val="0000019E"/>
    <w:rsid w:val="00000705"/>
    <w:rsid w:val="000017B3"/>
    <w:rsid w:val="0000286C"/>
    <w:rsid w:val="000033B5"/>
    <w:rsid w:val="00003589"/>
    <w:rsid w:val="00003B0A"/>
    <w:rsid w:val="00004133"/>
    <w:rsid w:val="00005016"/>
    <w:rsid w:val="00005435"/>
    <w:rsid w:val="000056BD"/>
    <w:rsid w:val="000058E6"/>
    <w:rsid w:val="000060B3"/>
    <w:rsid w:val="0000744D"/>
    <w:rsid w:val="000078D9"/>
    <w:rsid w:val="00007AC6"/>
    <w:rsid w:val="00007CB7"/>
    <w:rsid w:val="00010D5F"/>
    <w:rsid w:val="00012346"/>
    <w:rsid w:val="000129FF"/>
    <w:rsid w:val="00012D28"/>
    <w:rsid w:val="000130C5"/>
    <w:rsid w:val="000135FE"/>
    <w:rsid w:val="00013928"/>
    <w:rsid w:val="00013BD3"/>
    <w:rsid w:val="0001466D"/>
    <w:rsid w:val="000146D5"/>
    <w:rsid w:val="000151A4"/>
    <w:rsid w:val="0001546F"/>
    <w:rsid w:val="000154E6"/>
    <w:rsid w:val="0001643C"/>
    <w:rsid w:val="00016A62"/>
    <w:rsid w:val="00020A1F"/>
    <w:rsid w:val="00021072"/>
    <w:rsid w:val="00022D35"/>
    <w:rsid w:val="00022E00"/>
    <w:rsid w:val="00024B2D"/>
    <w:rsid w:val="00025DEE"/>
    <w:rsid w:val="00025EFF"/>
    <w:rsid w:val="00026B02"/>
    <w:rsid w:val="00027248"/>
    <w:rsid w:val="000274D1"/>
    <w:rsid w:val="000306A4"/>
    <w:rsid w:val="000317F6"/>
    <w:rsid w:val="00031DFC"/>
    <w:rsid w:val="00031ED4"/>
    <w:rsid w:val="000320AB"/>
    <w:rsid w:val="000333A8"/>
    <w:rsid w:val="0003442D"/>
    <w:rsid w:val="00034E3A"/>
    <w:rsid w:val="00035186"/>
    <w:rsid w:val="00035A59"/>
    <w:rsid w:val="00035CCA"/>
    <w:rsid w:val="00036C2E"/>
    <w:rsid w:val="000373DE"/>
    <w:rsid w:val="000402E7"/>
    <w:rsid w:val="000405DA"/>
    <w:rsid w:val="00041052"/>
    <w:rsid w:val="00041178"/>
    <w:rsid w:val="00041A7C"/>
    <w:rsid w:val="000421B6"/>
    <w:rsid w:val="00042ABC"/>
    <w:rsid w:val="0004364B"/>
    <w:rsid w:val="00043702"/>
    <w:rsid w:val="00044420"/>
    <w:rsid w:val="00044452"/>
    <w:rsid w:val="00045C78"/>
    <w:rsid w:val="0004675A"/>
    <w:rsid w:val="00046DA6"/>
    <w:rsid w:val="00047651"/>
    <w:rsid w:val="00050EDA"/>
    <w:rsid w:val="0005106D"/>
    <w:rsid w:val="000518A3"/>
    <w:rsid w:val="00051B69"/>
    <w:rsid w:val="00052055"/>
    <w:rsid w:val="00052ADE"/>
    <w:rsid w:val="000531AD"/>
    <w:rsid w:val="0005388B"/>
    <w:rsid w:val="00053F3D"/>
    <w:rsid w:val="00054E0A"/>
    <w:rsid w:val="0005510A"/>
    <w:rsid w:val="00056DCD"/>
    <w:rsid w:val="000571CE"/>
    <w:rsid w:val="000572AC"/>
    <w:rsid w:val="000602CF"/>
    <w:rsid w:val="000604DE"/>
    <w:rsid w:val="00060E32"/>
    <w:rsid w:val="00061364"/>
    <w:rsid w:val="00061B1F"/>
    <w:rsid w:val="000622C1"/>
    <w:rsid w:val="000626FF"/>
    <w:rsid w:val="000638FD"/>
    <w:rsid w:val="0006439A"/>
    <w:rsid w:val="00064519"/>
    <w:rsid w:val="0006496B"/>
    <w:rsid w:val="00066039"/>
    <w:rsid w:val="00066E34"/>
    <w:rsid w:val="00067E4E"/>
    <w:rsid w:val="00070936"/>
    <w:rsid w:val="000730B3"/>
    <w:rsid w:val="000733C4"/>
    <w:rsid w:val="00073B8F"/>
    <w:rsid w:val="00074783"/>
    <w:rsid w:val="000747E4"/>
    <w:rsid w:val="00074B89"/>
    <w:rsid w:val="00075B6C"/>
    <w:rsid w:val="0007759C"/>
    <w:rsid w:val="00077ADC"/>
    <w:rsid w:val="0008070B"/>
    <w:rsid w:val="000810A1"/>
    <w:rsid w:val="000810AC"/>
    <w:rsid w:val="000817DC"/>
    <w:rsid w:val="00081A02"/>
    <w:rsid w:val="00082231"/>
    <w:rsid w:val="000825D5"/>
    <w:rsid w:val="00082DD6"/>
    <w:rsid w:val="0008347E"/>
    <w:rsid w:val="00083730"/>
    <w:rsid w:val="000857C3"/>
    <w:rsid w:val="000858DA"/>
    <w:rsid w:val="000861B0"/>
    <w:rsid w:val="0008642F"/>
    <w:rsid w:val="00086C25"/>
    <w:rsid w:val="00087298"/>
    <w:rsid w:val="00087616"/>
    <w:rsid w:val="00090BEB"/>
    <w:rsid w:val="00091041"/>
    <w:rsid w:val="00091140"/>
    <w:rsid w:val="000916DE"/>
    <w:rsid w:val="00091A75"/>
    <w:rsid w:val="00092D38"/>
    <w:rsid w:val="000934C0"/>
    <w:rsid w:val="0009377B"/>
    <w:rsid w:val="00093AE0"/>
    <w:rsid w:val="00093FA0"/>
    <w:rsid w:val="00094369"/>
    <w:rsid w:val="0009472B"/>
    <w:rsid w:val="000949A5"/>
    <w:rsid w:val="00095280"/>
    <w:rsid w:val="00095712"/>
    <w:rsid w:val="00096123"/>
    <w:rsid w:val="0009644A"/>
    <w:rsid w:val="0009662E"/>
    <w:rsid w:val="00097157"/>
    <w:rsid w:val="000973CE"/>
    <w:rsid w:val="000A08D7"/>
    <w:rsid w:val="000A0BD7"/>
    <w:rsid w:val="000A20C9"/>
    <w:rsid w:val="000A2377"/>
    <w:rsid w:val="000A2557"/>
    <w:rsid w:val="000A2925"/>
    <w:rsid w:val="000A3AA1"/>
    <w:rsid w:val="000A3B03"/>
    <w:rsid w:val="000A3CD0"/>
    <w:rsid w:val="000A423C"/>
    <w:rsid w:val="000A5112"/>
    <w:rsid w:val="000A5D0C"/>
    <w:rsid w:val="000A5EB1"/>
    <w:rsid w:val="000A684D"/>
    <w:rsid w:val="000A691F"/>
    <w:rsid w:val="000A6BB0"/>
    <w:rsid w:val="000A6C12"/>
    <w:rsid w:val="000A6C1D"/>
    <w:rsid w:val="000A6C71"/>
    <w:rsid w:val="000B017E"/>
    <w:rsid w:val="000B058F"/>
    <w:rsid w:val="000B0603"/>
    <w:rsid w:val="000B1C55"/>
    <w:rsid w:val="000B214E"/>
    <w:rsid w:val="000B229D"/>
    <w:rsid w:val="000B25B1"/>
    <w:rsid w:val="000B271E"/>
    <w:rsid w:val="000B38AD"/>
    <w:rsid w:val="000B4467"/>
    <w:rsid w:val="000B4DB9"/>
    <w:rsid w:val="000B69CD"/>
    <w:rsid w:val="000B79F7"/>
    <w:rsid w:val="000C09AC"/>
    <w:rsid w:val="000C3114"/>
    <w:rsid w:val="000C3481"/>
    <w:rsid w:val="000C396B"/>
    <w:rsid w:val="000C40E8"/>
    <w:rsid w:val="000C4803"/>
    <w:rsid w:val="000C6AA4"/>
    <w:rsid w:val="000C6F62"/>
    <w:rsid w:val="000C767F"/>
    <w:rsid w:val="000C7960"/>
    <w:rsid w:val="000C7C68"/>
    <w:rsid w:val="000C7CE9"/>
    <w:rsid w:val="000C7FBF"/>
    <w:rsid w:val="000D0058"/>
    <w:rsid w:val="000D0C58"/>
    <w:rsid w:val="000D14AA"/>
    <w:rsid w:val="000D18F6"/>
    <w:rsid w:val="000D1DB3"/>
    <w:rsid w:val="000D234F"/>
    <w:rsid w:val="000D2516"/>
    <w:rsid w:val="000D3120"/>
    <w:rsid w:val="000D3379"/>
    <w:rsid w:val="000D4349"/>
    <w:rsid w:val="000D4C76"/>
    <w:rsid w:val="000D4DAC"/>
    <w:rsid w:val="000D4EB4"/>
    <w:rsid w:val="000D51E5"/>
    <w:rsid w:val="000D5A44"/>
    <w:rsid w:val="000D5AC1"/>
    <w:rsid w:val="000D5DA5"/>
    <w:rsid w:val="000D7724"/>
    <w:rsid w:val="000E0E62"/>
    <w:rsid w:val="000E221F"/>
    <w:rsid w:val="000E2E91"/>
    <w:rsid w:val="000E3353"/>
    <w:rsid w:val="000E378A"/>
    <w:rsid w:val="000E379D"/>
    <w:rsid w:val="000E3ED2"/>
    <w:rsid w:val="000E43C2"/>
    <w:rsid w:val="000E462D"/>
    <w:rsid w:val="000E5353"/>
    <w:rsid w:val="000E53C6"/>
    <w:rsid w:val="000E63E1"/>
    <w:rsid w:val="000E754F"/>
    <w:rsid w:val="000E7987"/>
    <w:rsid w:val="000E7F62"/>
    <w:rsid w:val="000F0190"/>
    <w:rsid w:val="000F0AA8"/>
    <w:rsid w:val="000F32B7"/>
    <w:rsid w:val="000F4649"/>
    <w:rsid w:val="000F5A4D"/>
    <w:rsid w:val="000F6EA8"/>
    <w:rsid w:val="000F7031"/>
    <w:rsid w:val="000F75C9"/>
    <w:rsid w:val="000F7944"/>
    <w:rsid w:val="000F7A95"/>
    <w:rsid w:val="000F7CC9"/>
    <w:rsid w:val="000F7EB5"/>
    <w:rsid w:val="0010075F"/>
    <w:rsid w:val="001007BC"/>
    <w:rsid w:val="0010161C"/>
    <w:rsid w:val="001025F6"/>
    <w:rsid w:val="0010266B"/>
    <w:rsid w:val="0010324C"/>
    <w:rsid w:val="001045BA"/>
    <w:rsid w:val="00105323"/>
    <w:rsid w:val="0010548F"/>
    <w:rsid w:val="001060C3"/>
    <w:rsid w:val="001067B8"/>
    <w:rsid w:val="001072A2"/>
    <w:rsid w:val="00107C80"/>
    <w:rsid w:val="00107EAE"/>
    <w:rsid w:val="0011243C"/>
    <w:rsid w:val="00112792"/>
    <w:rsid w:val="001133BA"/>
    <w:rsid w:val="00113946"/>
    <w:rsid w:val="00113C87"/>
    <w:rsid w:val="00114093"/>
    <w:rsid w:val="0011410C"/>
    <w:rsid w:val="00115134"/>
    <w:rsid w:val="001151A5"/>
    <w:rsid w:val="00115DB9"/>
    <w:rsid w:val="00115DD9"/>
    <w:rsid w:val="00115F25"/>
    <w:rsid w:val="00116A7A"/>
    <w:rsid w:val="00116D0E"/>
    <w:rsid w:val="001200E0"/>
    <w:rsid w:val="00120271"/>
    <w:rsid w:val="00120956"/>
    <w:rsid w:val="001211DD"/>
    <w:rsid w:val="00121A24"/>
    <w:rsid w:val="00121B2B"/>
    <w:rsid w:val="00124082"/>
    <w:rsid w:val="00124290"/>
    <w:rsid w:val="001249F2"/>
    <w:rsid w:val="00125A83"/>
    <w:rsid w:val="00125B92"/>
    <w:rsid w:val="00125F10"/>
    <w:rsid w:val="00126A28"/>
    <w:rsid w:val="00130D5F"/>
    <w:rsid w:val="001310EE"/>
    <w:rsid w:val="00131B5F"/>
    <w:rsid w:val="00131E1F"/>
    <w:rsid w:val="00131F42"/>
    <w:rsid w:val="0013213D"/>
    <w:rsid w:val="00133A83"/>
    <w:rsid w:val="001349DF"/>
    <w:rsid w:val="00134A4F"/>
    <w:rsid w:val="00135746"/>
    <w:rsid w:val="001357F1"/>
    <w:rsid w:val="00135A1E"/>
    <w:rsid w:val="00135A47"/>
    <w:rsid w:val="00136352"/>
    <w:rsid w:val="00136515"/>
    <w:rsid w:val="001368C0"/>
    <w:rsid w:val="00137363"/>
    <w:rsid w:val="00137504"/>
    <w:rsid w:val="00140569"/>
    <w:rsid w:val="00140AAB"/>
    <w:rsid w:val="00140FA8"/>
    <w:rsid w:val="00141054"/>
    <w:rsid w:val="001420B4"/>
    <w:rsid w:val="00142DFD"/>
    <w:rsid w:val="00142FEB"/>
    <w:rsid w:val="0014315A"/>
    <w:rsid w:val="00143439"/>
    <w:rsid w:val="00143A2D"/>
    <w:rsid w:val="00144AD2"/>
    <w:rsid w:val="00144E64"/>
    <w:rsid w:val="001451A9"/>
    <w:rsid w:val="00145293"/>
    <w:rsid w:val="00145A41"/>
    <w:rsid w:val="00146468"/>
    <w:rsid w:val="00146AF9"/>
    <w:rsid w:val="0014751E"/>
    <w:rsid w:val="001506A1"/>
    <w:rsid w:val="00150895"/>
    <w:rsid w:val="00151675"/>
    <w:rsid w:val="00151789"/>
    <w:rsid w:val="00151AD8"/>
    <w:rsid w:val="0015271B"/>
    <w:rsid w:val="00152818"/>
    <w:rsid w:val="00152D31"/>
    <w:rsid w:val="00153116"/>
    <w:rsid w:val="00153259"/>
    <w:rsid w:val="001532E1"/>
    <w:rsid w:val="00153ECC"/>
    <w:rsid w:val="0015425D"/>
    <w:rsid w:val="00155D7D"/>
    <w:rsid w:val="00157435"/>
    <w:rsid w:val="001604A8"/>
    <w:rsid w:val="00160651"/>
    <w:rsid w:val="00160EFA"/>
    <w:rsid w:val="0016171A"/>
    <w:rsid w:val="00161FBB"/>
    <w:rsid w:val="001620CB"/>
    <w:rsid w:val="00163016"/>
    <w:rsid w:val="001644D6"/>
    <w:rsid w:val="0016463C"/>
    <w:rsid w:val="00164883"/>
    <w:rsid w:val="00164DB5"/>
    <w:rsid w:val="00165640"/>
    <w:rsid w:val="00165C35"/>
    <w:rsid w:val="00166E89"/>
    <w:rsid w:val="00166FD6"/>
    <w:rsid w:val="0016711E"/>
    <w:rsid w:val="00167E35"/>
    <w:rsid w:val="001703F0"/>
    <w:rsid w:val="00170416"/>
    <w:rsid w:val="001710DF"/>
    <w:rsid w:val="0017122F"/>
    <w:rsid w:val="00171BA6"/>
    <w:rsid w:val="00171FD3"/>
    <w:rsid w:val="0017354D"/>
    <w:rsid w:val="00173885"/>
    <w:rsid w:val="00173A12"/>
    <w:rsid w:val="00173CB1"/>
    <w:rsid w:val="00173F26"/>
    <w:rsid w:val="00174904"/>
    <w:rsid w:val="00174F3D"/>
    <w:rsid w:val="0017504D"/>
    <w:rsid w:val="00175455"/>
    <w:rsid w:val="00175946"/>
    <w:rsid w:val="0017671A"/>
    <w:rsid w:val="00176B6A"/>
    <w:rsid w:val="001773BE"/>
    <w:rsid w:val="00177422"/>
    <w:rsid w:val="00180733"/>
    <w:rsid w:val="001809ED"/>
    <w:rsid w:val="00181AE5"/>
    <w:rsid w:val="00181AEF"/>
    <w:rsid w:val="00182F61"/>
    <w:rsid w:val="001830A8"/>
    <w:rsid w:val="0018343D"/>
    <w:rsid w:val="0018354D"/>
    <w:rsid w:val="0018395F"/>
    <w:rsid w:val="001840F6"/>
    <w:rsid w:val="00184590"/>
    <w:rsid w:val="001851C0"/>
    <w:rsid w:val="0018585C"/>
    <w:rsid w:val="001858E3"/>
    <w:rsid w:val="00186337"/>
    <w:rsid w:val="00186CA5"/>
    <w:rsid w:val="001870D1"/>
    <w:rsid w:val="0018781E"/>
    <w:rsid w:val="00187C11"/>
    <w:rsid w:val="00190900"/>
    <w:rsid w:val="00190A3E"/>
    <w:rsid w:val="00190A41"/>
    <w:rsid w:val="00190A73"/>
    <w:rsid w:val="0019173A"/>
    <w:rsid w:val="001919ED"/>
    <w:rsid w:val="0019262D"/>
    <w:rsid w:val="001929EF"/>
    <w:rsid w:val="00192DD8"/>
    <w:rsid w:val="00193FC7"/>
    <w:rsid w:val="00194AFC"/>
    <w:rsid w:val="0019509B"/>
    <w:rsid w:val="0019593F"/>
    <w:rsid w:val="00196394"/>
    <w:rsid w:val="0019700E"/>
    <w:rsid w:val="00197260"/>
    <w:rsid w:val="00197D10"/>
    <w:rsid w:val="00197E6A"/>
    <w:rsid w:val="00197FE1"/>
    <w:rsid w:val="001A027D"/>
    <w:rsid w:val="001A0BD6"/>
    <w:rsid w:val="001A1774"/>
    <w:rsid w:val="001A1B35"/>
    <w:rsid w:val="001A2A13"/>
    <w:rsid w:val="001A3349"/>
    <w:rsid w:val="001A4829"/>
    <w:rsid w:val="001A48A2"/>
    <w:rsid w:val="001A57DE"/>
    <w:rsid w:val="001A62F5"/>
    <w:rsid w:val="001A66C0"/>
    <w:rsid w:val="001A6F61"/>
    <w:rsid w:val="001A7A2F"/>
    <w:rsid w:val="001B0676"/>
    <w:rsid w:val="001B0ADF"/>
    <w:rsid w:val="001B119B"/>
    <w:rsid w:val="001B11D4"/>
    <w:rsid w:val="001B1E83"/>
    <w:rsid w:val="001B21EF"/>
    <w:rsid w:val="001B266A"/>
    <w:rsid w:val="001B3430"/>
    <w:rsid w:val="001B370B"/>
    <w:rsid w:val="001B72B8"/>
    <w:rsid w:val="001B7AE6"/>
    <w:rsid w:val="001B7E75"/>
    <w:rsid w:val="001C0390"/>
    <w:rsid w:val="001C2688"/>
    <w:rsid w:val="001C2DAA"/>
    <w:rsid w:val="001C32E6"/>
    <w:rsid w:val="001C397C"/>
    <w:rsid w:val="001C3E59"/>
    <w:rsid w:val="001C5C71"/>
    <w:rsid w:val="001C64AE"/>
    <w:rsid w:val="001C69B3"/>
    <w:rsid w:val="001C6E47"/>
    <w:rsid w:val="001C6FB0"/>
    <w:rsid w:val="001C7463"/>
    <w:rsid w:val="001C7675"/>
    <w:rsid w:val="001C7959"/>
    <w:rsid w:val="001C7C9F"/>
    <w:rsid w:val="001C7E38"/>
    <w:rsid w:val="001C7FB4"/>
    <w:rsid w:val="001D0143"/>
    <w:rsid w:val="001D0265"/>
    <w:rsid w:val="001D0B3B"/>
    <w:rsid w:val="001D1681"/>
    <w:rsid w:val="001D16C3"/>
    <w:rsid w:val="001D17DF"/>
    <w:rsid w:val="001D1C65"/>
    <w:rsid w:val="001D2482"/>
    <w:rsid w:val="001D41E1"/>
    <w:rsid w:val="001D434B"/>
    <w:rsid w:val="001D49EE"/>
    <w:rsid w:val="001D508F"/>
    <w:rsid w:val="001D544A"/>
    <w:rsid w:val="001D5595"/>
    <w:rsid w:val="001D598F"/>
    <w:rsid w:val="001D5A49"/>
    <w:rsid w:val="001D5E25"/>
    <w:rsid w:val="001D734B"/>
    <w:rsid w:val="001D761B"/>
    <w:rsid w:val="001D7874"/>
    <w:rsid w:val="001D7C04"/>
    <w:rsid w:val="001D7F22"/>
    <w:rsid w:val="001E0911"/>
    <w:rsid w:val="001E1978"/>
    <w:rsid w:val="001E1C26"/>
    <w:rsid w:val="001E2586"/>
    <w:rsid w:val="001E266C"/>
    <w:rsid w:val="001E3178"/>
    <w:rsid w:val="001E3A48"/>
    <w:rsid w:val="001E4A24"/>
    <w:rsid w:val="001E55C3"/>
    <w:rsid w:val="001E6926"/>
    <w:rsid w:val="001E7724"/>
    <w:rsid w:val="001E7767"/>
    <w:rsid w:val="001E78BA"/>
    <w:rsid w:val="001E7A1E"/>
    <w:rsid w:val="001F0F17"/>
    <w:rsid w:val="001F18BC"/>
    <w:rsid w:val="001F2058"/>
    <w:rsid w:val="001F2070"/>
    <w:rsid w:val="001F2592"/>
    <w:rsid w:val="001F2801"/>
    <w:rsid w:val="001F2B89"/>
    <w:rsid w:val="001F3347"/>
    <w:rsid w:val="001F36BA"/>
    <w:rsid w:val="001F3956"/>
    <w:rsid w:val="001F3C82"/>
    <w:rsid w:val="001F41CA"/>
    <w:rsid w:val="001F47BE"/>
    <w:rsid w:val="001F5346"/>
    <w:rsid w:val="001F5DD3"/>
    <w:rsid w:val="001F67AF"/>
    <w:rsid w:val="001F6858"/>
    <w:rsid w:val="001F69E4"/>
    <w:rsid w:val="001F79F9"/>
    <w:rsid w:val="001F7F9D"/>
    <w:rsid w:val="0020004D"/>
    <w:rsid w:val="00200673"/>
    <w:rsid w:val="00200A32"/>
    <w:rsid w:val="00200D61"/>
    <w:rsid w:val="002014F9"/>
    <w:rsid w:val="002021CF"/>
    <w:rsid w:val="0020269A"/>
    <w:rsid w:val="00203256"/>
    <w:rsid w:val="002039C3"/>
    <w:rsid w:val="00203BC8"/>
    <w:rsid w:val="00203DAF"/>
    <w:rsid w:val="0020406F"/>
    <w:rsid w:val="00204212"/>
    <w:rsid w:val="002053E3"/>
    <w:rsid w:val="0020659F"/>
    <w:rsid w:val="002071AC"/>
    <w:rsid w:val="002076AC"/>
    <w:rsid w:val="0020772B"/>
    <w:rsid w:val="00207824"/>
    <w:rsid w:val="002079A4"/>
    <w:rsid w:val="00210000"/>
    <w:rsid w:val="00210DEB"/>
    <w:rsid w:val="00210E5D"/>
    <w:rsid w:val="00211CD9"/>
    <w:rsid w:val="00211F55"/>
    <w:rsid w:val="002122C5"/>
    <w:rsid w:val="002125B4"/>
    <w:rsid w:val="002128CF"/>
    <w:rsid w:val="002133B9"/>
    <w:rsid w:val="002135C1"/>
    <w:rsid w:val="00213A05"/>
    <w:rsid w:val="00213D2E"/>
    <w:rsid w:val="002143A2"/>
    <w:rsid w:val="002151BF"/>
    <w:rsid w:val="002155B8"/>
    <w:rsid w:val="00216AE0"/>
    <w:rsid w:val="00217D5D"/>
    <w:rsid w:val="002201A0"/>
    <w:rsid w:val="002202A5"/>
    <w:rsid w:val="0022037E"/>
    <w:rsid w:val="00221013"/>
    <w:rsid w:val="00221132"/>
    <w:rsid w:val="00221204"/>
    <w:rsid w:val="00221329"/>
    <w:rsid w:val="00221404"/>
    <w:rsid w:val="00221E49"/>
    <w:rsid w:val="00221FC4"/>
    <w:rsid w:val="00222344"/>
    <w:rsid w:val="00222D0C"/>
    <w:rsid w:val="00223B1C"/>
    <w:rsid w:val="00223CAF"/>
    <w:rsid w:val="00224839"/>
    <w:rsid w:val="002249B2"/>
    <w:rsid w:val="00224AE9"/>
    <w:rsid w:val="00224E1D"/>
    <w:rsid w:val="00226574"/>
    <w:rsid w:val="002274CD"/>
    <w:rsid w:val="002278EC"/>
    <w:rsid w:val="002314D4"/>
    <w:rsid w:val="0023209F"/>
    <w:rsid w:val="0023267F"/>
    <w:rsid w:val="0023275A"/>
    <w:rsid w:val="0023280E"/>
    <w:rsid w:val="002336B0"/>
    <w:rsid w:val="00233B44"/>
    <w:rsid w:val="0023404F"/>
    <w:rsid w:val="002344B5"/>
    <w:rsid w:val="00234793"/>
    <w:rsid w:val="00235D9A"/>
    <w:rsid w:val="00236723"/>
    <w:rsid w:val="002367F9"/>
    <w:rsid w:val="00236DBC"/>
    <w:rsid w:val="002377D1"/>
    <w:rsid w:val="0023789B"/>
    <w:rsid w:val="00240388"/>
    <w:rsid w:val="00240D5C"/>
    <w:rsid w:val="00241661"/>
    <w:rsid w:val="00241A84"/>
    <w:rsid w:val="00242896"/>
    <w:rsid w:val="0024382A"/>
    <w:rsid w:val="00243EE9"/>
    <w:rsid w:val="00244AA2"/>
    <w:rsid w:val="00245B59"/>
    <w:rsid w:val="00245ED8"/>
    <w:rsid w:val="00245F99"/>
    <w:rsid w:val="00246AD5"/>
    <w:rsid w:val="002474C7"/>
    <w:rsid w:val="00250526"/>
    <w:rsid w:val="002506BC"/>
    <w:rsid w:val="002515B5"/>
    <w:rsid w:val="00251A71"/>
    <w:rsid w:val="00251D6C"/>
    <w:rsid w:val="0025275D"/>
    <w:rsid w:val="00252F40"/>
    <w:rsid w:val="00253E8C"/>
    <w:rsid w:val="002540BE"/>
    <w:rsid w:val="00254345"/>
    <w:rsid w:val="0025438C"/>
    <w:rsid w:val="002546CA"/>
    <w:rsid w:val="00254AD3"/>
    <w:rsid w:val="00255364"/>
    <w:rsid w:val="00255A9C"/>
    <w:rsid w:val="00256030"/>
    <w:rsid w:val="00256317"/>
    <w:rsid w:val="00256359"/>
    <w:rsid w:val="00256661"/>
    <w:rsid w:val="00257163"/>
    <w:rsid w:val="002574E7"/>
    <w:rsid w:val="00260DCE"/>
    <w:rsid w:val="00260DDC"/>
    <w:rsid w:val="00260F03"/>
    <w:rsid w:val="002611F1"/>
    <w:rsid w:val="002615F6"/>
    <w:rsid w:val="002617D2"/>
    <w:rsid w:val="00261F12"/>
    <w:rsid w:val="00262753"/>
    <w:rsid w:val="00262ED6"/>
    <w:rsid w:val="0026341A"/>
    <w:rsid w:val="0026379C"/>
    <w:rsid w:val="002638A4"/>
    <w:rsid w:val="002638BF"/>
    <w:rsid w:val="00263925"/>
    <w:rsid w:val="002644E0"/>
    <w:rsid w:val="00264557"/>
    <w:rsid w:val="002646FD"/>
    <w:rsid w:val="002654EA"/>
    <w:rsid w:val="00265723"/>
    <w:rsid w:val="00265CC3"/>
    <w:rsid w:val="00265CFA"/>
    <w:rsid w:val="00265E6A"/>
    <w:rsid w:val="002660DF"/>
    <w:rsid w:val="002708E4"/>
    <w:rsid w:val="00270CCC"/>
    <w:rsid w:val="00270D7D"/>
    <w:rsid w:val="00271DE5"/>
    <w:rsid w:val="00272E38"/>
    <w:rsid w:val="0027396A"/>
    <w:rsid w:val="00273D60"/>
    <w:rsid w:val="00274093"/>
    <w:rsid w:val="002744B1"/>
    <w:rsid w:val="00274AF1"/>
    <w:rsid w:val="00274C76"/>
    <w:rsid w:val="00274D27"/>
    <w:rsid w:val="002759F3"/>
    <w:rsid w:val="00277232"/>
    <w:rsid w:val="002772FE"/>
    <w:rsid w:val="00277382"/>
    <w:rsid w:val="0028025C"/>
    <w:rsid w:val="002805AB"/>
    <w:rsid w:val="00280BC6"/>
    <w:rsid w:val="00281AD8"/>
    <w:rsid w:val="0028206C"/>
    <w:rsid w:val="002824BB"/>
    <w:rsid w:val="00283AE9"/>
    <w:rsid w:val="00283FE1"/>
    <w:rsid w:val="00284204"/>
    <w:rsid w:val="00284757"/>
    <w:rsid w:val="002851F4"/>
    <w:rsid w:val="0028542E"/>
    <w:rsid w:val="00285661"/>
    <w:rsid w:val="00286210"/>
    <w:rsid w:val="0028671A"/>
    <w:rsid w:val="00286A26"/>
    <w:rsid w:val="00286D2A"/>
    <w:rsid w:val="00286FFD"/>
    <w:rsid w:val="00290363"/>
    <w:rsid w:val="00290FD9"/>
    <w:rsid w:val="0029137B"/>
    <w:rsid w:val="002913C9"/>
    <w:rsid w:val="00291627"/>
    <w:rsid w:val="00291773"/>
    <w:rsid w:val="002917E2"/>
    <w:rsid w:val="00292284"/>
    <w:rsid w:val="0029230D"/>
    <w:rsid w:val="00292BD6"/>
    <w:rsid w:val="002946A9"/>
    <w:rsid w:val="002948AC"/>
    <w:rsid w:val="00294EE7"/>
    <w:rsid w:val="00295533"/>
    <w:rsid w:val="00295737"/>
    <w:rsid w:val="002957F7"/>
    <w:rsid w:val="0029764A"/>
    <w:rsid w:val="002977BB"/>
    <w:rsid w:val="00297953"/>
    <w:rsid w:val="00297A36"/>
    <w:rsid w:val="002A061D"/>
    <w:rsid w:val="002A1368"/>
    <w:rsid w:val="002A168C"/>
    <w:rsid w:val="002A190C"/>
    <w:rsid w:val="002A1B43"/>
    <w:rsid w:val="002A1C6B"/>
    <w:rsid w:val="002A1F6E"/>
    <w:rsid w:val="002A283C"/>
    <w:rsid w:val="002A2AE5"/>
    <w:rsid w:val="002A356B"/>
    <w:rsid w:val="002A39EE"/>
    <w:rsid w:val="002A3DC7"/>
    <w:rsid w:val="002A4F74"/>
    <w:rsid w:val="002A67BE"/>
    <w:rsid w:val="002A6A80"/>
    <w:rsid w:val="002A6FBB"/>
    <w:rsid w:val="002A70AF"/>
    <w:rsid w:val="002A774E"/>
    <w:rsid w:val="002A784A"/>
    <w:rsid w:val="002A7BEA"/>
    <w:rsid w:val="002B094B"/>
    <w:rsid w:val="002B0C1C"/>
    <w:rsid w:val="002B11AE"/>
    <w:rsid w:val="002B21CA"/>
    <w:rsid w:val="002B2BDF"/>
    <w:rsid w:val="002B2E35"/>
    <w:rsid w:val="002B31A6"/>
    <w:rsid w:val="002B32D1"/>
    <w:rsid w:val="002B34D9"/>
    <w:rsid w:val="002B38EE"/>
    <w:rsid w:val="002B4202"/>
    <w:rsid w:val="002B4501"/>
    <w:rsid w:val="002B49E2"/>
    <w:rsid w:val="002B52D6"/>
    <w:rsid w:val="002B576B"/>
    <w:rsid w:val="002B5775"/>
    <w:rsid w:val="002B59F0"/>
    <w:rsid w:val="002B5B37"/>
    <w:rsid w:val="002B5E8B"/>
    <w:rsid w:val="002B608F"/>
    <w:rsid w:val="002B6360"/>
    <w:rsid w:val="002B6455"/>
    <w:rsid w:val="002B697D"/>
    <w:rsid w:val="002B6AB0"/>
    <w:rsid w:val="002B7387"/>
    <w:rsid w:val="002B74C0"/>
    <w:rsid w:val="002B754F"/>
    <w:rsid w:val="002B7B00"/>
    <w:rsid w:val="002B7BBD"/>
    <w:rsid w:val="002B7C44"/>
    <w:rsid w:val="002B7CF6"/>
    <w:rsid w:val="002C1911"/>
    <w:rsid w:val="002C1B3E"/>
    <w:rsid w:val="002C25D0"/>
    <w:rsid w:val="002C2B17"/>
    <w:rsid w:val="002C2E36"/>
    <w:rsid w:val="002C372E"/>
    <w:rsid w:val="002C3F3C"/>
    <w:rsid w:val="002C3F97"/>
    <w:rsid w:val="002C40A4"/>
    <w:rsid w:val="002C51BC"/>
    <w:rsid w:val="002C5D2A"/>
    <w:rsid w:val="002C5F97"/>
    <w:rsid w:val="002D04DB"/>
    <w:rsid w:val="002D0845"/>
    <w:rsid w:val="002D249F"/>
    <w:rsid w:val="002D2675"/>
    <w:rsid w:val="002D2BAA"/>
    <w:rsid w:val="002D3338"/>
    <w:rsid w:val="002D3BE2"/>
    <w:rsid w:val="002D3DD0"/>
    <w:rsid w:val="002D3F33"/>
    <w:rsid w:val="002D44B6"/>
    <w:rsid w:val="002D47AF"/>
    <w:rsid w:val="002D49D8"/>
    <w:rsid w:val="002D4E04"/>
    <w:rsid w:val="002D5719"/>
    <w:rsid w:val="002D6548"/>
    <w:rsid w:val="002D6F61"/>
    <w:rsid w:val="002D6FDF"/>
    <w:rsid w:val="002D7705"/>
    <w:rsid w:val="002D7D34"/>
    <w:rsid w:val="002D7F90"/>
    <w:rsid w:val="002E0E6A"/>
    <w:rsid w:val="002E1328"/>
    <w:rsid w:val="002E1352"/>
    <w:rsid w:val="002E14F3"/>
    <w:rsid w:val="002E1F3A"/>
    <w:rsid w:val="002E245D"/>
    <w:rsid w:val="002E298A"/>
    <w:rsid w:val="002E3518"/>
    <w:rsid w:val="002E3682"/>
    <w:rsid w:val="002E375D"/>
    <w:rsid w:val="002E39AF"/>
    <w:rsid w:val="002E3E19"/>
    <w:rsid w:val="002E4C6D"/>
    <w:rsid w:val="002E5676"/>
    <w:rsid w:val="002E7DA5"/>
    <w:rsid w:val="002F08D8"/>
    <w:rsid w:val="002F0A9E"/>
    <w:rsid w:val="002F0EEF"/>
    <w:rsid w:val="002F1476"/>
    <w:rsid w:val="002F14CE"/>
    <w:rsid w:val="002F2B69"/>
    <w:rsid w:val="002F3349"/>
    <w:rsid w:val="002F362B"/>
    <w:rsid w:val="002F397A"/>
    <w:rsid w:val="002F4037"/>
    <w:rsid w:val="002F40BA"/>
    <w:rsid w:val="002F498C"/>
    <w:rsid w:val="002F4B13"/>
    <w:rsid w:val="002F4B9E"/>
    <w:rsid w:val="002F53AB"/>
    <w:rsid w:val="002F68C0"/>
    <w:rsid w:val="002F69EE"/>
    <w:rsid w:val="002F69FE"/>
    <w:rsid w:val="002F6A12"/>
    <w:rsid w:val="002F6B38"/>
    <w:rsid w:val="002F6CA1"/>
    <w:rsid w:val="002F6F27"/>
    <w:rsid w:val="002F78CE"/>
    <w:rsid w:val="002F7BF4"/>
    <w:rsid w:val="002F7F8E"/>
    <w:rsid w:val="003001EE"/>
    <w:rsid w:val="0030071E"/>
    <w:rsid w:val="003008FA"/>
    <w:rsid w:val="00301978"/>
    <w:rsid w:val="00301EBE"/>
    <w:rsid w:val="00301F2A"/>
    <w:rsid w:val="0030228E"/>
    <w:rsid w:val="00302646"/>
    <w:rsid w:val="003027B0"/>
    <w:rsid w:val="0030281A"/>
    <w:rsid w:val="0030332C"/>
    <w:rsid w:val="0030368C"/>
    <w:rsid w:val="0030391B"/>
    <w:rsid w:val="003039B1"/>
    <w:rsid w:val="0030430D"/>
    <w:rsid w:val="00304A4D"/>
    <w:rsid w:val="00304DC5"/>
    <w:rsid w:val="003051C2"/>
    <w:rsid w:val="00305C2E"/>
    <w:rsid w:val="00305DFD"/>
    <w:rsid w:val="0030647E"/>
    <w:rsid w:val="00306A03"/>
    <w:rsid w:val="00307414"/>
    <w:rsid w:val="00310BE5"/>
    <w:rsid w:val="00311372"/>
    <w:rsid w:val="00311B2B"/>
    <w:rsid w:val="00311C01"/>
    <w:rsid w:val="00312224"/>
    <w:rsid w:val="00312296"/>
    <w:rsid w:val="0031261B"/>
    <w:rsid w:val="0031270C"/>
    <w:rsid w:val="00312CE1"/>
    <w:rsid w:val="00313607"/>
    <w:rsid w:val="0031468D"/>
    <w:rsid w:val="00314866"/>
    <w:rsid w:val="00314ADF"/>
    <w:rsid w:val="00314F0E"/>
    <w:rsid w:val="0031610F"/>
    <w:rsid w:val="0031611C"/>
    <w:rsid w:val="003161AE"/>
    <w:rsid w:val="003163E4"/>
    <w:rsid w:val="00316477"/>
    <w:rsid w:val="00316B54"/>
    <w:rsid w:val="003177FA"/>
    <w:rsid w:val="00317EF7"/>
    <w:rsid w:val="00320559"/>
    <w:rsid w:val="003215C1"/>
    <w:rsid w:val="00321A94"/>
    <w:rsid w:val="00321B26"/>
    <w:rsid w:val="00321D8E"/>
    <w:rsid w:val="00321DA2"/>
    <w:rsid w:val="0032217A"/>
    <w:rsid w:val="00322327"/>
    <w:rsid w:val="00322C3C"/>
    <w:rsid w:val="003247CB"/>
    <w:rsid w:val="00324EF7"/>
    <w:rsid w:val="00325703"/>
    <w:rsid w:val="00325928"/>
    <w:rsid w:val="00325CE4"/>
    <w:rsid w:val="00326A1C"/>
    <w:rsid w:val="00327FF5"/>
    <w:rsid w:val="00330499"/>
    <w:rsid w:val="00331490"/>
    <w:rsid w:val="0033183E"/>
    <w:rsid w:val="0033188A"/>
    <w:rsid w:val="003318E2"/>
    <w:rsid w:val="00331A94"/>
    <w:rsid w:val="00332863"/>
    <w:rsid w:val="00332B03"/>
    <w:rsid w:val="00333C08"/>
    <w:rsid w:val="00334189"/>
    <w:rsid w:val="00334325"/>
    <w:rsid w:val="00335517"/>
    <w:rsid w:val="0033684D"/>
    <w:rsid w:val="00336919"/>
    <w:rsid w:val="00337B42"/>
    <w:rsid w:val="00340F3D"/>
    <w:rsid w:val="00341A2B"/>
    <w:rsid w:val="00341B42"/>
    <w:rsid w:val="00341CD5"/>
    <w:rsid w:val="00341EE9"/>
    <w:rsid w:val="00342120"/>
    <w:rsid w:val="0034348F"/>
    <w:rsid w:val="00345982"/>
    <w:rsid w:val="00345E1E"/>
    <w:rsid w:val="003460D5"/>
    <w:rsid w:val="00346956"/>
    <w:rsid w:val="00346AE7"/>
    <w:rsid w:val="003473FA"/>
    <w:rsid w:val="00350888"/>
    <w:rsid w:val="0035119D"/>
    <w:rsid w:val="00352A2D"/>
    <w:rsid w:val="00352C44"/>
    <w:rsid w:val="00353FA0"/>
    <w:rsid w:val="00354B80"/>
    <w:rsid w:val="00354F42"/>
    <w:rsid w:val="00355337"/>
    <w:rsid w:val="00356019"/>
    <w:rsid w:val="00356653"/>
    <w:rsid w:val="00356927"/>
    <w:rsid w:val="00356A1A"/>
    <w:rsid w:val="00356AA9"/>
    <w:rsid w:val="0035743F"/>
    <w:rsid w:val="0035786D"/>
    <w:rsid w:val="00357BE2"/>
    <w:rsid w:val="00357D56"/>
    <w:rsid w:val="00360211"/>
    <w:rsid w:val="003611E2"/>
    <w:rsid w:val="00361637"/>
    <w:rsid w:val="0036170C"/>
    <w:rsid w:val="003617EC"/>
    <w:rsid w:val="003619AD"/>
    <w:rsid w:val="00361BE2"/>
    <w:rsid w:val="00362819"/>
    <w:rsid w:val="0036335D"/>
    <w:rsid w:val="00363CBF"/>
    <w:rsid w:val="003640F0"/>
    <w:rsid w:val="0036425D"/>
    <w:rsid w:val="003647F3"/>
    <w:rsid w:val="00365D02"/>
    <w:rsid w:val="0036639C"/>
    <w:rsid w:val="00366E0F"/>
    <w:rsid w:val="0036738B"/>
    <w:rsid w:val="0036739C"/>
    <w:rsid w:val="003673D0"/>
    <w:rsid w:val="00367779"/>
    <w:rsid w:val="003679C4"/>
    <w:rsid w:val="00367AC2"/>
    <w:rsid w:val="00367ACB"/>
    <w:rsid w:val="00367BD8"/>
    <w:rsid w:val="00367F61"/>
    <w:rsid w:val="00371B32"/>
    <w:rsid w:val="00371C41"/>
    <w:rsid w:val="003728FB"/>
    <w:rsid w:val="00372B69"/>
    <w:rsid w:val="00372DEF"/>
    <w:rsid w:val="0037306F"/>
    <w:rsid w:val="00373836"/>
    <w:rsid w:val="00373A18"/>
    <w:rsid w:val="00373B25"/>
    <w:rsid w:val="00373C41"/>
    <w:rsid w:val="003742FF"/>
    <w:rsid w:val="00374383"/>
    <w:rsid w:val="00375444"/>
    <w:rsid w:val="003757E3"/>
    <w:rsid w:val="00375BFF"/>
    <w:rsid w:val="00375C46"/>
    <w:rsid w:val="00375EC6"/>
    <w:rsid w:val="00376D37"/>
    <w:rsid w:val="00377DD8"/>
    <w:rsid w:val="00377DF8"/>
    <w:rsid w:val="003801E9"/>
    <w:rsid w:val="003808B3"/>
    <w:rsid w:val="00381A72"/>
    <w:rsid w:val="00383177"/>
    <w:rsid w:val="00384676"/>
    <w:rsid w:val="00384F2B"/>
    <w:rsid w:val="0038582D"/>
    <w:rsid w:val="00385AD5"/>
    <w:rsid w:val="00385CF6"/>
    <w:rsid w:val="003903B2"/>
    <w:rsid w:val="00390857"/>
    <w:rsid w:val="00390905"/>
    <w:rsid w:val="00390EA7"/>
    <w:rsid w:val="00391C8F"/>
    <w:rsid w:val="0039254A"/>
    <w:rsid w:val="003925B9"/>
    <w:rsid w:val="00393DAD"/>
    <w:rsid w:val="0039496F"/>
    <w:rsid w:val="00394D26"/>
    <w:rsid w:val="0039516F"/>
    <w:rsid w:val="00395474"/>
    <w:rsid w:val="00395D98"/>
    <w:rsid w:val="003960AB"/>
    <w:rsid w:val="00396381"/>
    <w:rsid w:val="00396569"/>
    <w:rsid w:val="00397499"/>
    <w:rsid w:val="0039776D"/>
    <w:rsid w:val="003A022A"/>
    <w:rsid w:val="003A0D0E"/>
    <w:rsid w:val="003A0DE1"/>
    <w:rsid w:val="003A0F36"/>
    <w:rsid w:val="003A1A0F"/>
    <w:rsid w:val="003A1B8D"/>
    <w:rsid w:val="003A1CBF"/>
    <w:rsid w:val="003A2211"/>
    <w:rsid w:val="003A2844"/>
    <w:rsid w:val="003A2DC5"/>
    <w:rsid w:val="003A2E5E"/>
    <w:rsid w:val="003A347D"/>
    <w:rsid w:val="003A3B6C"/>
    <w:rsid w:val="003A3C8B"/>
    <w:rsid w:val="003A4AC3"/>
    <w:rsid w:val="003A4BF3"/>
    <w:rsid w:val="003A555D"/>
    <w:rsid w:val="003A5A8F"/>
    <w:rsid w:val="003A5BE7"/>
    <w:rsid w:val="003A624E"/>
    <w:rsid w:val="003A63F2"/>
    <w:rsid w:val="003A67DA"/>
    <w:rsid w:val="003A777C"/>
    <w:rsid w:val="003B11C6"/>
    <w:rsid w:val="003B16AC"/>
    <w:rsid w:val="003B1D72"/>
    <w:rsid w:val="003B1F3B"/>
    <w:rsid w:val="003B20CE"/>
    <w:rsid w:val="003B253A"/>
    <w:rsid w:val="003B379C"/>
    <w:rsid w:val="003B3878"/>
    <w:rsid w:val="003B420D"/>
    <w:rsid w:val="003B4237"/>
    <w:rsid w:val="003B437D"/>
    <w:rsid w:val="003B46CF"/>
    <w:rsid w:val="003B4A45"/>
    <w:rsid w:val="003B4F73"/>
    <w:rsid w:val="003B578C"/>
    <w:rsid w:val="003B60F0"/>
    <w:rsid w:val="003B6FF1"/>
    <w:rsid w:val="003B710D"/>
    <w:rsid w:val="003B74EB"/>
    <w:rsid w:val="003B7A4F"/>
    <w:rsid w:val="003B7D54"/>
    <w:rsid w:val="003C0003"/>
    <w:rsid w:val="003C0328"/>
    <w:rsid w:val="003C034F"/>
    <w:rsid w:val="003C0466"/>
    <w:rsid w:val="003C064A"/>
    <w:rsid w:val="003C0661"/>
    <w:rsid w:val="003C076C"/>
    <w:rsid w:val="003C0B2E"/>
    <w:rsid w:val="003C1396"/>
    <w:rsid w:val="003C213E"/>
    <w:rsid w:val="003C2345"/>
    <w:rsid w:val="003C2F6D"/>
    <w:rsid w:val="003C32E9"/>
    <w:rsid w:val="003C47F9"/>
    <w:rsid w:val="003C50F2"/>
    <w:rsid w:val="003C59D7"/>
    <w:rsid w:val="003C6C16"/>
    <w:rsid w:val="003C6C8C"/>
    <w:rsid w:val="003C7390"/>
    <w:rsid w:val="003C7BA5"/>
    <w:rsid w:val="003D0372"/>
    <w:rsid w:val="003D0B0A"/>
    <w:rsid w:val="003D0E1D"/>
    <w:rsid w:val="003D1107"/>
    <w:rsid w:val="003D1703"/>
    <w:rsid w:val="003D199A"/>
    <w:rsid w:val="003D1DAD"/>
    <w:rsid w:val="003D224F"/>
    <w:rsid w:val="003D26F5"/>
    <w:rsid w:val="003D2A15"/>
    <w:rsid w:val="003D2CB3"/>
    <w:rsid w:val="003D3361"/>
    <w:rsid w:val="003D3615"/>
    <w:rsid w:val="003D36EF"/>
    <w:rsid w:val="003D3713"/>
    <w:rsid w:val="003D3ABD"/>
    <w:rsid w:val="003D48DC"/>
    <w:rsid w:val="003D6A17"/>
    <w:rsid w:val="003D6ABE"/>
    <w:rsid w:val="003D794D"/>
    <w:rsid w:val="003D7CEC"/>
    <w:rsid w:val="003E0136"/>
    <w:rsid w:val="003E0501"/>
    <w:rsid w:val="003E065F"/>
    <w:rsid w:val="003E076D"/>
    <w:rsid w:val="003E09E3"/>
    <w:rsid w:val="003E105A"/>
    <w:rsid w:val="003E17BC"/>
    <w:rsid w:val="003E1F67"/>
    <w:rsid w:val="003E23E0"/>
    <w:rsid w:val="003E3058"/>
    <w:rsid w:val="003E329F"/>
    <w:rsid w:val="003E388B"/>
    <w:rsid w:val="003E3AE6"/>
    <w:rsid w:val="003E3E11"/>
    <w:rsid w:val="003E4A30"/>
    <w:rsid w:val="003E4DD0"/>
    <w:rsid w:val="003E542F"/>
    <w:rsid w:val="003E5DF1"/>
    <w:rsid w:val="003E61C0"/>
    <w:rsid w:val="003E7266"/>
    <w:rsid w:val="003E76A9"/>
    <w:rsid w:val="003E79B3"/>
    <w:rsid w:val="003E7EC1"/>
    <w:rsid w:val="003F03AE"/>
    <w:rsid w:val="003F0809"/>
    <w:rsid w:val="003F0909"/>
    <w:rsid w:val="003F0B59"/>
    <w:rsid w:val="003F0BE6"/>
    <w:rsid w:val="003F10B0"/>
    <w:rsid w:val="003F1470"/>
    <w:rsid w:val="003F3239"/>
    <w:rsid w:val="003F33C2"/>
    <w:rsid w:val="003F399B"/>
    <w:rsid w:val="003F3CC4"/>
    <w:rsid w:val="003F463A"/>
    <w:rsid w:val="003F4ACF"/>
    <w:rsid w:val="003F5662"/>
    <w:rsid w:val="003F5C4A"/>
    <w:rsid w:val="003F63CF"/>
    <w:rsid w:val="003F63F1"/>
    <w:rsid w:val="003F6A8C"/>
    <w:rsid w:val="003F6B56"/>
    <w:rsid w:val="003F742D"/>
    <w:rsid w:val="003F755C"/>
    <w:rsid w:val="003F7589"/>
    <w:rsid w:val="003F77D6"/>
    <w:rsid w:val="003F7A2C"/>
    <w:rsid w:val="003F7AF8"/>
    <w:rsid w:val="004001E2"/>
    <w:rsid w:val="0040076F"/>
    <w:rsid w:val="004012A2"/>
    <w:rsid w:val="0040144A"/>
    <w:rsid w:val="00401A82"/>
    <w:rsid w:val="00402063"/>
    <w:rsid w:val="00402515"/>
    <w:rsid w:val="00402F8A"/>
    <w:rsid w:val="004035EA"/>
    <w:rsid w:val="00403962"/>
    <w:rsid w:val="00403AB6"/>
    <w:rsid w:val="00404862"/>
    <w:rsid w:val="004056EC"/>
    <w:rsid w:val="004066E4"/>
    <w:rsid w:val="00406B8A"/>
    <w:rsid w:val="00406DBA"/>
    <w:rsid w:val="00406F01"/>
    <w:rsid w:val="00406FA3"/>
    <w:rsid w:val="00407840"/>
    <w:rsid w:val="00410928"/>
    <w:rsid w:val="00410B7C"/>
    <w:rsid w:val="00411A4A"/>
    <w:rsid w:val="00411B32"/>
    <w:rsid w:val="0041203B"/>
    <w:rsid w:val="004126EF"/>
    <w:rsid w:val="00413210"/>
    <w:rsid w:val="00413240"/>
    <w:rsid w:val="00413980"/>
    <w:rsid w:val="00413D22"/>
    <w:rsid w:val="00413E7A"/>
    <w:rsid w:val="00414626"/>
    <w:rsid w:val="0041617C"/>
    <w:rsid w:val="0041659B"/>
    <w:rsid w:val="0041661C"/>
    <w:rsid w:val="00416A93"/>
    <w:rsid w:val="00416D50"/>
    <w:rsid w:val="00416FD5"/>
    <w:rsid w:val="00417139"/>
    <w:rsid w:val="00417175"/>
    <w:rsid w:val="00417772"/>
    <w:rsid w:val="004207EF"/>
    <w:rsid w:val="00420E6A"/>
    <w:rsid w:val="00421A3E"/>
    <w:rsid w:val="00421B8D"/>
    <w:rsid w:val="00422706"/>
    <w:rsid w:val="00422830"/>
    <w:rsid w:val="00422F84"/>
    <w:rsid w:val="00423035"/>
    <w:rsid w:val="0042354B"/>
    <w:rsid w:val="0042364A"/>
    <w:rsid w:val="0042371C"/>
    <w:rsid w:val="00424495"/>
    <w:rsid w:val="0042463A"/>
    <w:rsid w:val="00424681"/>
    <w:rsid w:val="00424848"/>
    <w:rsid w:val="00424F0D"/>
    <w:rsid w:val="00425A9E"/>
    <w:rsid w:val="00425C12"/>
    <w:rsid w:val="00425E33"/>
    <w:rsid w:val="00426438"/>
    <w:rsid w:val="00426D6B"/>
    <w:rsid w:val="00427B1A"/>
    <w:rsid w:val="00427C75"/>
    <w:rsid w:val="0043076C"/>
    <w:rsid w:val="004308B4"/>
    <w:rsid w:val="00430A46"/>
    <w:rsid w:val="00431731"/>
    <w:rsid w:val="00431E6C"/>
    <w:rsid w:val="00432EBD"/>
    <w:rsid w:val="00433344"/>
    <w:rsid w:val="00433CE7"/>
    <w:rsid w:val="00434145"/>
    <w:rsid w:val="004341CB"/>
    <w:rsid w:val="0043479E"/>
    <w:rsid w:val="004348AB"/>
    <w:rsid w:val="00435325"/>
    <w:rsid w:val="00435572"/>
    <w:rsid w:val="00435E54"/>
    <w:rsid w:val="004360DB"/>
    <w:rsid w:val="004364E4"/>
    <w:rsid w:val="00437ABD"/>
    <w:rsid w:val="00437D40"/>
    <w:rsid w:val="00440D40"/>
    <w:rsid w:val="00441024"/>
    <w:rsid w:val="0044160B"/>
    <w:rsid w:val="00441B5C"/>
    <w:rsid w:val="00441C0C"/>
    <w:rsid w:val="00441E1C"/>
    <w:rsid w:val="00442440"/>
    <w:rsid w:val="0044278D"/>
    <w:rsid w:val="0044284F"/>
    <w:rsid w:val="00443321"/>
    <w:rsid w:val="0044400D"/>
    <w:rsid w:val="0044401A"/>
    <w:rsid w:val="00444C4C"/>
    <w:rsid w:val="00444E5A"/>
    <w:rsid w:val="004454B0"/>
    <w:rsid w:val="004468F2"/>
    <w:rsid w:val="00447D0A"/>
    <w:rsid w:val="004513E5"/>
    <w:rsid w:val="00451921"/>
    <w:rsid w:val="00451BBD"/>
    <w:rsid w:val="00452738"/>
    <w:rsid w:val="00453B45"/>
    <w:rsid w:val="00453CDA"/>
    <w:rsid w:val="00454F63"/>
    <w:rsid w:val="0045570A"/>
    <w:rsid w:val="00455994"/>
    <w:rsid w:val="00455BD6"/>
    <w:rsid w:val="00456036"/>
    <w:rsid w:val="00456091"/>
    <w:rsid w:val="004562D9"/>
    <w:rsid w:val="00456E50"/>
    <w:rsid w:val="00457688"/>
    <w:rsid w:val="0046031B"/>
    <w:rsid w:val="00460FF8"/>
    <w:rsid w:val="00461265"/>
    <w:rsid w:val="00461837"/>
    <w:rsid w:val="004632EC"/>
    <w:rsid w:val="004649A9"/>
    <w:rsid w:val="00464BA3"/>
    <w:rsid w:val="00465021"/>
    <w:rsid w:val="00465B06"/>
    <w:rsid w:val="00465BA3"/>
    <w:rsid w:val="00466321"/>
    <w:rsid w:val="00466712"/>
    <w:rsid w:val="00466CF3"/>
    <w:rsid w:val="0046726A"/>
    <w:rsid w:val="00467FED"/>
    <w:rsid w:val="004701F2"/>
    <w:rsid w:val="00470D2A"/>
    <w:rsid w:val="0047137A"/>
    <w:rsid w:val="0047152C"/>
    <w:rsid w:val="004736BE"/>
    <w:rsid w:val="00474038"/>
    <w:rsid w:val="0047486F"/>
    <w:rsid w:val="00474946"/>
    <w:rsid w:val="004750DD"/>
    <w:rsid w:val="004756F9"/>
    <w:rsid w:val="00477777"/>
    <w:rsid w:val="00477B6A"/>
    <w:rsid w:val="00480B2D"/>
    <w:rsid w:val="00480C03"/>
    <w:rsid w:val="00480C31"/>
    <w:rsid w:val="00480CAD"/>
    <w:rsid w:val="00481A05"/>
    <w:rsid w:val="00481DB9"/>
    <w:rsid w:val="00481DBB"/>
    <w:rsid w:val="00482D7E"/>
    <w:rsid w:val="00482EA9"/>
    <w:rsid w:val="004832DE"/>
    <w:rsid w:val="00483DC5"/>
    <w:rsid w:val="00484B9B"/>
    <w:rsid w:val="00484DC5"/>
    <w:rsid w:val="00484F2E"/>
    <w:rsid w:val="00485460"/>
    <w:rsid w:val="004855F6"/>
    <w:rsid w:val="0048661E"/>
    <w:rsid w:val="004866AF"/>
    <w:rsid w:val="0048698D"/>
    <w:rsid w:val="00486DE6"/>
    <w:rsid w:val="00487C11"/>
    <w:rsid w:val="00487DBA"/>
    <w:rsid w:val="00490060"/>
    <w:rsid w:val="004900E0"/>
    <w:rsid w:val="0049086E"/>
    <w:rsid w:val="00491016"/>
    <w:rsid w:val="00491EF7"/>
    <w:rsid w:val="004921CC"/>
    <w:rsid w:val="00493165"/>
    <w:rsid w:val="0049360E"/>
    <w:rsid w:val="004936ED"/>
    <w:rsid w:val="00494670"/>
    <w:rsid w:val="00494A53"/>
    <w:rsid w:val="00494BC3"/>
    <w:rsid w:val="00494BE9"/>
    <w:rsid w:val="004950EB"/>
    <w:rsid w:val="004956EE"/>
    <w:rsid w:val="004959D9"/>
    <w:rsid w:val="00497199"/>
    <w:rsid w:val="004978E7"/>
    <w:rsid w:val="00497A0E"/>
    <w:rsid w:val="00497CC8"/>
    <w:rsid w:val="004A01AD"/>
    <w:rsid w:val="004A07EA"/>
    <w:rsid w:val="004A0826"/>
    <w:rsid w:val="004A0917"/>
    <w:rsid w:val="004A2941"/>
    <w:rsid w:val="004A30D4"/>
    <w:rsid w:val="004A336B"/>
    <w:rsid w:val="004A3823"/>
    <w:rsid w:val="004A5C1F"/>
    <w:rsid w:val="004A6398"/>
    <w:rsid w:val="004A6842"/>
    <w:rsid w:val="004A6902"/>
    <w:rsid w:val="004A6A99"/>
    <w:rsid w:val="004A70EC"/>
    <w:rsid w:val="004A7EE6"/>
    <w:rsid w:val="004B0BDA"/>
    <w:rsid w:val="004B0D9A"/>
    <w:rsid w:val="004B0E4D"/>
    <w:rsid w:val="004B119D"/>
    <w:rsid w:val="004B1677"/>
    <w:rsid w:val="004B2313"/>
    <w:rsid w:val="004B27F1"/>
    <w:rsid w:val="004B2E96"/>
    <w:rsid w:val="004B39E4"/>
    <w:rsid w:val="004B3FCA"/>
    <w:rsid w:val="004B4AD0"/>
    <w:rsid w:val="004B51D0"/>
    <w:rsid w:val="004B5890"/>
    <w:rsid w:val="004B5930"/>
    <w:rsid w:val="004B6563"/>
    <w:rsid w:val="004B6816"/>
    <w:rsid w:val="004B68E0"/>
    <w:rsid w:val="004B7B78"/>
    <w:rsid w:val="004C013B"/>
    <w:rsid w:val="004C0B6A"/>
    <w:rsid w:val="004C0C62"/>
    <w:rsid w:val="004C0FCA"/>
    <w:rsid w:val="004C1030"/>
    <w:rsid w:val="004C1D00"/>
    <w:rsid w:val="004C1E1C"/>
    <w:rsid w:val="004C25B7"/>
    <w:rsid w:val="004C33A2"/>
    <w:rsid w:val="004C3A67"/>
    <w:rsid w:val="004C3D57"/>
    <w:rsid w:val="004C48B3"/>
    <w:rsid w:val="004C4E15"/>
    <w:rsid w:val="004C4EC6"/>
    <w:rsid w:val="004C5B65"/>
    <w:rsid w:val="004C5D77"/>
    <w:rsid w:val="004C6248"/>
    <w:rsid w:val="004C6314"/>
    <w:rsid w:val="004C6A0D"/>
    <w:rsid w:val="004C6E84"/>
    <w:rsid w:val="004C7684"/>
    <w:rsid w:val="004C7CF9"/>
    <w:rsid w:val="004D01D5"/>
    <w:rsid w:val="004D03C2"/>
    <w:rsid w:val="004D064D"/>
    <w:rsid w:val="004D1157"/>
    <w:rsid w:val="004D1FB0"/>
    <w:rsid w:val="004D2A5A"/>
    <w:rsid w:val="004D2BF8"/>
    <w:rsid w:val="004D3247"/>
    <w:rsid w:val="004D327A"/>
    <w:rsid w:val="004D35CF"/>
    <w:rsid w:val="004D4754"/>
    <w:rsid w:val="004D4D9C"/>
    <w:rsid w:val="004D53A0"/>
    <w:rsid w:val="004D6299"/>
    <w:rsid w:val="004D65DA"/>
    <w:rsid w:val="004D684E"/>
    <w:rsid w:val="004D6B98"/>
    <w:rsid w:val="004D6C6F"/>
    <w:rsid w:val="004D74FE"/>
    <w:rsid w:val="004E05B7"/>
    <w:rsid w:val="004E088C"/>
    <w:rsid w:val="004E08AF"/>
    <w:rsid w:val="004E1E5D"/>
    <w:rsid w:val="004E1FD1"/>
    <w:rsid w:val="004E2E3A"/>
    <w:rsid w:val="004E44DB"/>
    <w:rsid w:val="004E5FC1"/>
    <w:rsid w:val="004E6491"/>
    <w:rsid w:val="004E66EB"/>
    <w:rsid w:val="004E6728"/>
    <w:rsid w:val="004E6946"/>
    <w:rsid w:val="004E6BFF"/>
    <w:rsid w:val="004E6EC0"/>
    <w:rsid w:val="004E75ED"/>
    <w:rsid w:val="004E7D5A"/>
    <w:rsid w:val="004E7EE8"/>
    <w:rsid w:val="004F0127"/>
    <w:rsid w:val="004F063D"/>
    <w:rsid w:val="004F1AAB"/>
    <w:rsid w:val="004F1AD8"/>
    <w:rsid w:val="004F3880"/>
    <w:rsid w:val="004F4292"/>
    <w:rsid w:val="004F4BC2"/>
    <w:rsid w:val="004F54E6"/>
    <w:rsid w:val="004F5562"/>
    <w:rsid w:val="004F5A9D"/>
    <w:rsid w:val="004F5F85"/>
    <w:rsid w:val="004F6245"/>
    <w:rsid w:val="004F681C"/>
    <w:rsid w:val="004F68EC"/>
    <w:rsid w:val="004F7BC7"/>
    <w:rsid w:val="00500192"/>
    <w:rsid w:val="00500681"/>
    <w:rsid w:val="00501741"/>
    <w:rsid w:val="005019C3"/>
    <w:rsid w:val="00502286"/>
    <w:rsid w:val="00502920"/>
    <w:rsid w:val="00503539"/>
    <w:rsid w:val="005039CB"/>
    <w:rsid w:val="00503A7B"/>
    <w:rsid w:val="00503EC1"/>
    <w:rsid w:val="005040D6"/>
    <w:rsid w:val="0050434D"/>
    <w:rsid w:val="00504C1D"/>
    <w:rsid w:val="00504CBF"/>
    <w:rsid w:val="0050528C"/>
    <w:rsid w:val="0050558F"/>
    <w:rsid w:val="00506286"/>
    <w:rsid w:val="00506C73"/>
    <w:rsid w:val="005100DA"/>
    <w:rsid w:val="00510813"/>
    <w:rsid w:val="00511577"/>
    <w:rsid w:val="00511990"/>
    <w:rsid w:val="00511DE0"/>
    <w:rsid w:val="005124AE"/>
    <w:rsid w:val="00512F35"/>
    <w:rsid w:val="0051337F"/>
    <w:rsid w:val="0051353E"/>
    <w:rsid w:val="00513608"/>
    <w:rsid w:val="00513F0C"/>
    <w:rsid w:val="005141CD"/>
    <w:rsid w:val="005146B3"/>
    <w:rsid w:val="00514870"/>
    <w:rsid w:val="00514B9B"/>
    <w:rsid w:val="00514D5B"/>
    <w:rsid w:val="00515264"/>
    <w:rsid w:val="0051638D"/>
    <w:rsid w:val="00516472"/>
    <w:rsid w:val="005164BD"/>
    <w:rsid w:val="005173DC"/>
    <w:rsid w:val="00517EA2"/>
    <w:rsid w:val="00517F02"/>
    <w:rsid w:val="005202C6"/>
    <w:rsid w:val="00520A61"/>
    <w:rsid w:val="00520CC6"/>
    <w:rsid w:val="00520E68"/>
    <w:rsid w:val="005218FD"/>
    <w:rsid w:val="00521D06"/>
    <w:rsid w:val="00521E10"/>
    <w:rsid w:val="00522E4C"/>
    <w:rsid w:val="005234F3"/>
    <w:rsid w:val="00523569"/>
    <w:rsid w:val="005238F5"/>
    <w:rsid w:val="00523C55"/>
    <w:rsid w:val="00524303"/>
    <w:rsid w:val="005249D3"/>
    <w:rsid w:val="0052503C"/>
    <w:rsid w:val="00525397"/>
    <w:rsid w:val="005258A2"/>
    <w:rsid w:val="00525F6A"/>
    <w:rsid w:val="0052641D"/>
    <w:rsid w:val="0052677A"/>
    <w:rsid w:val="00526EB4"/>
    <w:rsid w:val="005271DF"/>
    <w:rsid w:val="005271E0"/>
    <w:rsid w:val="00527988"/>
    <w:rsid w:val="00527E55"/>
    <w:rsid w:val="00527F3B"/>
    <w:rsid w:val="005307DD"/>
    <w:rsid w:val="005318AF"/>
    <w:rsid w:val="00531FCF"/>
    <w:rsid w:val="00532314"/>
    <w:rsid w:val="00532531"/>
    <w:rsid w:val="00532AE5"/>
    <w:rsid w:val="00532D03"/>
    <w:rsid w:val="0053324B"/>
    <w:rsid w:val="00535DD5"/>
    <w:rsid w:val="00535F38"/>
    <w:rsid w:val="0053665B"/>
    <w:rsid w:val="005370E5"/>
    <w:rsid w:val="00537FA4"/>
    <w:rsid w:val="005401AE"/>
    <w:rsid w:val="00540470"/>
    <w:rsid w:val="005410E5"/>
    <w:rsid w:val="005423C2"/>
    <w:rsid w:val="0054273D"/>
    <w:rsid w:val="00542E04"/>
    <w:rsid w:val="00542E07"/>
    <w:rsid w:val="00544105"/>
    <w:rsid w:val="00544633"/>
    <w:rsid w:val="00544D57"/>
    <w:rsid w:val="00545424"/>
    <w:rsid w:val="00545B1B"/>
    <w:rsid w:val="00545B52"/>
    <w:rsid w:val="00545BED"/>
    <w:rsid w:val="00545DD7"/>
    <w:rsid w:val="00546825"/>
    <w:rsid w:val="005476B6"/>
    <w:rsid w:val="00547B1F"/>
    <w:rsid w:val="0055092D"/>
    <w:rsid w:val="00550DC2"/>
    <w:rsid w:val="00551292"/>
    <w:rsid w:val="00551384"/>
    <w:rsid w:val="00551722"/>
    <w:rsid w:val="00551741"/>
    <w:rsid w:val="00551CBB"/>
    <w:rsid w:val="005524DE"/>
    <w:rsid w:val="005533CD"/>
    <w:rsid w:val="00553B3D"/>
    <w:rsid w:val="0055417A"/>
    <w:rsid w:val="00554A7B"/>
    <w:rsid w:val="00554A8C"/>
    <w:rsid w:val="005553BB"/>
    <w:rsid w:val="005555EE"/>
    <w:rsid w:val="00555636"/>
    <w:rsid w:val="0055572C"/>
    <w:rsid w:val="00555E68"/>
    <w:rsid w:val="00560275"/>
    <w:rsid w:val="005602C1"/>
    <w:rsid w:val="005607B9"/>
    <w:rsid w:val="00560BB7"/>
    <w:rsid w:val="0056106A"/>
    <w:rsid w:val="00562262"/>
    <w:rsid w:val="0056228E"/>
    <w:rsid w:val="0056243B"/>
    <w:rsid w:val="00562769"/>
    <w:rsid w:val="00563397"/>
    <w:rsid w:val="00563D7E"/>
    <w:rsid w:val="00564433"/>
    <w:rsid w:val="0056464B"/>
    <w:rsid w:val="005649B7"/>
    <w:rsid w:val="005651BD"/>
    <w:rsid w:val="00565AD6"/>
    <w:rsid w:val="00567F20"/>
    <w:rsid w:val="00570F70"/>
    <w:rsid w:val="0057132E"/>
    <w:rsid w:val="00571425"/>
    <w:rsid w:val="0057162F"/>
    <w:rsid w:val="00571735"/>
    <w:rsid w:val="00571ECC"/>
    <w:rsid w:val="005720AE"/>
    <w:rsid w:val="005720BE"/>
    <w:rsid w:val="00572683"/>
    <w:rsid w:val="00572B4A"/>
    <w:rsid w:val="00572E7A"/>
    <w:rsid w:val="00573517"/>
    <w:rsid w:val="005743F9"/>
    <w:rsid w:val="00574CA8"/>
    <w:rsid w:val="005759A8"/>
    <w:rsid w:val="00575CA4"/>
    <w:rsid w:val="00576693"/>
    <w:rsid w:val="005767B4"/>
    <w:rsid w:val="005767E8"/>
    <w:rsid w:val="005769C3"/>
    <w:rsid w:val="005771BB"/>
    <w:rsid w:val="00577860"/>
    <w:rsid w:val="00581087"/>
    <w:rsid w:val="00581BA2"/>
    <w:rsid w:val="00582635"/>
    <w:rsid w:val="00582D9B"/>
    <w:rsid w:val="00583A11"/>
    <w:rsid w:val="005842DE"/>
    <w:rsid w:val="00584483"/>
    <w:rsid w:val="00584769"/>
    <w:rsid w:val="00584BD0"/>
    <w:rsid w:val="00584C1D"/>
    <w:rsid w:val="00584EBA"/>
    <w:rsid w:val="0058570E"/>
    <w:rsid w:val="00585FA1"/>
    <w:rsid w:val="00586458"/>
    <w:rsid w:val="00586C7C"/>
    <w:rsid w:val="005877F2"/>
    <w:rsid w:val="00587AEA"/>
    <w:rsid w:val="0059077D"/>
    <w:rsid w:val="00590A84"/>
    <w:rsid w:val="00590DCD"/>
    <w:rsid w:val="005916F0"/>
    <w:rsid w:val="005923A0"/>
    <w:rsid w:val="0059410E"/>
    <w:rsid w:val="00594B63"/>
    <w:rsid w:val="00594D77"/>
    <w:rsid w:val="0059560B"/>
    <w:rsid w:val="00595DAC"/>
    <w:rsid w:val="0059656C"/>
    <w:rsid w:val="0059681B"/>
    <w:rsid w:val="005969E4"/>
    <w:rsid w:val="00596D62"/>
    <w:rsid w:val="00596EF8"/>
    <w:rsid w:val="00596F36"/>
    <w:rsid w:val="00597F0C"/>
    <w:rsid w:val="005A0263"/>
    <w:rsid w:val="005A0384"/>
    <w:rsid w:val="005A06B7"/>
    <w:rsid w:val="005A13B8"/>
    <w:rsid w:val="005A1759"/>
    <w:rsid w:val="005A17AD"/>
    <w:rsid w:val="005A1920"/>
    <w:rsid w:val="005A22D6"/>
    <w:rsid w:val="005A2F3C"/>
    <w:rsid w:val="005A47F4"/>
    <w:rsid w:val="005A5E80"/>
    <w:rsid w:val="005A6139"/>
    <w:rsid w:val="005A68A7"/>
    <w:rsid w:val="005A6C09"/>
    <w:rsid w:val="005A7490"/>
    <w:rsid w:val="005A7537"/>
    <w:rsid w:val="005A79B6"/>
    <w:rsid w:val="005B0713"/>
    <w:rsid w:val="005B0793"/>
    <w:rsid w:val="005B0B4A"/>
    <w:rsid w:val="005B25F3"/>
    <w:rsid w:val="005B3BC6"/>
    <w:rsid w:val="005B4C40"/>
    <w:rsid w:val="005B67C3"/>
    <w:rsid w:val="005B6BF7"/>
    <w:rsid w:val="005B70F9"/>
    <w:rsid w:val="005B720C"/>
    <w:rsid w:val="005B77DB"/>
    <w:rsid w:val="005B7B17"/>
    <w:rsid w:val="005C0406"/>
    <w:rsid w:val="005C064D"/>
    <w:rsid w:val="005C1161"/>
    <w:rsid w:val="005C2E3F"/>
    <w:rsid w:val="005C336E"/>
    <w:rsid w:val="005C33FA"/>
    <w:rsid w:val="005C3606"/>
    <w:rsid w:val="005C3905"/>
    <w:rsid w:val="005C4AC6"/>
    <w:rsid w:val="005C4C4D"/>
    <w:rsid w:val="005C53C9"/>
    <w:rsid w:val="005C5C2B"/>
    <w:rsid w:val="005C618E"/>
    <w:rsid w:val="005C61E9"/>
    <w:rsid w:val="005C6E5B"/>
    <w:rsid w:val="005C7346"/>
    <w:rsid w:val="005C7671"/>
    <w:rsid w:val="005C7724"/>
    <w:rsid w:val="005C781E"/>
    <w:rsid w:val="005D051B"/>
    <w:rsid w:val="005D0945"/>
    <w:rsid w:val="005D196C"/>
    <w:rsid w:val="005D203D"/>
    <w:rsid w:val="005D20CE"/>
    <w:rsid w:val="005D36AB"/>
    <w:rsid w:val="005D48DB"/>
    <w:rsid w:val="005D5BD7"/>
    <w:rsid w:val="005D5EE2"/>
    <w:rsid w:val="005D64F1"/>
    <w:rsid w:val="005D67F3"/>
    <w:rsid w:val="005D686F"/>
    <w:rsid w:val="005D6EEB"/>
    <w:rsid w:val="005D71EF"/>
    <w:rsid w:val="005D7341"/>
    <w:rsid w:val="005D74B9"/>
    <w:rsid w:val="005D75D3"/>
    <w:rsid w:val="005D76EB"/>
    <w:rsid w:val="005D787D"/>
    <w:rsid w:val="005D7EE3"/>
    <w:rsid w:val="005E0959"/>
    <w:rsid w:val="005E12DA"/>
    <w:rsid w:val="005E2FA3"/>
    <w:rsid w:val="005E316D"/>
    <w:rsid w:val="005E3EE8"/>
    <w:rsid w:val="005E409C"/>
    <w:rsid w:val="005E4A8A"/>
    <w:rsid w:val="005E4E72"/>
    <w:rsid w:val="005E5179"/>
    <w:rsid w:val="005E5908"/>
    <w:rsid w:val="005F0BD5"/>
    <w:rsid w:val="005F1A6B"/>
    <w:rsid w:val="005F1ED9"/>
    <w:rsid w:val="005F22E8"/>
    <w:rsid w:val="005F2DAE"/>
    <w:rsid w:val="005F2FDA"/>
    <w:rsid w:val="005F35D5"/>
    <w:rsid w:val="005F4199"/>
    <w:rsid w:val="005F4748"/>
    <w:rsid w:val="005F47CE"/>
    <w:rsid w:val="005F5D5E"/>
    <w:rsid w:val="005F618E"/>
    <w:rsid w:val="005F68AA"/>
    <w:rsid w:val="005F6A37"/>
    <w:rsid w:val="005F758B"/>
    <w:rsid w:val="005F76E1"/>
    <w:rsid w:val="00600136"/>
    <w:rsid w:val="00601AE3"/>
    <w:rsid w:val="00601DE4"/>
    <w:rsid w:val="006021D3"/>
    <w:rsid w:val="00602552"/>
    <w:rsid w:val="0060297F"/>
    <w:rsid w:val="00602C8E"/>
    <w:rsid w:val="00602ED9"/>
    <w:rsid w:val="006034A5"/>
    <w:rsid w:val="00603651"/>
    <w:rsid w:val="00603BBB"/>
    <w:rsid w:val="006044AE"/>
    <w:rsid w:val="006045CE"/>
    <w:rsid w:val="00605C81"/>
    <w:rsid w:val="00606159"/>
    <w:rsid w:val="00606EFD"/>
    <w:rsid w:val="006071C4"/>
    <w:rsid w:val="006101A7"/>
    <w:rsid w:val="006105AB"/>
    <w:rsid w:val="00610B14"/>
    <w:rsid w:val="00610EA4"/>
    <w:rsid w:val="00610F49"/>
    <w:rsid w:val="006114F8"/>
    <w:rsid w:val="0061167B"/>
    <w:rsid w:val="00611EF0"/>
    <w:rsid w:val="00612118"/>
    <w:rsid w:val="00612D5E"/>
    <w:rsid w:val="00612F06"/>
    <w:rsid w:val="00613095"/>
    <w:rsid w:val="00613373"/>
    <w:rsid w:val="00613CCB"/>
    <w:rsid w:val="00613E19"/>
    <w:rsid w:val="006150D0"/>
    <w:rsid w:val="00615933"/>
    <w:rsid w:val="00615998"/>
    <w:rsid w:val="006159B6"/>
    <w:rsid w:val="00616C38"/>
    <w:rsid w:val="00617180"/>
    <w:rsid w:val="006179A8"/>
    <w:rsid w:val="00617B4D"/>
    <w:rsid w:val="00617CC3"/>
    <w:rsid w:val="006200B9"/>
    <w:rsid w:val="00621891"/>
    <w:rsid w:val="00621AE1"/>
    <w:rsid w:val="006220C4"/>
    <w:rsid w:val="006229F6"/>
    <w:rsid w:val="00622D0E"/>
    <w:rsid w:val="00623911"/>
    <w:rsid w:val="0062444B"/>
    <w:rsid w:val="00624C71"/>
    <w:rsid w:val="00627F47"/>
    <w:rsid w:val="00627F5C"/>
    <w:rsid w:val="006300CD"/>
    <w:rsid w:val="00630798"/>
    <w:rsid w:val="00631864"/>
    <w:rsid w:val="00631CF4"/>
    <w:rsid w:val="00631D1D"/>
    <w:rsid w:val="00631E6D"/>
    <w:rsid w:val="00632767"/>
    <w:rsid w:val="0063314F"/>
    <w:rsid w:val="006343F8"/>
    <w:rsid w:val="0063494C"/>
    <w:rsid w:val="00634A51"/>
    <w:rsid w:val="00635207"/>
    <w:rsid w:val="0063557B"/>
    <w:rsid w:val="006358BA"/>
    <w:rsid w:val="00635953"/>
    <w:rsid w:val="00635ACB"/>
    <w:rsid w:val="00636980"/>
    <w:rsid w:val="00637093"/>
    <w:rsid w:val="006372CF"/>
    <w:rsid w:val="006377A6"/>
    <w:rsid w:val="00637A3D"/>
    <w:rsid w:val="00637AD2"/>
    <w:rsid w:val="00637E03"/>
    <w:rsid w:val="00637F5B"/>
    <w:rsid w:val="00640628"/>
    <w:rsid w:val="0064093C"/>
    <w:rsid w:val="00640A60"/>
    <w:rsid w:val="006411EF"/>
    <w:rsid w:val="006429CC"/>
    <w:rsid w:val="00643436"/>
    <w:rsid w:val="006439B5"/>
    <w:rsid w:val="00643E53"/>
    <w:rsid w:val="00644EEB"/>
    <w:rsid w:val="00644F1C"/>
    <w:rsid w:val="006463EA"/>
    <w:rsid w:val="006464E6"/>
    <w:rsid w:val="00646CD5"/>
    <w:rsid w:val="006472A6"/>
    <w:rsid w:val="0065000E"/>
    <w:rsid w:val="006509D1"/>
    <w:rsid w:val="00651415"/>
    <w:rsid w:val="00651DA4"/>
    <w:rsid w:val="00652897"/>
    <w:rsid w:val="0065352E"/>
    <w:rsid w:val="00653A5E"/>
    <w:rsid w:val="006541E7"/>
    <w:rsid w:val="00654E93"/>
    <w:rsid w:val="00655BA2"/>
    <w:rsid w:val="00656316"/>
    <w:rsid w:val="00656D02"/>
    <w:rsid w:val="0065746A"/>
    <w:rsid w:val="00657E28"/>
    <w:rsid w:val="00657F57"/>
    <w:rsid w:val="006605F3"/>
    <w:rsid w:val="006606DD"/>
    <w:rsid w:val="00660D7E"/>
    <w:rsid w:val="00660FB9"/>
    <w:rsid w:val="0066197C"/>
    <w:rsid w:val="00661A28"/>
    <w:rsid w:val="00661D47"/>
    <w:rsid w:val="006626B6"/>
    <w:rsid w:val="00662868"/>
    <w:rsid w:val="006628F3"/>
    <w:rsid w:val="00662FD3"/>
    <w:rsid w:val="0066388E"/>
    <w:rsid w:val="0066445A"/>
    <w:rsid w:val="00664818"/>
    <w:rsid w:val="00664E40"/>
    <w:rsid w:val="006653FF"/>
    <w:rsid w:val="00665572"/>
    <w:rsid w:val="00666168"/>
    <w:rsid w:val="00666321"/>
    <w:rsid w:val="006676C6"/>
    <w:rsid w:val="00672C23"/>
    <w:rsid w:val="00672CC8"/>
    <w:rsid w:val="00673613"/>
    <w:rsid w:val="00673681"/>
    <w:rsid w:val="006739E1"/>
    <w:rsid w:val="00673CD3"/>
    <w:rsid w:val="00673EF1"/>
    <w:rsid w:val="00673F60"/>
    <w:rsid w:val="006748B8"/>
    <w:rsid w:val="00674CC0"/>
    <w:rsid w:val="00675A4A"/>
    <w:rsid w:val="00675C75"/>
    <w:rsid w:val="00676A44"/>
    <w:rsid w:val="00676C7B"/>
    <w:rsid w:val="00676FC5"/>
    <w:rsid w:val="006775C3"/>
    <w:rsid w:val="0068094B"/>
    <w:rsid w:val="00681818"/>
    <w:rsid w:val="0068185E"/>
    <w:rsid w:val="00682465"/>
    <w:rsid w:val="006825E4"/>
    <w:rsid w:val="00682C8C"/>
    <w:rsid w:val="0068359C"/>
    <w:rsid w:val="0068387C"/>
    <w:rsid w:val="00683C02"/>
    <w:rsid w:val="00683CA5"/>
    <w:rsid w:val="0068421E"/>
    <w:rsid w:val="0068474A"/>
    <w:rsid w:val="00685960"/>
    <w:rsid w:val="00686DD9"/>
    <w:rsid w:val="00686F05"/>
    <w:rsid w:val="006879E3"/>
    <w:rsid w:val="00687B4C"/>
    <w:rsid w:val="006906C1"/>
    <w:rsid w:val="00691120"/>
    <w:rsid w:val="00691270"/>
    <w:rsid w:val="00691823"/>
    <w:rsid w:val="006926D8"/>
    <w:rsid w:val="0069290A"/>
    <w:rsid w:val="00692CD5"/>
    <w:rsid w:val="00692EDD"/>
    <w:rsid w:val="0069330A"/>
    <w:rsid w:val="00693BE2"/>
    <w:rsid w:val="00693D79"/>
    <w:rsid w:val="0069472D"/>
    <w:rsid w:val="006950F9"/>
    <w:rsid w:val="00695167"/>
    <w:rsid w:val="00695368"/>
    <w:rsid w:val="00696CA1"/>
    <w:rsid w:val="0069717E"/>
    <w:rsid w:val="0069775A"/>
    <w:rsid w:val="00697813"/>
    <w:rsid w:val="006A0E5C"/>
    <w:rsid w:val="006A157F"/>
    <w:rsid w:val="006A19C9"/>
    <w:rsid w:val="006A1ABC"/>
    <w:rsid w:val="006A2737"/>
    <w:rsid w:val="006A293D"/>
    <w:rsid w:val="006A2F5D"/>
    <w:rsid w:val="006A3E71"/>
    <w:rsid w:val="006A3EE8"/>
    <w:rsid w:val="006A5DB5"/>
    <w:rsid w:val="006A5E85"/>
    <w:rsid w:val="006A655E"/>
    <w:rsid w:val="006A6563"/>
    <w:rsid w:val="006A72BF"/>
    <w:rsid w:val="006A7A90"/>
    <w:rsid w:val="006B0199"/>
    <w:rsid w:val="006B03F2"/>
    <w:rsid w:val="006B085C"/>
    <w:rsid w:val="006B09CD"/>
    <w:rsid w:val="006B1AE8"/>
    <w:rsid w:val="006B1D1B"/>
    <w:rsid w:val="006B243D"/>
    <w:rsid w:val="006B246E"/>
    <w:rsid w:val="006B2553"/>
    <w:rsid w:val="006B37DC"/>
    <w:rsid w:val="006B4CDD"/>
    <w:rsid w:val="006B4F5A"/>
    <w:rsid w:val="006B4F68"/>
    <w:rsid w:val="006B5618"/>
    <w:rsid w:val="006B5E85"/>
    <w:rsid w:val="006B5FEA"/>
    <w:rsid w:val="006B66E7"/>
    <w:rsid w:val="006B693A"/>
    <w:rsid w:val="006B6B90"/>
    <w:rsid w:val="006B71A0"/>
    <w:rsid w:val="006B7B0A"/>
    <w:rsid w:val="006C0592"/>
    <w:rsid w:val="006C0C7D"/>
    <w:rsid w:val="006C15F8"/>
    <w:rsid w:val="006C169F"/>
    <w:rsid w:val="006C1D99"/>
    <w:rsid w:val="006C2048"/>
    <w:rsid w:val="006C204F"/>
    <w:rsid w:val="006C272E"/>
    <w:rsid w:val="006C2AFC"/>
    <w:rsid w:val="006C2B7D"/>
    <w:rsid w:val="006C3B30"/>
    <w:rsid w:val="006C4E56"/>
    <w:rsid w:val="006C51FC"/>
    <w:rsid w:val="006C5479"/>
    <w:rsid w:val="006C58BD"/>
    <w:rsid w:val="006C5B18"/>
    <w:rsid w:val="006C6100"/>
    <w:rsid w:val="006C6339"/>
    <w:rsid w:val="006C64EF"/>
    <w:rsid w:val="006C6A46"/>
    <w:rsid w:val="006C6EA0"/>
    <w:rsid w:val="006C756F"/>
    <w:rsid w:val="006C7CAF"/>
    <w:rsid w:val="006D078E"/>
    <w:rsid w:val="006D094A"/>
    <w:rsid w:val="006D1084"/>
    <w:rsid w:val="006D13B5"/>
    <w:rsid w:val="006D1EEE"/>
    <w:rsid w:val="006D3968"/>
    <w:rsid w:val="006D3DA3"/>
    <w:rsid w:val="006D4180"/>
    <w:rsid w:val="006D4656"/>
    <w:rsid w:val="006D58FB"/>
    <w:rsid w:val="006D5CD1"/>
    <w:rsid w:val="006D603A"/>
    <w:rsid w:val="006D621E"/>
    <w:rsid w:val="006D77C7"/>
    <w:rsid w:val="006D7E44"/>
    <w:rsid w:val="006D7EB3"/>
    <w:rsid w:val="006E036B"/>
    <w:rsid w:val="006E046F"/>
    <w:rsid w:val="006E12FF"/>
    <w:rsid w:val="006E13C9"/>
    <w:rsid w:val="006E160D"/>
    <w:rsid w:val="006E166E"/>
    <w:rsid w:val="006E1974"/>
    <w:rsid w:val="006E2B52"/>
    <w:rsid w:val="006E38F9"/>
    <w:rsid w:val="006E410B"/>
    <w:rsid w:val="006E5F7B"/>
    <w:rsid w:val="006E607E"/>
    <w:rsid w:val="006E60B3"/>
    <w:rsid w:val="006E62B3"/>
    <w:rsid w:val="006E64CA"/>
    <w:rsid w:val="006E67E2"/>
    <w:rsid w:val="006E727C"/>
    <w:rsid w:val="006E7372"/>
    <w:rsid w:val="006E7FFA"/>
    <w:rsid w:val="006F004C"/>
    <w:rsid w:val="006F03C3"/>
    <w:rsid w:val="006F05B7"/>
    <w:rsid w:val="006F0B0A"/>
    <w:rsid w:val="006F0C24"/>
    <w:rsid w:val="006F1FB7"/>
    <w:rsid w:val="006F21AA"/>
    <w:rsid w:val="006F2A83"/>
    <w:rsid w:val="006F2FBB"/>
    <w:rsid w:val="006F30EF"/>
    <w:rsid w:val="006F313A"/>
    <w:rsid w:val="006F3C8A"/>
    <w:rsid w:val="006F3D6C"/>
    <w:rsid w:val="006F3EDE"/>
    <w:rsid w:val="006F451A"/>
    <w:rsid w:val="006F4ED8"/>
    <w:rsid w:val="006F5E2B"/>
    <w:rsid w:val="006F63D0"/>
    <w:rsid w:val="006F7560"/>
    <w:rsid w:val="006F7B0D"/>
    <w:rsid w:val="00700466"/>
    <w:rsid w:val="007005B1"/>
    <w:rsid w:val="00700997"/>
    <w:rsid w:val="00700BF3"/>
    <w:rsid w:val="007011D9"/>
    <w:rsid w:val="00701D69"/>
    <w:rsid w:val="00702029"/>
    <w:rsid w:val="0070243F"/>
    <w:rsid w:val="0070273A"/>
    <w:rsid w:val="007045F5"/>
    <w:rsid w:val="007052FE"/>
    <w:rsid w:val="007054D9"/>
    <w:rsid w:val="00705E2D"/>
    <w:rsid w:val="00706C5D"/>
    <w:rsid w:val="00707017"/>
    <w:rsid w:val="007074B5"/>
    <w:rsid w:val="007074D7"/>
    <w:rsid w:val="007079D4"/>
    <w:rsid w:val="00707F8A"/>
    <w:rsid w:val="007101F4"/>
    <w:rsid w:val="00710381"/>
    <w:rsid w:val="007120FD"/>
    <w:rsid w:val="00712658"/>
    <w:rsid w:val="00712C1F"/>
    <w:rsid w:val="0071334A"/>
    <w:rsid w:val="00713BD4"/>
    <w:rsid w:val="00714185"/>
    <w:rsid w:val="00714B1C"/>
    <w:rsid w:val="00714C97"/>
    <w:rsid w:val="0071505D"/>
    <w:rsid w:val="0071524A"/>
    <w:rsid w:val="00715DF1"/>
    <w:rsid w:val="0071660D"/>
    <w:rsid w:val="00716DE2"/>
    <w:rsid w:val="00716E37"/>
    <w:rsid w:val="0071799F"/>
    <w:rsid w:val="0072140A"/>
    <w:rsid w:val="00721547"/>
    <w:rsid w:val="007216F3"/>
    <w:rsid w:val="00721805"/>
    <w:rsid w:val="0072185B"/>
    <w:rsid w:val="007219D0"/>
    <w:rsid w:val="007219E1"/>
    <w:rsid w:val="00722D6E"/>
    <w:rsid w:val="00722E69"/>
    <w:rsid w:val="007230F6"/>
    <w:rsid w:val="007234BC"/>
    <w:rsid w:val="00723827"/>
    <w:rsid w:val="00723835"/>
    <w:rsid w:val="00724BC2"/>
    <w:rsid w:val="00724BDF"/>
    <w:rsid w:val="00724FDD"/>
    <w:rsid w:val="00725B5B"/>
    <w:rsid w:val="0072672C"/>
    <w:rsid w:val="0072693D"/>
    <w:rsid w:val="0072736B"/>
    <w:rsid w:val="00727FE1"/>
    <w:rsid w:val="00731402"/>
    <w:rsid w:val="00731728"/>
    <w:rsid w:val="00732922"/>
    <w:rsid w:val="00733593"/>
    <w:rsid w:val="00734D6D"/>
    <w:rsid w:val="00735082"/>
    <w:rsid w:val="0073729E"/>
    <w:rsid w:val="00737828"/>
    <w:rsid w:val="00737A33"/>
    <w:rsid w:val="00740029"/>
    <w:rsid w:val="00740587"/>
    <w:rsid w:val="007406FE"/>
    <w:rsid w:val="00740F04"/>
    <w:rsid w:val="0074115F"/>
    <w:rsid w:val="007411B0"/>
    <w:rsid w:val="00741271"/>
    <w:rsid w:val="00741957"/>
    <w:rsid w:val="00741CD9"/>
    <w:rsid w:val="00741E0D"/>
    <w:rsid w:val="00742907"/>
    <w:rsid w:val="00743D00"/>
    <w:rsid w:val="007444E2"/>
    <w:rsid w:val="00744856"/>
    <w:rsid w:val="0074595C"/>
    <w:rsid w:val="007474B0"/>
    <w:rsid w:val="00747EA5"/>
    <w:rsid w:val="00750105"/>
    <w:rsid w:val="007503E6"/>
    <w:rsid w:val="007504D7"/>
    <w:rsid w:val="0075069C"/>
    <w:rsid w:val="00750C92"/>
    <w:rsid w:val="007510AF"/>
    <w:rsid w:val="0075162E"/>
    <w:rsid w:val="00751696"/>
    <w:rsid w:val="00751984"/>
    <w:rsid w:val="0075199E"/>
    <w:rsid w:val="00751B23"/>
    <w:rsid w:val="00751DE2"/>
    <w:rsid w:val="00751FCC"/>
    <w:rsid w:val="0075223C"/>
    <w:rsid w:val="007523FD"/>
    <w:rsid w:val="00752811"/>
    <w:rsid w:val="00752A29"/>
    <w:rsid w:val="00753001"/>
    <w:rsid w:val="00754034"/>
    <w:rsid w:val="00754A99"/>
    <w:rsid w:val="007563D5"/>
    <w:rsid w:val="00756556"/>
    <w:rsid w:val="0075768A"/>
    <w:rsid w:val="00757923"/>
    <w:rsid w:val="00757EA8"/>
    <w:rsid w:val="0076157B"/>
    <w:rsid w:val="007615D6"/>
    <w:rsid w:val="007618C4"/>
    <w:rsid w:val="007625B1"/>
    <w:rsid w:val="007630C5"/>
    <w:rsid w:val="00763842"/>
    <w:rsid w:val="00764EA0"/>
    <w:rsid w:val="00765689"/>
    <w:rsid w:val="00765B34"/>
    <w:rsid w:val="00765EE2"/>
    <w:rsid w:val="00766292"/>
    <w:rsid w:val="00767231"/>
    <w:rsid w:val="0076727A"/>
    <w:rsid w:val="007674ED"/>
    <w:rsid w:val="00767980"/>
    <w:rsid w:val="00767D98"/>
    <w:rsid w:val="0077058D"/>
    <w:rsid w:val="00770A4C"/>
    <w:rsid w:val="00770B19"/>
    <w:rsid w:val="007715FF"/>
    <w:rsid w:val="00771692"/>
    <w:rsid w:val="007718A5"/>
    <w:rsid w:val="00772670"/>
    <w:rsid w:val="007734D9"/>
    <w:rsid w:val="007739DA"/>
    <w:rsid w:val="0077403C"/>
    <w:rsid w:val="0077463F"/>
    <w:rsid w:val="0077566E"/>
    <w:rsid w:val="00775D19"/>
    <w:rsid w:val="00776C42"/>
    <w:rsid w:val="00777E9F"/>
    <w:rsid w:val="00780C1B"/>
    <w:rsid w:val="00780E5E"/>
    <w:rsid w:val="00781543"/>
    <w:rsid w:val="00782ACA"/>
    <w:rsid w:val="00782EBD"/>
    <w:rsid w:val="007836EA"/>
    <w:rsid w:val="007842B1"/>
    <w:rsid w:val="00784CDA"/>
    <w:rsid w:val="00784E1C"/>
    <w:rsid w:val="007857A7"/>
    <w:rsid w:val="00785B73"/>
    <w:rsid w:val="00786B32"/>
    <w:rsid w:val="00787383"/>
    <w:rsid w:val="00787B13"/>
    <w:rsid w:val="00790152"/>
    <w:rsid w:val="007906C4"/>
    <w:rsid w:val="0079077B"/>
    <w:rsid w:val="00790BAC"/>
    <w:rsid w:val="00792E0A"/>
    <w:rsid w:val="007932EF"/>
    <w:rsid w:val="007940EA"/>
    <w:rsid w:val="00794714"/>
    <w:rsid w:val="00794DCB"/>
    <w:rsid w:val="0079554B"/>
    <w:rsid w:val="00796066"/>
    <w:rsid w:val="007960DF"/>
    <w:rsid w:val="007967E8"/>
    <w:rsid w:val="00796BA3"/>
    <w:rsid w:val="00796BF0"/>
    <w:rsid w:val="00797073"/>
    <w:rsid w:val="007975C3"/>
    <w:rsid w:val="00797683"/>
    <w:rsid w:val="007978A0"/>
    <w:rsid w:val="007978D3"/>
    <w:rsid w:val="00797BBA"/>
    <w:rsid w:val="007A035C"/>
    <w:rsid w:val="007A07CF"/>
    <w:rsid w:val="007A1A7E"/>
    <w:rsid w:val="007A1C14"/>
    <w:rsid w:val="007A1E41"/>
    <w:rsid w:val="007A2170"/>
    <w:rsid w:val="007A22BF"/>
    <w:rsid w:val="007A279F"/>
    <w:rsid w:val="007A3323"/>
    <w:rsid w:val="007A3720"/>
    <w:rsid w:val="007A414F"/>
    <w:rsid w:val="007A4ED2"/>
    <w:rsid w:val="007A5E98"/>
    <w:rsid w:val="007B0778"/>
    <w:rsid w:val="007B0AF4"/>
    <w:rsid w:val="007B126D"/>
    <w:rsid w:val="007B2260"/>
    <w:rsid w:val="007B2B96"/>
    <w:rsid w:val="007B2E4F"/>
    <w:rsid w:val="007B3AB1"/>
    <w:rsid w:val="007B3F12"/>
    <w:rsid w:val="007B4C4D"/>
    <w:rsid w:val="007B57ED"/>
    <w:rsid w:val="007B58B8"/>
    <w:rsid w:val="007B599C"/>
    <w:rsid w:val="007B6007"/>
    <w:rsid w:val="007B60BF"/>
    <w:rsid w:val="007B60D8"/>
    <w:rsid w:val="007B6179"/>
    <w:rsid w:val="007B6304"/>
    <w:rsid w:val="007B72B8"/>
    <w:rsid w:val="007B79E4"/>
    <w:rsid w:val="007B7A58"/>
    <w:rsid w:val="007C0578"/>
    <w:rsid w:val="007C0650"/>
    <w:rsid w:val="007C0B4C"/>
    <w:rsid w:val="007C0D56"/>
    <w:rsid w:val="007C1A90"/>
    <w:rsid w:val="007C214A"/>
    <w:rsid w:val="007C21B5"/>
    <w:rsid w:val="007C24D1"/>
    <w:rsid w:val="007C2602"/>
    <w:rsid w:val="007C2EFE"/>
    <w:rsid w:val="007C3788"/>
    <w:rsid w:val="007C44B7"/>
    <w:rsid w:val="007C4AF3"/>
    <w:rsid w:val="007C4B27"/>
    <w:rsid w:val="007C4B31"/>
    <w:rsid w:val="007C51B6"/>
    <w:rsid w:val="007C5A93"/>
    <w:rsid w:val="007C5AEF"/>
    <w:rsid w:val="007C5D94"/>
    <w:rsid w:val="007C6B0F"/>
    <w:rsid w:val="007C6EFD"/>
    <w:rsid w:val="007C75C3"/>
    <w:rsid w:val="007C7D84"/>
    <w:rsid w:val="007D0004"/>
    <w:rsid w:val="007D0608"/>
    <w:rsid w:val="007D1338"/>
    <w:rsid w:val="007D15E2"/>
    <w:rsid w:val="007D20E9"/>
    <w:rsid w:val="007D2843"/>
    <w:rsid w:val="007D29D0"/>
    <w:rsid w:val="007D2C02"/>
    <w:rsid w:val="007D2EDC"/>
    <w:rsid w:val="007D38BD"/>
    <w:rsid w:val="007D39A5"/>
    <w:rsid w:val="007D4814"/>
    <w:rsid w:val="007D4B78"/>
    <w:rsid w:val="007D4DA8"/>
    <w:rsid w:val="007D4EF6"/>
    <w:rsid w:val="007D4FE3"/>
    <w:rsid w:val="007D540C"/>
    <w:rsid w:val="007D5E45"/>
    <w:rsid w:val="007D69D2"/>
    <w:rsid w:val="007D6E30"/>
    <w:rsid w:val="007D73DF"/>
    <w:rsid w:val="007D75C8"/>
    <w:rsid w:val="007D7EAA"/>
    <w:rsid w:val="007E04E8"/>
    <w:rsid w:val="007E0D44"/>
    <w:rsid w:val="007E108A"/>
    <w:rsid w:val="007E113E"/>
    <w:rsid w:val="007E1D0B"/>
    <w:rsid w:val="007E2DAB"/>
    <w:rsid w:val="007E2F95"/>
    <w:rsid w:val="007E31DF"/>
    <w:rsid w:val="007E3261"/>
    <w:rsid w:val="007E36B5"/>
    <w:rsid w:val="007E3736"/>
    <w:rsid w:val="007E3BC1"/>
    <w:rsid w:val="007E4185"/>
    <w:rsid w:val="007E4269"/>
    <w:rsid w:val="007E4B95"/>
    <w:rsid w:val="007E4BD2"/>
    <w:rsid w:val="007E4E41"/>
    <w:rsid w:val="007E5403"/>
    <w:rsid w:val="007E5DF6"/>
    <w:rsid w:val="007E5DFD"/>
    <w:rsid w:val="007E6104"/>
    <w:rsid w:val="007E7CD5"/>
    <w:rsid w:val="007F034D"/>
    <w:rsid w:val="007F0C76"/>
    <w:rsid w:val="007F1207"/>
    <w:rsid w:val="007F258F"/>
    <w:rsid w:val="007F26B8"/>
    <w:rsid w:val="007F2CD7"/>
    <w:rsid w:val="007F35A6"/>
    <w:rsid w:val="007F38BC"/>
    <w:rsid w:val="007F3C9F"/>
    <w:rsid w:val="007F45F9"/>
    <w:rsid w:val="007F4732"/>
    <w:rsid w:val="007F58FD"/>
    <w:rsid w:val="007F5DDE"/>
    <w:rsid w:val="007F6567"/>
    <w:rsid w:val="007F6F47"/>
    <w:rsid w:val="007F799B"/>
    <w:rsid w:val="00800652"/>
    <w:rsid w:val="008012EF"/>
    <w:rsid w:val="00801393"/>
    <w:rsid w:val="0080144F"/>
    <w:rsid w:val="008018ED"/>
    <w:rsid w:val="00801D1F"/>
    <w:rsid w:val="00802F88"/>
    <w:rsid w:val="0080383A"/>
    <w:rsid w:val="00803D24"/>
    <w:rsid w:val="0080421E"/>
    <w:rsid w:val="0080490A"/>
    <w:rsid w:val="00804FD0"/>
    <w:rsid w:val="008059F1"/>
    <w:rsid w:val="00806B5A"/>
    <w:rsid w:val="00807829"/>
    <w:rsid w:val="00807BF3"/>
    <w:rsid w:val="00807DAA"/>
    <w:rsid w:val="00810406"/>
    <w:rsid w:val="008109CB"/>
    <w:rsid w:val="00810D9C"/>
    <w:rsid w:val="00812140"/>
    <w:rsid w:val="0081224B"/>
    <w:rsid w:val="0081244D"/>
    <w:rsid w:val="0081293E"/>
    <w:rsid w:val="008136BA"/>
    <w:rsid w:val="00813B47"/>
    <w:rsid w:val="00815465"/>
    <w:rsid w:val="00816EA3"/>
    <w:rsid w:val="00817E9A"/>
    <w:rsid w:val="00820BA0"/>
    <w:rsid w:val="00820F9F"/>
    <w:rsid w:val="00824FBB"/>
    <w:rsid w:val="008250C9"/>
    <w:rsid w:val="00825659"/>
    <w:rsid w:val="00825AEF"/>
    <w:rsid w:val="00826175"/>
    <w:rsid w:val="0082632B"/>
    <w:rsid w:val="0082644F"/>
    <w:rsid w:val="008276D0"/>
    <w:rsid w:val="00827727"/>
    <w:rsid w:val="00827A58"/>
    <w:rsid w:val="00827B12"/>
    <w:rsid w:val="00827DA0"/>
    <w:rsid w:val="008306BD"/>
    <w:rsid w:val="00830EFD"/>
    <w:rsid w:val="008318E5"/>
    <w:rsid w:val="00831A80"/>
    <w:rsid w:val="00831B90"/>
    <w:rsid w:val="00831DF9"/>
    <w:rsid w:val="008328BA"/>
    <w:rsid w:val="008336A7"/>
    <w:rsid w:val="00833743"/>
    <w:rsid w:val="00833B31"/>
    <w:rsid w:val="00833C4F"/>
    <w:rsid w:val="008340A4"/>
    <w:rsid w:val="008348E7"/>
    <w:rsid w:val="008352DE"/>
    <w:rsid w:val="00836549"/>
    <w:rsid w:val="00837A06"/>
    <w:rsid w:val="00840510"/>
    <w:rsid w:val="00840664"/>
    <w:rsid w:val="00840CF4"/>
    <w:rsid w:val="008414F9"/>
    <w:rsid w:val="0084161F"/>
    <w:rsid w:val="00841FCC"/>
    <w:rsid w:val="00842C86"/>
    <w:rsid w:val="00843324"/>
    <w:rsid w:val="00843ACD"/>
    <w:rsid w:val="00843F60"/>
    <w:rsid w:val="00845AF1"/>
    <w:rsid w:val="00845FF7"/>
    <w:rsid w:val="00846D7B"/>
    <w:rsid w:val="00846E30"/>
    <w:rsid w:val="00847D72"/>
    <w:rsid w:val="00850181"/>
    <w:rsid w:val="0085035B"/>
    <w:rsid w:val="008503ED"/>
    <w:rsid w:val="00850624"/>
    <w:rsid w:val="00850B6C"/>
    <w:rsid w:val="00850B80"/>
    <w:rsid w:val="00850E02"/>
    <w:rsid w:val="008510EE"/>
    <w:rsid w:val="008517EE"/>
    <w:rsid w:val="00851EEF"/>
    <w:rsid w:val="00853232"/>
    <w:rsid w:val="00853723"/>
    <w:rsid w:val="008538AF"/>
    <w:rsid w:val="00853E59"/>
    <w:rsid w:val="008543C3"/>
    <w:rsid w:val="0085555E"/>
    <w:rsid w:val="00855BFC"/>
    <w:rsid w:val="00855EE7"/>
    <w:rsid w:val="00856397"/>
    <w:rsid w:val="008565B4"/>
    <w:rsid w:val="00856784"/>
    <w:rsid w:val="0085761A"/>
    <w:rsid w:val="00857C8B"/>
    <w:rsid w:val="00857E15"/>
    <w:rsid w:val="00860219"/>
    <w:rsid w:val="008605BB"/>
    <w:rsid w:val="00860B58"/>
    <w:rsid w:val="00862EB4"/>
    <w:rsid w:val="00863259"/>
    <w:rsid w:val="00863349"/>
    <w:rsid w:val="00863363"/>
    <w:rsid w:val="00863741"/>
    <w:rsid w:val="00864BB7"/>
    <w:rsid w:val="00864FFF"/>
    <w:rsid w:val="008653E5"/>
    <w:rsid w:val="00865DFF"/>
    <w:rsid w:val="00866BEE"/>
    <w:rsid w:val="00866FFF"/>
    <w:rsid w:val="00867C01"/>
    <w:rsid w:val="00867DD8"/>
    <w:rsid w:val="0087097F"/>
    <w:rsid w:val="00871291"/>
    <w:rsid w:val="0087135F"/>
    <w:rsid w:val="00872106"/>
    <w:rsid w:val="008722AF"/>
    <w:rsid w:val="00872A98"/>
    <w:rsid w:val="00872D94"/>
    <w:rsid w:val="00873FFB"/>
    <w:rsid w:val="0087496B"/>
    <w:rsid w:val="00874ABC"/>
    <w:rsid w:val="00874D02"/>
    <w:rsid w:val="00874F19"/>
    <w:rsid w:val="00875A16"/>
    <w:rsid w:val="00876498"/>
    <w:rsid w:val="00877573"/>
    <w:rsid w:val="00877889"/>
    <w:rsid w:val="00877C3B"/>
    <w:rsid w:val="00877D60"/>
    <w:rsid w:val="00880364"/>
    <w:rsid w:val="00880FA2"/>
    <w:rsid w:val="008815AD"/>
    <w:rsid w:val="00882101"/>
    <w:rsid w:val="00885956"/>
    <w:rsid w:val="0088611E"/>
    <w:rsid w:val="00886860"/>
    <w:rsid w:val="00886AA5"/>
    <w:rsid w:val="00886AAC"/>
    <w:rsid w:val="00887F80"/>
    <w:rsid w:val="00890DC3"/>
    <w:rsid w:val="00891106"/>
    <w:rsid w:val="00891421"/>
    <w:rsid w:val="00891592"/>
    <w:rsid w:val="00891D14"/>
    <w:rsid w:val="00891E9E"/>
    <w:rsid w:val="00892036"/>
    <w:rsid w:val="00892075"/>
    <w:rsid w:val="00892476"/>
    <w:rsid w:val="00893C9D"/>
    <w:rsid w:val="00893CCD"/>
    <w:rsid w:val="00893EC9"/>
    <w:rsid w:val="00894076"/>
    <w:rsid w:val="00894CEE"/>
    <w:rsid w:val="00895598"/>
    <w:rsid w:val="00895AAD"/>
    <w:rsid w:val="00895FB2"/>
    <w:rsid w:val="008964A8"/>
    <w:rsid w:val="00896AD4"/>
    <w:rsid w:val="008975DB"/>
    <w:rsid w:val="00897E04"/>
    <w:rsid w:val="00897E36"/>
    <w:rsid w:val="00897EBF"/>
    <w:rsid w:val="008A0056"/>
    <w:rsid w:val="008A0100"/>
    <w:rsid w:val="008A0853"/>
    <w:rsid w:val="008A0C9D"/>
    <w:rsid w:val="008A118E"/>
    <w:rsid w:val="008A18C5"/>
    <w:rsid w:val="008A1955"/>
    <w:rsid w:val="008A271D"/>
    <w:rsid w:val="008A28C4"/>
    <w:rsid w:val="008A2A78"/>
    <w:rsid w:val="008A2E74"/>
    <w:rsid w:val="008A2F68"/>
    <w:rsid w:val="008A2FEB"/>
    <w:rsid w:val="008A3A98"/>
    <w:rsid w:val="008A3CA6"/>
    <w:rsid w:val="008A447B"/>
    <w:rsid w:val="008A49FA"/>
    <w:rsid w:val="008A59FD"/>
    <w:rsid w:val="008A5CB3"/>
    <w:rsid w:val="008A5DF9"/>
    <w:rsid w:val="008A627B"/>
    <w:rsid w:val="008A671F"/>
    <w:rsid w:val="008A78A9"/>
    <w:rsid w:val="008B09C7"/>
    <w:rsid w:val="008B0E7B"/>
    <w:rsid w:val="008B1290"/>
    <w:rsid w:val="008B1809"/>
    <w:rsid w:val="008B1AB6"/>
    <w:rsid w:val="008B1D4B"/>
    <w:rsid w:val="008B1E04"/>
    <w:rsid w:val="008B274B"/>
    <w:rsid w:val="008B2E32"/>
    <w:rsid w:val="008B36E2"/>
    <w:rsid w:val="008B3EEC"/>
    <w:rsid w:val="008B48B3"/>
    <w:rsid w:val="008B4A2A"/>
    <w:rsid w:val="008B4F64"/>
    <w:rsid w:val="008B4FA6"/>
    <w:rsid w:val="008B5282"/>
    <w:rsid w:val="008B5453"/>
    <w:rsid w:val="008B58B3"/>
    <w:rsid w:val="008B5AE9"/>
    <w:rsid w:val="008B6B86"/>
    <w:rsid w:val="008B6DF0"/>
    <w:rsid w:val="008B6EE0"/>
    <w:rsid w:val="008B72C9"/>
    <w:rsid w:val="008B7558"/>
    <w:rsid w:val="008B7BCD"/>
    <w:rsid w:val="008B7C17"/>
    <w:rsid w:val="008C0796"/>
    <w:rsid w:val="008C0C23"/>
    <w:rsid w:val="008C1818"/>
    <w:rsid w:val="008C26D9"/>
    <w:rsid w:val="008C27B1"/>
    <w:rsid w:val="008C2BF8"/>
    <w:rsid w:val="008C2D01"/>
    <w:rsid w:val="008C2DD4"/>
    <w:rsid w:val="008C39C2"/>
    <w:rsid w:val="008C3A5B"/>
    <w:rsid w:val="008C40E6"/>
    <w:rsid w:val="008C5436"/>
    <w:rsid w:val="008C5685"/>
    <w:rsid w:val="008C5B9A"/>
    <w:rsid w:val="008C6A84"/>
    <w:rsid w:val="008C6AA0"/>
    <w:rsid w:val="008C7715"/>
    <w:rsid w:val="008C7DC7"/>
    <w:rsid w:val="008D074B"/>
    <w:rsid w:val="008D0BD7"/>
    <w:rsid w:val="008D0F7A"/>
    <w:rsid w:val="008D1589"/>
    <w:rsid w:val="008D1E43"/>
    <w:rsid w:val="008D2144"/>
    <w:rsid w:val="008D29F4"/>
    <w:rsid w:val="008D33FC"/>
    <w:rsid w:val="008D3DFB"/>
    <w:rsid w:val="008D4375"/>
    <w:rsid w:val="008D473D"/>
    <w:rsid w:val="008D4CAB"/>
    <w:rsid w:val="008D6855"/>
    <w:rsid w:val="008D68E4"/>
    <w:rsid w:val="008D7058"/>
    <w:rsid w:val="008D74DC"/>
    <w:rsid w:val="008D7895"/>
    <w:rsid w:val="008E0506"/>
    <w:rsid w:val="008E0741"/>
    <w:rsid w:val="008E0CFF"/>
    <w:rsid w:val="008E0E57"/>
    <w:rsid w:val="008E2355"/>
    <w:rsid w:val="008E2858"/>
    <w:rsid w:val="008E2BA6"/>
    <w:rsid w:val="008E3C5D"/>
    <w:rsid w:val="008E3F8E"/>
    <w:rsid w:val="008E4149"/>
    <w:rsid w:val="008E4B15"/>
    <w:rsid w:val="008E5D6B"/>
    <w:rsid w:val="008E5E87"/>
    <w:rsid w:val="008E6488"/>
    <w:rsid w:val="008E658A"/>
    <w:rsid w:val="008E76F0"/>
    <w:rsid w:val="008E787B"/>
    <w:rsid w:val="008E7C70"/>
    <w:rsid w:val="008E7F1B"/>
    <w:rsid w:val="008F0B13"/>
    <w:rsid w:val="008F0EFB"/>
    <w:rsid w:val="008F15FE"/>
    <w:rsid w:val="008F161D"/>
    <w:rsid w:val="008F1EE3"/>
    <w:rsid w:val="008F2D29"/>
    <w:rsid w:val="008F36AD"/>
    <w:rsid w:val="008F3801"/>
    <w:rsid w:val="008F43E6"/>
    <w:rsid w:val="008F5187"/>
    <w:rsid w:val="008F55D6"/>
    <w:rsid w:val="008F60D8"/>
    <w:rsid w:val="008F619B"/>
    <w:rsid w:val="008F6291"/>
    <w:rsid w:val="008F6B9A"/>
    <w:rsid w:val="008F774C"/>
    <w:rsid w:val="008F7C51"/>
    <w:rsid w:val="008F7E42"/>
    <w:rsid w:val="009007FA"/>
    <w:rsid w:val="00900D71"/>
    <w:rsid w:val="00901089"/>
    <w:rsid w:val="00901092"/>
    <w:rsid w:val="00901A41"/>
    <w:rsid w:val="00901AE8"/>
    <w:rsid w:val="00902385"/>
    <w:rsid w:val="00902727"/>
    <w:rsid w:val="00902B88"/>
    <w:rsid w:val="0090312B"/>
    <w:rsid w:val="009037A0"/>
    <w:rsid w:val="009038D6"/>
    <w:rsid w:val="00903972"/>
    <w:rsid w:val="00903A41"/>
    <w:rsid w:val="009044C4"/>
    <w:rsid w:val="00904BD2"/>
    <w:rsid w:val="00904DF7"/>
    <w:rsid w:val="009058A2"/>
    <w:rsid w:val="00906052"/>
    <w:rsid w:val="00906A74"/>
    <w:rsid w:val="00906A7B"/>
    <w:rsid w:val="00910D98"/>
    <w:rsid w:val="00910F2D"/>
    <w:rsid w:val="00912EA1"/>
    <w:rsid w:val="009134C3"/>
    <w:rsid w:val="0091387E"/>
    <w:rsid w:val="00915B20"/>
    <w:rsid w:val="00916D75"/>
    <w:rsid w:val="0091736D"/>
    <w:rsid w:val="00917C20"/>
    <w:rsid w:val="00917CF8"/>
    <w:rsid w:val="009206CF"/>
    <w:rsid w:val="00920983"/>
    <w:rsid w:val="00920CC8"/>
    <w:rsid w:val="009227BE"/>
    <w:rsid w:val="00922CF6"/>
    <w:rsid w:val="00922EBF"/>
    <w:rsid w:val="00923D38"/>
    <w:rsid w:val="009243D2"/>
    <w:rsid w:val="00924553"/>
    <w:rsid w:val="0092515F"/>
    <w:rsid w:val="0092538D"/>
    <w:rsid w:val="00925F91"/>
    <w:rsid w:val="00926086"/>
    <w:rsid w:val="00926DE8"/>
    <w:rsid w:val="009279EA"/>
    <w:rsid w:val="0093037A"/>
    <w:rsid w:val="00930C34"/>
    <w:rsid w:val="00930F1E"/>
    <w:rsid w:val="00931386"/>
    <w:rsid w:val="00931AF9"/>
    <w:rsid w:val="00932F12"/>
    <w:rsid w:val="00933808"/>
    <w:rsid w:val="00933A79"/>
    <w:rsid w:val="009340E2"/>
    <w:rsid w:val="00934E76"/>
    <w:rsid w:val="00935BBE"/>
    <w:rsid w:val="00936185"/>
    <w:rsid w:val="00936790"/>
    <w:rsid w:val="0093700A"/>
    <w:rsid w:val="00937289"/>
    <w:rsid w:val="009376B1"/>
    <w:rsid w:val="0093777A"/>
    <w:rsid w:val="009378E4"/>
    <w:rsid w:val="0093796B"/>
    <w:rsid w:val="00940221"/>
    <w:rsid w:val="009411A4"/>
    <w:rsid w:val="009411DF"/>
    <w:rsid w:val="00941201"/>
    <w:rsid w:val="0094153F"/>
    <w:rsid w:val="0094154D"/>
    <w:rsid w:val="00941CB5"/>
    <w:rsid w:val="00942230"/>
    <w:rsid w:val="009425C3"/>
    <w:rsid w:val="009429AA"/>
    <w:rsid w:val="00942B08"/>
    <w:rsid w:val="00942BAC"/>
    <w:rsid w:val="00942E35"/>
    <w:rsid w:val="009430A6"/>
    <w:rsid w:val="00943BA6"/>
    <w:rsid w:val="00944210"/>
    <w:rsid w:val="00944AA7"/>
    <w:rsid w:val="00944CFF"/>
    <w:rsid w:val="009450CA"/>
    <w:rsid w:val="00946439"/>
    <w:rsid w:val="00946553"/>
    <w:rsid w:val="00946AB4"/>
    <w:rsid w:val="009470A5"/>
    <w:rsid w:val="00947410"/>
    <w:rsid w:val="0095042A"/>
    <w:rsid w:val="00950700"/>
    <w:rsid w:val="00950866"/>
    <w:rsid w:val="00950944"/>
    <w:rsid w:val="00950FA2"/>
    <w:rsid w:val="0095155F"/>
    <w:rsid w:val="009516E2"/>
    <w:rsid w:val="0095215D"/>
    <w:rsid w:val="0095252F"/>
    <w:rsid w:val="00953319"/>
    <w:rsid w:val="0095354E"/>
    <w:rsid w:val="00953A52"/>
    <w:rsid w:val="00953CDD"/>
    <w:rsid w:val="009540D7"/>
    <w:rsid w:val="00954429"/>
    <w:rsid w:val="0095460E"/>
    <w:rsid w:val="00954904"/>
    <w:rsid w:val="009563CE"/>
    <w:rsid w:val="009569D2"/>
    <w:rsid w:val="00956A16"/>
    <w:rsid w:val="00957272"/>
    <w:rsid w:val="0095793A"/>
    <w:rsid w:val="009601E8"/>
    <w:rsid w:val="009605D4"/>
    <w:rsid w:val="0096073F"/>
    <w:rsid w:val="0096125E"/>
    <w:rsid w:val="00961A6F"/>
    <w:rsid w:val="00961FF1"/>
    <w:rsid w:val="009621C6"/>
    <w:rsid w:val="00962678"/>
    <w:rsid w:val="00962797"/>
    <w:rsid w:val="00962A7E"/>
    <w:rsid w:val="009638F0"/>
    <w:rsid w:val="00965C16"/>
    <w:rsid w:val="00966C74"/>
    <w:rsid w:val="00966D1F"/>
    <w:rsid w:val="00966F72"/>
    <w:rsid w:val="0096705C"/>
    <w:rsid w:val="0096727C"/>
    <w:rsid w:val="009672D0"/>
    <w:rsid w:val="009672EF"/>
    <w:rsid w:val="00967BAD"/>
    <w:rsid w:val="00971E4F"/>
    <w:rsid w:val="0097241D"/>
    <w:rsid w:val="0097248B"/>
    <w:rsid w:val="009724E0"/>
    <w:rsid w:val="0097254F"/>
    <w:rsid w:val="00972AF9"/>
    <w:rsid w:val="00974020"/>
    <w:rsid w:val="009742F6"/>
    <w:rsid w:val="00974BA2"/>
    <w:rsid w:val="0097555F"/>
    <w:rsid w:val="0097609A"/>
    <w:rsid w:val="009761ED"/>
    <w:rsid w:val="00976328"/>
    <w:rsid w:val="0097680D"/>
    <w:rsid w:val="00976C80"/>
    <w:rsid w:val="00976E48"/>
    <w:rsid w:val="0097709E"/>
    <w:rsid w:val="00977464"/>
    <w:rsid w:val="00977911"/>
    <w:rsid w:val="00977A50"/>
    <w:rsid w:val="0098109D"/>
    <w:rsid w:val="00981365"/>
    <w:rsid w:val="0098139B"/>
    <w:rsid w:val="00981F98"/>
    <w:rsid w:val="00982438"/>
    <w:rsid w:val="00982AC5"/>
    <w:rsid w:val="00982C1A"/>
    <w:rsid w:val="00983A4F"/>
    <w:rsid w:val="00983E16"/>
    <w:rsid w:val="0098404C"/>
    <w:rsid w:val="00984256"/>
    <w:rsid w:val="00985283"/>
    <w:rsid w:val="00985F27"/>
    <w:rsid w:val="0098637B"/>
    <w:rsid w:val="00986F76"/>
    <w:rsid w:val="00987338"/>
    <w:rsid w:val="0098789A"/>
    <w:rsid w:val="009878C7"/>
    <w:rsid w:val="00987A05"/>
    <w:rsid w:val="00987C04"/>
    <w:rsid w:val="0099057B"/>
    <w:rsid w:val="00990C57"/>
    <w:rsid w:val="00991CE5"/>
    <w:rsid w:val="00992010"/>
    <w:rsid w:val="009923C1"/>
    <w:rsid w:val="00992CDA"/>
    <w:rsid w:val="00993435"/>
    <w:rsid w:val="00993682"/>
    <w:rsid w:val="0099417F"/>
    <w:rsid w:val="009942D2"/>
    <w:rsid w:val="00995992"/>
    <w:rsid w:val="00997268"/>
    <w:rsid w:val="009973E2"/>
    <w:rsid w:val="009974C4"/>
    <w:rsid w:val="00997570"/>
    <w:rsid w:val="00997828"/>
    <w:rsid w:val="009A03E5"/>
    <w:rsid w:val="009A03EF"/>
    <w:rsid w:val="009A043B"/>
    <w:rsid w:val="009A0AEC"/>
    <w:rsid w:val="009A0F3B"/>
    <w:rsid w:val="009A1123"/>
    <w:rsid w:val="009A1AFA"/>
    <w:rsid w:val="009A1BB4"/>
    <w:rsid w:val="009A2628"/>
    <w:rsid w:val="009A3200"/>
    <w:rsid w:val="009A3C6C"/>
    <w:rsid w:val="009A3F8C"/>
    <w:rsid w:val="009A4CD6"/>
    <w:rsid w:val="009A5484"/>
    <w:rsid w:val="009A590C"/>
    <w:rsid w:val="009A673E"/>
    <w:rsid w:val="009A6943"/>
    <w:rsid w:val="009A6C89"/>
    <w:rsid w:val="009A6E04"/>
    <w:rsid w:val="009A6F13"/>
    <w:rsid w:val="009A6F5B"/>
    <w:rsid w:val="009B066B"/>
    <w:rsid w:val="009B0897"/>
    <w:rsid w:val="009B0A37"/>
    <w:rsid w:val="009B11B6"/>
    <w:rsid w:val="009B177F"/>
    <w:rsid w:val="009B1B9A"/>
    <w:rsid w:val="009B2016"/>
    <w:rsid w:val="009B2AA8"/>
    <w:rsid w:val="009B3B00"/>
    <w:rsid w:val="009B3FCB"/>
    <w:rsid w:val="009B4658"/>
    <w:rsid w:val="009B57CE"/>
    <w:rsid w:val="009B641C"/>
    <w:rsid w:val="009B6FE1"/>
    <w:rsid w:val="009B7462"/>
    <w:rsid w:val="009B7BD9"/>
    <w:rsid w:val="009C176F"/>
    <w:rsid w:val="009C1827"/>
    <w:rsid w:val="009C269F"/>
    <w:rsid w:val="009C29E3"/>
    <w:rsid w:val="009C2C7E"/>
    <w:rsid w:val="009C2F1B"/>
    <w:rsid w:val="009C2F42"/>
    <w:rsid w:val="009C30A1"/>
    <w:rsid w:val="009C3818"/>
    <w:rsid w:val="009C3F8E"/>
    <w:rsid w:val="009C4197"/>
    <w:rsid w:val="009C4211"/>
    <w:rsid w:val="009C4C5D"/>
    <w:rsid w:val="009C4E80"/>
    <w:rsid w:val="009C57A6"/>
    <w:rsid w:val="009C61AC"/>
    <w:rsid w:val="009C657C"/>
    <w:rsid w:val="009C669D"/>
    <w:rsid w:val="009C6B30"/>
    <w:rsid w:val="009C76ED"/>
    <w:rsid w:val="009C772D"/>
    <w:rsid w:val="009C7DD5"/>
    <w:rsid w:val="009D01FD"/>
    <w:rsid w:val="009D031F"/>
    <w:rsid w:val="009D06F0"/>
    <w:rsid w:val="009D0919"/>
    <w:rsid w:val="009D0935"/>
    <w:rsid w:val="009D0FA4"/>
    <w:rsid w:val="009D1257"/>
    <w:rsid w:val="009D1A1D"/>
    <w:rsid w:val="009D1A74"/>
    <w:rsid w:val="009D2397"/>
    <w:rsid w:val="009D29B6"/>
    <w:rsid w:val="009D325E"/>
    <w:rsid w:val="009D35AE"/>
    <w:rsid w:val="009D3F31"/>
    <w:rsid w:val="009D40A2"/>
    <w:rsid w:val="009D4526"/>
    <w:rsid w:val="009D54D9"/>
    <w:rsid w:val="009D5F10"/>
    <w:rsid w:val="009D6291"/>
    <w:rsid w:val="009D7105"/>
    <w:rsid w:val="009D7F43"/>
    <w:rsid w:val="009E0C9B"/>
    <w:rsid w:val="009E0D1E"/>
    <w:rsid w:val="009E132E"/>
    <w:rsid w:val="009E1BAA"/>
    <w:rsid w:val="009E227D"/>
    <w:rsid w:val="009E231E"/>
    <w:rsid w:val="009E2E29"/>
    <w:rsid w:val="009E3496"/>
    <w:rsid w:val="009E39D0"/>
    <w:rsid w:val="009E3AA0"/>
    <w:rsid w:val="009E4591"/>
    <w:rsid w:val="009E474D"/>
    <w:rsid w:val="009E4C8C"/>
    <w:rsid w:val="009E4CB6"/>
    <w:rsid w:val="009E4FF1"/>
    <w:rsid w:val="009E5019"/>
    <w:rsid w:val="009E55F5"/>
    <w:rsid w:val="009E56A3"/>
    <w:rsid w:val="009E6954"/>
    <w:rsid w:val="009E6B73"/>
    <w:rsid w:val="009E6EA2"/>
    <w:rsid w:val="009E7044"/>
    <w:rsid w:val="009E7645"/>
    <w:rsid w:val="009E791F"/>
    <w:rsid w:val="009F17F4"/>
    <w:rsid w:val="009F1B1C"/>
    <w:rsid w:val="009F1CA4"/>
    <w:rsid w:val="009F1E06"/>
    <w:rsid w:val="009F1E68"/>
    <w:rsid w:val="009F2177"/>
    <w:rsid w:val="009F2B7C"/>
    <w:rsid w:val="009F36E6"/>
    <w:rsid w:val="009F3BE4"/>
    <w:rsid w:val="009F445D"/>
    <w:rsid w:val="009F4B99"/>
    <w:rsid w:val="009F4E14"/>
    <w:rsid w:val="009F534E"/>
    <w:rsid w:val="009F53F7"/>
    <w:rsid w:val="009F5471"/>
    <w:rsid w:val="009F65E1"/>
    <w:rsid w:val="009F69E9"/>
    <w:rsid w:val="009F7BDA"/>
    <w:rsid w:val="00A00640"/>
    <w:rsid w:val="00A007D1"/>
    <w:rsid w:val="00A00CCF"/>
    <w:rsid w:val="00A01015"/>
    <w:rsid w:val="00A01E7B"/>
    <w:rsid w:val="00A0220C"/>
    <w:rsid w:val="00A0237D"/>
    <w:rsid w:val="00A02987"/>
    <w:rsid w:val="00A04853"/>
    <w:rsid w:val="00A04F1B"/>
    <w:rsid w:val="00A0501B"/>
    <w:rsid w:val="00A0527E"/>
    <w:rsid w:val="00A052A4"/>
    <w:rsid w:val="00A052D8"/>
    <w:rsid w:val="00A055C5"/>
    <w:rsid w:val="00A057ED"/>
    <w:rsid w:val="00A0695F"/>
    <w:rsid w:val="00A06A7C"/>
    <w:rsid w:val="00A06B0B"/>
    <w:rsid w:val="00A070F3"/>
    <w:rsid w:val="00A07A97"/>
    <w:rsid w:val="00A07C57"/>
    <w:rsid w:val="00A10CB2"/>
    <w:rsid w:val="00A11F10"/>
    <w:rsid w:val="00A13AAC"/>
    <w:rsid w:val="00A13BF4"/>
    <w:rsid w:val="00A13C3C"/>
    <w:rsid w:val="00A14947"/>
    <w:rsid w:val="00A14D38"/>
    <w:rsid w:val="00A152F7"/>
    <w:rsid w:val="00A16938"/>
    <w:rsid w:val="00A1697D"/>
    <w:rsid w:val="00A16A20"/>
    <w:rsid w:val="00A16AC3"/>
    <w:rsid w:val="00A16ECD"/>
    <w:rsid w:val="00A17059"/>
    <w:rsid w:val="00A17166"/>
    <w:rsid w:val="00A1745A"/>
    <w:rsid w:val="00A205CD"/>
    <w:rsid w:val="00A20C7A"/>
    <w:rsid w:val="00A21D4B"/>
    <w:rsid w:val="00A21EDF"/>
    <w:rsid w:val="00A22B94"/>
    <w:rsid w:val="00A22C0E"/>
    <w:rsid w:val="00A22CFC"/>
    <w:rsid w:val="00A22E0C"/>
    <w:rsid w:val="00A22E85"/>
    <w:rsid w:val="00A2530A"/>
    <w:rsid w:val="00A25B18"/>
    <w:rsid w:val="00A25EAD"/>
    <w:rsid w:val="00A27E02"/>
    <w:rsid w:val="00A30221"/>
    <w:rsid w:val="00A304B7"/>
    <w:rsid w:val="00A30868"/>
    <w:rsid w:val="00A3167E"/>
    <w:rsid w:val="00A31BE8"/>
    <w:rsid w:val="00A3212D"/>
    <w:rsid w:val="00A32A83"/>
    <w:rsid w:val="00A32ED6"/>
    <w:rsid w:val="00A3320C"/>
    <w:rsid w:val="00A33935"/>
    <w:rsid w:val="00A33A76"/>
    <w:rsid w:val="00A33B0C"/>
    <w:rsid w:val="00A33C68"/>
    <w:rsid w:val="00A34C6B"/>
    <w:rsid w:val="00A352B6"/>
    <w:rsid w:val="00A35FFE"/>
    <w:rsid w:val="00A368DB"/>
    <w:rsid w:val="00A36C28"/>
    <w:rsid w:val="00A3783D"/>
    <w:rsid w:val="00A40196"/>
    <w:rsid w:val="00A40470"/>
    <w:rsid w:val="00A405D7"/>
    <w:rsid w:val="00A4070C"/>
    <w:rsid w:val="00A410A5"/>
    <w:rsid w:val="00A41DBB"/>
    <w:rsid w:val="00A423AA"/>
    <w:rsid w:val="00A4293D"/>
    <w:rsid w:val="00A4340A"/>
    <w:rsid w:val="00A44C70"/>
    <w:rsid w:val="00A45295"/>
    <w:rsid w:val="00A45F9D"/>
    <w:rsid w:val="00A46E9D"/>
    <w:rsid w:val="00A47794"/>
    <w:rsid w:val="00A50C4B"/>
    <w:rsid w:val="00A50E9A"/>
    <w:rsid w:val="00A510EC"/>
    <w:rsid w:val="00A51633"/>
    <w:rsid w:val="00A51D38"/>
    <w:rsid w:val="00A521BD"/>
    <w:rsid w:val="00A53A16"/>
    <w:rsid w:val="00A53EC6"/>
    <w:rsid w:val="00A54366"/>
    <w:rsid w:val="00A54667"/>
    <w:rsid w:val="00A5487A"/>
    <w:rsid w:val="00A54B45"/>
    <w:rsid w:val="00A54EC1"/>
    <w:rsid w:val="00A54EEC"/>
    <w:rsid w:val="00A55182"/>
    <w:rsid w:val="00A55C0F"/>
    <w:rsid w:val="00A55D09"/>
    <w:rsid w:val="00A55F1D"/>
    <w:rsid w:val="00A56216"/>
    <w:rsid w:val="00A56467"/>
    <w:rsid w:val="00A570A4"/>
    <w:rsid w:val="00A5770A"/>
    <w:rsid w:val="00A57C05"/>
    <w:rsid w:val="00A57E93"/>
    <w:rsid w:val="00A60015"/>
    <w:rsid w:val="00A61199"/>
    <w:rsid w:val="00A61D5A"/>
    <w:rsid w:val="00A61F48"/>
    <w:rsid w:val="00A62F15"/>
    <w:rsid w:val="00A63C86"/>
    <w:rsid w:val="00A63E8F"/>
    <w:rsid w:val="00A63FB2"/>
    <w:rsid w:val="00A640E7"/>
    <w:rsid w:val="00A644DB"/>
    <w:rsid w:val="00A65027"/>
    <w:rsid w:val="00A65359"/>
    <w:rsid w:val="00A653B1"/>
    <w:rsid w:val="00A65990"/>
    <w:rsid w:val="00A65BEF"/>
    <w:rsid w:val="00A65E9C"/>
    <w:rsid w:val="00A66EDE"/>
    <w:rsid w:val="00A679D5"/>
    <w:rsid w:val="00A67E64"/>
    <w:rsid w:val="00A70031"/>
    <w:rsid w:val="00A70416"/>
    <w:rsid w:val="00A70CCB"/>
    <w:rsid w:val="00A7115E"/>
    <w:rsid w:val="00A71448"/>
    <w:rsid w:val="00A71932"/>
    <w:rsid w:val="00A7480A"/>
    <w:rsid w:val="00A7483A"/>
    <w:rsid w:val="00A74A34"/>
    <w:rsid w:val="00A74AA8"/>
    <w:rsid w:val="00A75357"/>
    <w:rsid w:val="00A75F3C"/>
    <w:rsid w:val="00A768D4"/>
    <w:rsid w:val="00A80CEF"/>
    <w:rsid w:val="00A80F85"/>
    <w:rsid w:val="00A814CE"/>
    <w:rsid w:val="00A81A1C"/>
    <w:rsid w:val="00A81A2C"/>
    <w:rsid w:val="00A821F2"/>
    <w:rsid w:val="00A823F2"/>
    <w:rsid w:val="00A82814"/>
    <w:rsid w:val="00A8301E"/>
    <w:rsid w:val="00A83093"/>
    <w:rsid w:val="00A850C8"/>
    <w:rsid w:val="00A853C6"/>
    <w:rsid w:val="00A86F50"/>
    <w:rsid w:val="00A8713F"/>
    <w:rsid w:val="00A871A5"/>
    <w:rsid w:val="00A876CB"/>
    <w:rsid w:val="00A90875"/>
    <w:rsid w:val="00A908D6"/>
    <w:rsid w:val="00A90977"/>
    <w:rsid w:val="00A90BA1"/>
    <w:rsid w:val="00A910A7"/>
    <w:rsid w:val="00A91560"/>
    <w:rsid w:val="00A929A9"/>
    <w:rsid w:val="00A92D7B"/>
    <w:rsid w:val="00A93A49"/>
    <w:rsid w:val="00A93FCC"/>
    <w:rsid w:val="00A946E7"/>
    <w:rsid w:val="00A94908"/>
    <w:rsid w:val="00A94D5D"/>
    <w:rsid w:val="00A94F18"/>
    <w:rsid w:val="00A94FBF"/>
    <w:rsid w:val="00A9555A"/>
    <w:rsid w:val="00A95B62"/>
    <w:rsid w:val="00A95C75"/>
    <w:rsid w:val="00A97A9A"/>
    <w:rsid w:val="00A97C70"/>
    <w:rsid w:val="00A97EFD"/>
    <w:rsid w:val="00AA0516"/>
    <w:rsid w:val="00AA0671"/>
    <w:rsid w:val="00AA072A"/>
    <w:rsid w:val="00AA2417"/>
    <w:rsid w:val="00AA2531"/>
    <w:rsid w:val="00AA2629"/>
    <w:rsid w:val="00AA2818"/>
    <w:rsid w:val="00AA35E8"/>
    <w:rsid w:val="00AA39F0"/>
    <w:rsid w:val="00AA42AA"/>
    <w:rsid w:val="00AA4A0D"/>
    <w:rsid w:val="00AA58DF"/>
    <w:rsid w:val="00AA6277"/>
    <w:rsid w:val="00AA666B"/>
    <w:rsid w:val="00AA6940"/>
    <w:rsid w:val="00AA6BA1"/>
    <w:rsid w:val="00AA754A"/>
    <w:rsid w:val="00AA7F96"/>
    <w:rsid w:val="00AB0531"/>
    <w:rsid w:val="00AB0FFD"/>
    <w:rsid w:val="00AB1261"/>
    <w:rsid w:val="00AB19FC"/>
    <w:rsid w:val="00AB1C23"/>
    <w:rsid w:val="00AB1C57"/>
    <w:rsid w:val="00AB1E09"/>
    <w:rsid w:val="00AB25DD"/>
    <w:rsid w:val="00AB3672"/>
    <w:rsid w:val="00AB3689"/>
    <w:rsid w:val="00AB3CC1"/>
    <w:rsid w:val="00AB40A9"/>
    <w:rsid w:val="00AB4EDC"/>
    <w:rsid w:val="00AB508C"/>
    <w:rsid w:val="00AB5330"/>
    <w:rsid w:val="00AB6BB9"/>
    <w:rsid w:val="00AB6CED"/>
    <w:rsid w:val="00AB7533"/>
    <w:rsid w:val="00AB7747"/>
    <w:rsid w:val="00AB777A"/>
    <w:rsid w:val="00AB798F"/>
    <w:rsid w:val="00AB7E8B"/>
    <w:rsid w:val="00AB7F26"/>
    <w:rsid w:val="00AC0B57"/>
    <w:rsid w:val="00AC1173"/>
    <w:rsid w:val="00AC138B"/>
    <w:rsid w:val="00AC14CE"/>
    <w:rsid w:val="00AC2A56"/>
    <w:rsid w:val="00AC2D97"/>
    <w:rsid w:val="00AC38C2"/>
    <w:rsid w:val="00AC3FD2"/>
    <w:rsid w:val="00AC4BD6"/>
    <w:rsid w:val="00AC4FCC"/>
    <w:rsid w:val="00AC57F8"/>
    <w:rsid w:val="00AC5A99"/>
    <w:rsid w:val="00AC720C"/>
    <w:rsid w:val="00AC76ED"/>
    <w:rsid w:val="00AD0402"/>
    <w:rsid w:val="00AD055E"/>
    <w:rsid w:val="00AD0BFD"/>
    <w:rsid w:val="00AD1370"/>
    <w:rsid w:val="00AD1F48"/>
    <w:rsid w:val="00AD22D6"/>
    <w:rsid w:val="00AD291F"/>
    <w:rsid w:val="00AD2CDC"/>
    <w:rsid w:val="00AD4490"/>
    <w:rsid w:val="00AD47A7"/>
    <w:rsid w:val="00AD594F"/>
    <w:rsid w:val="00AD5C27"/>
    <w:rsid w:val="00AD5DF2"/>
    <w:rsid w:val="00AD600A"/>
    <w:rsid w:val="00AD6B20"/>
    <w:rsid w:val="00AD6FA2"/>
    <w:rsid w:val="00AD765C"/>
    <w:rsid w:val="00AD7685"/>
    <w:rsid w:val="00AD7D9D"/>
    <w:rsid w:val="00AD7DC8"/>
    <w:rsid w:val="00AE019D"/>
    <w:rsid w:val="00AE0934"/>
    <w:rsid w:val="00AE3178"/>
    <w:rsid w:val="00AE4382"/>
    <w:rsid w:val="00AE458E"/>
    <w:rsid w:val="00AE510B"/>
    <w:rsid w:val="00AE56E2"/>
    <w:rsid w:val="00AE5DCB"/>
    <w:rsid w:val="00AE67E5"/>
    <w:rsid w:val="00AE69DF"/>
    <w:rsid w:val="00AE7022"/>
    <w:rsid w:val="00AE7BDE"/>
    <w:rsid w:val="00AE7CB2"/>
    <w:rsid w:val="00AE7E7C"/>
    <w:rsid w:val="00AF0CBF"/>
    <w:rsid w:val="00AF0F85"/>
    <w:rsid w:val="00AF1097"/>
    <w:rsid w:val="00AF17D6"/>
    <w:rsid w:val="00AF1832"/>
    <w:rsid w:val="00AF1E71"/>
    <w:rsid w:val="00AF200D"/>
    <w:rsid w:val="00AF2029"/>
    <w:rsid w:val="00AF257F"/>
    <w:rsid w:val="00AF291C"/>
    <w:rsid w:val="00AF3350"/>
    <w:rsid w:val="00AF33CF"/>
    <w:rsid w:val="00AF3A04"/>
    <w:rsid w:val="00AF4173"/>
    <w:rsid w:val="00AF4B86"/>
    <w:rsid w:val="00AF4D35"/>
    <w:rsid w:val="00AF4D50"/>
    <w:rsid w:val="00AF5E6C"/>
    <w:rsid w:val="00AF6094"/>
    <w:rsid w:val="00AF6179"/>
    <w:rsid w:val="00AF6895"/>
    <w:rsid w:val="00AF69EB"/>
    <w:rsid w:val="00AF6C6C"/>
    <w:rsid w:val="00AF6F51"/>
    <w:rsid w:val="00AF741A"/>
    <w:rsid w:val="00AF7542"/>
    <w:rsid w:val="00AF7DC8"/>
    <w:rsid w:val="00B00DD5"/>
    <w:rsid w:val="00B0139E"/>
    <w:rsid w:val="00B0150C"/>
    <w:rsid w:val="00B02A26"/>
    <w:rsid w:val="00B02B70"/>
    <w:rsid w:val="00B034E6"/>
    <w:rsid w:val="00B03DB6"/>
    <w:rsid w:val="00B03FDC"/>
    <w:rsid w:val="00B040F2"/>
    <w:rsid w:val="00B041A7"/>
    <w:rsid w:val="00B042E1"/>
    <w:rsid w:val="00B04FE7"/>
    <w:rsid w:val="00B05303"/>
    <w:rsid w:val="00B05B41"/>
    <w:rsid w:val="00B06274"/>
    <w:rsid w:val="00B068AA"/>
    <w:rsid w:val="00B06E55"/>
    <w:rsid w:val="00B108C4"/>
    <w:rsid w:val="00B11855"/>
    <w:rsid w:val="00B11F25"/>
    <w:rsid w:val="00B12155"/>
    <w:rsid w:val="00B121CA"/>
    <w:rsid w:val="00B12643"/>
    <w:rsid w:val="00B1295A"/>
    <w:rsid w:val="00B12A44"/>
    <w:rsid w:val="00B12A54"/>
    <w:rsid w:val="00B12E68"/>
    <w:rsid w:val="00B13D3F"/>
    <w:rsid w:val="00B15077"/>
    <w:rsid w:val="00B15684"/>
    <w:rsid w:val="00B158BD"/>
    <w:rsid w:val="00B15BF3"/>
    <w:rsid w:val="00B15F7D"/>
    <w:rsid w:val="00B163EC"/>
    <w:rsid w:val="00B172EF"/>
    <w:rsid w:val="00B172F0"/>
    <w:rsid w:val="00B17C1B"/>
    <w:rsid w:val="00B20558"/>
    <w:rsid w:val="00B20A45"/>
    <w:rsid w:val="00B21C57"/>
    <w:rsid w:val="00B22C5C"/>
    <w:rsid w:val="00B22F51"/>
    <w:rsid w:val="00B23266"/>
    <w:rsid w:val="00B23678"/>
    <w:rsid w:val="00B24807"/>
    <w:rsid w:val="00B24F30"/>
    <w:rsid w:val="00B25E3B"/>
    <w:rsid w:val="00B2646F"/>
    <w:rsid w:val="00B266AE"/>
    <w:rsid w:val="00B27D7E"/>
    <w:rsid w:val="00B30A68"/>
    <w:rsid w:val="00B30A6E"/>
    <w:rsid w:val="00B30FD4"/>
    <w:rsid w:val="00B31192"/>
    <w:rsid w:val="00B31ABF"/>
    <w:rsid w:val="00B323EF"/>
    <w:rsid w:val="00B33067"/>
    <w:rsid w:val="00B33B0E"/>
    <w:rsid w:val="00B33BE3"/>
    <w:rsid w:val="00B33F08"/>
    <w:rsid w:val="00B34924"/>
    <w:rsid w:val="00B350E6"/>
    <w:rsid w:val="00B35845"/>
    <w:rsid w:val="00B35F9E"/>
    <w:rsid w:val="00B36A30"/>
    <w:rsid w:val="00B36F1D"/>
    <w:rsid w:val="00B40832"/>
    <w:rsid w:val="00B4095A"/>
    <w:rsid w:val="00B4099B"/>
    <w:rsid w:val="00B410ED"/>
    <w:rsid w:val="00B411AD"/>
    <w:rsid w:val="00B41579"/>
    <w:rsid w:val="00B41E90"/>
    <w:rsid w:val="00B4206A"/>
    <w:rsid w:val="00B431FD"/>
    <w:rsid w:val="00B43338"/>
    <w:rsid w:val="00B43373"/>
    <w:rsid w:val="00B43B5D"/>
    <w:rsid w:val="00B4428E"/>
    <w:rsid w:val="00B44D24"/>
    <w:rsid w:val="00B452EF"/>
    <w:rsid w:val="00B46A35"/>
    <w:rsid w:val="00B46AAC"/>
    <w:rsid w:val="00B503D1"/>
    <w:rsid w:val="00B508DB"/>
    <w:rsid w:val="00B50D4E"/>
    <w:rsid w:val="00B50F54"/>
    <w:rsid w:val="00B5105D"/>
    <w:rsid w:val="00B51287"/>
    <w:rsid w:val="00B52494"/>
    <w:rsid w:val="00B52655"/>
    <w:rsid w:val="00B52747"/>
    <w:rsid w:val="00B53290"/>
    <w:rsid w:val="00B53552"/>
    <w:rsid w:val="00B53B5D"/>
    <w:rsid w:val="00B53D65"/>
    <w:rsid w:val="00B54674"/>
    <w:rsid w:val="00B54AEB"/>
    <w:rsid w:val="00B5615C"/>
    <w:rsid w:val="00B561AF"/>
    <w:rsid w:val="00B57022"/>
    <w:rsid w:val="00B6055E"/>
    <w:rsid w:val="00B62717"/>
    <w:rsid w:val="00B62B76"/>
    <w:rsid w:val="00B62C5D"/>
    <w:rsid w:val="00B6317D"/>
    <w:rsid w:val="00B63264"/>
    <w:rsid w:val="00B64369"/>
    <w:rsid w:val="00B64710"/>
    <w:rsid w:val="00B67BEA"/>
    <w:rsid w:val="00B709CF"/>
    <w:rsid w:val="00B711AF"/>
    <w:rsid w:val="00B719AD"/>
    <w:rsid w:val="00B71B68"/>
    <w:rsid w:val="00B72444"/>
    <w:rsid w:val="00B72964"/>
    <w:rsid w:val="00B73048"/>
    <w:rsid w:val="00B734F5"/>
    <w:rsid w:val="00B739ED"/>
    <w:rsid w:val="00B73B46"/>
    <w:rsid w:val="00B76270"/>
    <w:rsid w:val="00B763D5"/>
    <w:rsid w:val="00B7641B"/>
    <w:rsid w:val="00B76988"/>
    <w:rsid w:val="00B76B40"/>
    <w:rsid w:val="00B7723F"/>
    <w:rsid w:val="00B776C8"/>
    <w:rsid w:val="00B8046F"/>
    <w:rsid w:val="00B80534"/>
    <w:rsid w:val="00B8070C"/>
    <w:rsid w:val="00B8153B"/>
    <w:rsid w:val="00B8195E"/>
    <w:rsid w:val="00B8220B"/>
    <w:rsid w:val="00B82DFA"/>
    <w:rsid w:val="00B83389"/>
    <w:rsid w:val="00B83657"/>
    <w:rsid w:val="00B83C4F"/>
    <w:rsid w:val="00B83E37"/>
    <w:rsid w:val="00B8408A"/>
    <w:rsid w:val="00B842B7"/>
    <w:rsid w:val="00B8433C"/>
    <w:rsid w:val="00B84D25"/>
    <w:rsid w:val="00B84D9A"/>
    <w:rsid w:val="00B85716"/>
    <w:rsid w:val="00B85ED1"/>
    <w:rsid w:val="00B85F8A"/>
    <w:rsid w:val="00B86352"/>
    <w:rsid w:val="00B8653E"/>
    <w:rsid w:val="00B86754"/>
    <w:rsid w:val="00B86FAE"/>
    <w:rsid w:val="00B87491"/>
    <w:rsid w:val="00B87EFD"/>
    <w:rsid w:val="00B90AE9"/>
    <w:rsid w:val="00B9120E"/>
    <w:rsid w:val="00B91239"/>
    <w:rsid w:val="00B916E6"/>
    <w:rsid w:val="00B91EBB"/>
    <w:rsid w:val="00B91EC2"/>
    <w:rsid w:val="00B92295"/>
    <w:rsid w:val="00B927B5"/>
    <w:rsid w:val="00B93A63"/>
    <w:rsid w:val="00B94456"/>
    <w:rsid w:val="00B95124"/>
    <w:rsid w:val="00B95409"/>
    <w:rsid w:val="00B9566D"/>
    <w:rsid w:val="00B97714"/>
    <w:rsid w:val="00B97C1D"/>
    <w:rsid w:val="00B97DEC"/>
    <w:rsid w:val="00B97E50"/>
    <w:rsid w:val="00BA00AC"/>
    <w:rsid w:val="00BA082B"/>
    <w:rsid w:val="00BA0966"/>
    <w:rsid w:val="00BA0DC6"/>
    <w:rsid w:val="00BA0FCC"/>
    <w:rsid w:val="00BA105D"/>
    <w:rsid w:val="00BA118B"/>
    <w:rsid w:val="00BA16AC"/>
    <w:rsid w:val="00BA17C3"/>
    <w:rsid w:val="00BA1FDB"/>
    <w:rsid w:val="00BA249D"/>
    <w:rsid w:val="00BA29E9"/>
    <w:rsid w:val="00BA34B7"/>
    <w:rsid w:val="00BA34D8"/>
    <w:rsid w:val="00BA3BCC"/>
    <w:rsid w:val="00BA3D1D"/>
    <w:rsid w:val="00BA491B"/>
    <w:rsid w:val="00BA4FC7"/>
    <w:rsid w:val="00BA5792"/>
    <w:rsid w:val="00BA5C92"/>
    <w:rsid w:val="00BA7142"/>
    <w:rsid w:val="00BA7C82"/>
    <w:rsid w:val="00BB043E"/>
    <w:rsid w:val="00BB091D"/>
    <w:rsid w:val="00BB0EA8"/>
    <w:rsid w:val="00BB1137"/>
    <w:rsid w:val="00BB237C"/>
    <w:rsid w:val="00BB2647"/>
    <w:rsid w:val="00BB2846"/>
    <w:rsid w:val="00BB2E6E"/>
    <w:rsid w:val="00BB30D7"/>
    <w:rsid w:val="00BB3BFC"/>
    <w:rsid w:val="00BB41A3"/>
    <w:rsid w:val="00BB42A5"/>
    <w:rsid w:val="00BB4691"/>
    <w:rsid w:val="00BB5001"/>
    <w:rsid w:val="00BB54E5"/>
    <w:rsid w:val="00BB56D4"/>
    <w:rsid w:val="00BB599D"/>
    <w:rsid w:val="00BB608C"/>
    <w:rsid w:val="00BB6616"/>
    <w:rsid w:val="00BB7771"/>
    <w:rsid w:val="00BC015F"/>
    <w:rsid w:val="00BC057A"/>
    <w:rsid w:val="00BC2273"/>
    <w:rsid w:val="00BC2340"/>
    <w:rsid w:val="00BC253E"/>
    <w:rsid w:val="00BC256B"/>
    <w:rsid w:val="00BC2F83"/>
    <w:rsid w:val="00BC32DC"/>
    <w:rsid w:val="00BC342A"/>
    <w:rsid w:val="00BC3559"/>
    <w:rsid w:val="00BC35B6"/>
    <w:rsid w:val="00BC3A3C"/>
    <w:rsid w:val="00BC4D09"/>
    <w:rsid w:val="00BC54FC"/>
    <w:rsid w:val="00BC5E0A"/>
    <w:rsid w:val="00BC6116"/>
    <w:rsid w:val="00BC692F"/>
    <w:rsid w:val="00BD0684"/>
    <w:rsid w:val="00BD09F2"/>
    <w:rsid w:val="00BD1B51"/>
    <w:rsid w:val="00BD2168"/>
    <w:rsid w:val="00BD21B1"/>
    <w:rsid w:val="00BD229A"/>
    <w:rsid w:val="00BD307A"/>
    <w:rsid w:val="00BD3399"/>
    <w:rsid w:val="00BD42B6"/>
    <w:rsid w:val="00BD4596"/>
    <w:rsid w:val="00BD521D"/>
    <w:rsid w:val="00BD6FF0"/>
    <w:rsid w:val="00BD7DBA"/>
    <w:rsid w:val="00BE032D"/>
    <w:rsid w:val="00BE07B2"/>
    <w:rsid w:val="00BE08C2"/>
    <w:rsid w:val="00BE0C30"/>
    <w:rsid w:val="00BE0FC8"/>
    <w:rsid w:val="00BE1405"/>
    <w:rsid w:val="00BE293F"/>
    <w:rsid w:val="00BE312D"/>
    <w:rsid w:val="00BE35EF"/>
    <w:rsid w:val="00BE4545"/>
    <w:rsid w:val="00BE4757"/>
    <w:rsid w:val="00BE4D44"/>
    <w:rsid w:val="00BE4FC6"/>
    <w:rsid w:val="00BE512F"/>
    <w:rsid w:val="00BE789E"/>
    <w:rsid w:val="00BF0161"/>
    <w:rsid w:val="00BF0775"/>
    <w:rsid w:val="00BF0B75"/>
    <w:rsid w:val="00BF1C20"/>
    <w:rsid w:val="00BF1FB5"/>
    <w:rsid w:val="00BF232E"/>
    <w:rsid w:val="00BF2B2B"/>
    <w:rsid w:val="00BF2E95"/>
    <w:rsid w:val="00BF313D"/>
    <w:rsid w:val="00BF40AD"/>
    <w:rsid w:val="00BF452E"/>
    <w:rsid w:val="00BF4B1A"/>
    <w:rsid w:val="00BF5D75"/>
    <w:rsid w:val="00BF6399"/>
    <w:rsid w:val="00BF695E"/>
    <w:rsid w:val="00BF6E1D"/>
    <w:rsid w:val="00BF7C5F"/>
    <w:rsid w:val="00C0005A"/>
    <w:rsid w:val="00C00950"/>
    <w:rsid w:val="00C00ED7"/>
    <w:rsid w:val="00C03483"/>
    <w:rsid w:val="00C03FF7"/>
    <w:rsid w:val="00C0408E"/>
    <w:rsid w:val="00C04CC2"/>
    <w:rsid w:val="00C05904"/>
    <w:rsid w:val="00C065E3"/>
    <w:rsid w:val="00C06A15"/>
    <w:rsid w:val="00C06B74"/>
    <w:rsid w:val="00C07476"/>
    <w:rsid w:val="00C077AE"/>
    <w:rsid w:val="00C07D1E"/>
    <w:rsid w:val="00C07D96"/>
    <w:rsid w:val="00C10578"/>
    <w:rsid w:val="00C10BE8"/>
    <w:rsid w:val="00C10FB6"/>
    <w:rsid w:val="00C1202D"/>
    <w:rsid w:val="00C12568"/>
    <w:rsid w:val="00C132A9"/>
    <w:rsid w:val="00C135BC"/>
    <w:rsid w:val="00C1389C"/>
    <w:rsid w:val="00C148F4"/>
    <w:rsid w:val="00C14B8E"/>
    <w:rsid w:val="00C14DCC"/>
    <w:rsid w:val="00C1518C"/>
    <w:rsid w:val="00C15C95"/>
    <w:rsid w:val="00C165F6"/>
    <w:rsid w:val="00C16CC3"/>
    <w:rsid w:val="00C173C1"/>
    <w:rsid w:val="00C17E1E"/>
    <w:rsid w:val="00C17F56"/>
    <w:rsid w:val="00C202E5"/>
    <w:rsid w:val="00C20C2B"/>
    <w:rsid w:val="00C21099"/>
    <w:rsid w:val="00C21EF8"/>
    <w:rsid w:val="00C235FB"/>
    <w:rsid w:val="00C23B41"/>
    <w:rsid w:val="00C23CE8"/>
    <w:rsid w:val="00C24189"/>
    <w:rsid w:val="00C24D6B"/>
    <w:rsid w:val="00C25358"/>
    <w:rsid w:val="00C253C4"/>
    <w:rsid w:val="00C2596A"/>
    <w:rsid w:val="00C264CB"/>
    <w:rsid w:val="00C26C5B"/>
    <w:rsid w:val="00C27537"/>
    <w:rsid w:val="00C27ADC"/>
    <w:rsid w:val="00C27BB1"/>
    <w:rsid w:val="00C27DBB"/>
    <w:rsid w:val="00C30977"/>
    <w:rsid w:val="00C31213"/>
    <w:rsid w:val="00C31A25"/>
    <w:rsid w:val="00C3219B"/>
    <w:rsid w:val="00C323AE"/>
    <w:rsid w:val="00C328FE"/>
    <w:rsid w:val="00C32A72"/>
    <w:rsid w:val="00C33236"/>
    <w:rsid w:val="00C33507"/>
    <w:rsid w:val="00C33A11"/>
    <w:rsid w:val="00C353E7"/>
    <w:rsid w:val="00C35489"/>
    <w:rsid w:val="00C35DC4"/>
    <w:rsid w:val="00C3633D"/>
    <w:rsid w:val="00C36461"/>
    <w:rsid w:val="00C36548"/>
    <w:rsid w:val="00C36CBD"/>
    <w:rsid w:val="00C36D22"/>
    <w:rsid w:val="00C370D4"/>
    <w:rsid w:val="00C374C4"/>
    <w:rsid w:val="00C378EC"/>
    <w:rsid w:val="00C37BF5"/>
    <w:rsid w:val="00C37F1E"/>
    <w:rsid w:val="00C40BE0"/>
    <w:rsid w:val="00C41718"/>
    <w:rsid w:val="00C418D8"/>
    <w:rsid w:val="00C41D47"/>
    <w:rsid w:val="00C424A8"/>
    <w:rsid w:val="00C4254F"/>
    <w:rsid w:val="00C42678"/>
    <w:rsid w:val="00C4300C"/>
    <w:rsid w:val="00C430CF"/>
    <w:rsid w:val="00C430DB"/>
    <w:rsid w:val="00C436CC"/>
    <w:rsid w:val="00C438D5"/>
    <w:rsid w:val="00C4409D"/>
    <w:rsid w:val="00C44BA0"/>
    <w:rsid w:val="00C44E72"/>
    <w:rsid w:val="00C45A06"/>
    <w:rsid w:val="00C4651E"/>
    <w:rsid w:val="00C46A85"/>
    <w:rsid w:val="00C471FF"/>
    <w:rsid w:val="00C47544"/>
    <w:rsid w:val="00C47559"/>
    <w:rsid w:val="00C47DC7"/>
    <w:rsid w:val="00C47E5B"/>
    <w:rsid w:val="00C5059C"/>
    <w:rsid w:val="00C506A4"/>
    <w:rsid w:val="00C513BA"/>
    <w:rsid w:val="00C53506"/>
    <w:rsid w:val="00C54444"/>
    <w:rsid w:val="00C56554"/>
    <w:rsid w:val="00C56A5E"/>
    <w:rsid w:val="00C56C02"/>
    <w:rsid w:val="00C5722B"/>
    <w:rsid w:val="00C577BB"/>
    <w:rsid w:val="00C57B75"/>
    <w:rsid w:val="00C61004"/>
    <w:rsid w:val="00C619D4"/>
    <w:rsid w:val="00C61E4B"/>
    <w:rsid w:val="00C626F3"/>
    <w:rsid w:val="00C62911"/>
    <w:rsid w:val="00C62ADB"/>
    <w:rsid w:val="00C64BFF"/>
    <w:rsid w:val="00C66B96"/>
    <w:rsid w:val="00C67B44"/>
    <w:rsid w:val="00C704E9"/>
    <w:rsid w:val="00C70649"/>
    <w:rsid w:val="00C70A59"/>
    <w:rsid w:val="00C71248"/>
    <w:rsid w:val="00C71E73"/>
    <w:rsid w:val="00C728DA"/>
    <w:rsid w:val="00C72CAA"/>
    <w:rsid w:val="00C73733"/>
    <w:rsid w:val="00C74DB7"/>
    <w:rsid w:val="00C7595C"/>
    <w:rsid w:val="00C763C9"/>
    <w:rsid w:val="00C767A4"/>
    <w:rsid w:val="00C76D51"/>
    <w:rsid w:val="00C77905"/>
    <w:rsid w:val="00C80057"/>
    <w:rsid w:val="00C801F4"/>
    <w:rsid w:val="00C808F5"/>
    <w:rsid w:val="00C8158B"/>
    <w:rsid w:val="00C819F1"/>
    <w:rsid w:val="00C82232"/>
    <w:rsid w:val="00C82913"/>
    <w:rsid w:val="00C82A3D"/>
    <w:rsid w:val="00C82E32"/>
    <w:rsid w:val="00C838A2"/>
    <w:rsid w:val="00C841A3"/>
    <w:rsid w:val="00C845F3"/>
    <w:rsid w:val="00C85D17"/>
    <w:rsid w:val="00C860FE"/>
    <w:rsid w:val="00C870FB"/>
    <w:rsid w:val="00C874D8"/>
    <w:rsid w:val="00C87BDE"/>
    <w:rsid w:val="00C90AA5"/>
    <w:rsid w:val="00C92327"/>
    <w:rsid w:val="00C924B1"/>
    <w:rsid w:val="00C92F77"/>
    <w:rsid w:val="00C93474"/>
    <w:rsid w:val="00C93667"/>
    <w:rsid w:val="00C93DBE"/>
    <w:rsid w:val="00C944B7"/>
    <w:rsid w:val="00C947F4"/>
    <w:rsid w:val="00C94A81"/>
    <w:rsid w:val="00C95374"/>
    <w:rsid w:val="00C95A12"/>
    <w:rsid w:val="00C9721D"/>
    <w:rsid w:val="00C972B1"/>
    <w:rsid w:val="00C972CE"/>
    <w:rsid w:val="00C9749A"/>
    <w:rsid w:val="00C976A2"/>
    <w:rsid w:val="00C97A03"/>
    <w:rsid w:val="00C97BFD"/>
    <w:rsid w:val="00CA138D"/>
    <w:rsid w:val="00CA2593"/>
    <w:rsid w:val="00CA2CCE"/>
    <w:rsid w:val="00CA355E"/>
    <w:rsid w:val="00CA3B55"/>
    <w:rsid w:val="00CA43FD"/>
    <w:rsid w:val="00CA44C5"/>
    <w:rsid w:val="00CA49C3"/>
    <w:rsid w:val="00CA653D"/>
    <w:rsid w:val="00CA6F17"/>
    <w:rsid w:val="00CA7905"/>
    <w:rsid w:val="00CA7EF8"/>
    <w:rsid w:val="00CB00AA"/>
    <w:rsid w:val="00CB03D6"/>
    <w:rsid w:val="00CB1721"/>
    <w:rsid w:val="00CB23A2"/>
    <w:rsid w:val="00CB23C0"/>
    <w:rsid w:val="00CB23DC"/>
    <w:rsid w:val="00CB3564"/>
    <w:rsid w:val="00CB35A1"/>
    <w:rsid w:val="00CB3988"/>
    <w:rsid w:val="00CB4675"/>
    <w:rsid w:val="00CB5298"/>
    <w:rsid w:val="00CB615A"/>
    <w:rsid w:val="00CB6401"/>
    <w:rsid w:val="00CB640E"/>
    <w:rsid w:val="00CB669E"/>
    <w:rsid w:val="00CC1CA7"/>
    <w:rsid w:val="00CC25B4"/>
    <w:rsid w:val="00CC2819"/>
    <w:rsid w:val="00CC2A71"/>
    <w:rsid w:val="00CC2E5C"/>
    <w:rsid w:val="00CC2E98"/>
    <w:rsid w:val="00CC3104"/>
    <w:rsid w:val="00CC3598"/>
    <w:rsid w:val="00CC3F3D"/>
    <w:rsid w:val="00CC40B1"/>
    <w:rsid w:val="00CC42BA"/>
    <w:rsid w:val="00CC478B"/>
    <w:rsid w:val="00CC489B"/>
    <w:rsid w:val="00CC5967"/>
    <w:rsid w:val="00CC67B4"/>
    <w:rsid w:val="00CC69C6"/>
    <w:rsid w:val="00CC6B57"/>
    <w:rsid w:val="00CC775E"/>
    <w:rsid w:val="00CC7879"/>
    <w:rsid w:val="00CD0175"/>
    <w:rsid w:val="00CD033E"/>
    <w:rsid w:val="00CD0CC6"/>
    <w:rsid w:val="00CD1B41"/>
    <w:rsid w:val="00CD1C8F"/>
    <w:rsid w:val="00CD2383"/>
    <w:rsid w:val="00CD273B"/>
    <w:rsid w:val="00CD2BCD"/>
    <w:rsid w:val="00CD2C4C"/>
    <w:rsid w:val="00CD3359"/>
    <w:rsid w:val="00CD3563"/>
    <w:rsid w:val="00CD3A4C"/>
    <w:rsid w:val="00CD3E01"/>
    <w:rsid w:val="00CD3EA7"/>
    <w:rsid w:val="00CD4364"/>
    <w:rsid w:val="00CD44D4"/>
    <w:rsid w:val="00CD46BE"/>
    <w:rsid w:val="00CD54AE"/>
    <w:rsid w:val="00CD5806"/>
    <w:rsid w:val="00CD5DE7"/>
    <w:rsid w:val="00CD5EE3"/>
    <w:rsid w:val="00CD63B8"/>
    <w:rsid w:val="00CD689E"/>
    <w:rsid w:val="00CD6946"/>
    <w:rsid w:val="00CD6D34"/>
    <w:rsid w:val="00CD7167"/>
    <w:rsid w:val="00CD76D4"/>
    <w:rsid w:val="00CE04A9"/>
    <w:rsid w:val="00CE0CF9"/>
    <w:rsid w:val="00CE10E9"/>
    <w:rsid w:val="00CE1EB7"/>
    <w:rsid w:val="00CE2910"/>
    <w:rsid w:val="00CE2B03"/>
    <w:rsid w:val="00CE2B4F"/>
    <w:rsid w:val="00CE2C29"/>
    <w:rsid w:val="00CE2E85"/>
    <w:rsid w:val="00CE388A"/>
    <w:rsid w:val="00CE466F"/>
    <w:rsid w:val="00CE488E"/>
    <w:rsid w:val="00CE4974"/>
    <w:rsid w:val="00CE4D0E"/>
    <w:rsid w:val="00CE4DFB"/>
    <w:rsid w:val="00CE5393"/>
    <w:rsid w:val="00CE68AB"/>
    <w:rsid w:val="00CE76DE"/>
    <w:rsid w:val="00CF03AC"/>
    <w:rsid w:val="00CF050F"/>
    <w:rsid w:val="00CF189F"/>
    <w:rsid w:val="00CF1975"/>
    <w:rsid w:val="00CF2826"/>
    <w:rsid w:val="00CF3316"/>
    <w:rsid w:val="00CF3559"/>
    <w:rsid w:val="00CF35DE"/>
    <w:rsid w:val="00CF36BE"/>
    <w:rsid w:val="00CF4420"/>
    <w:rsid w:val="00CF496C"/>
    <w:rsid w:val="00CF4A9E"/>
    <w:rsid w:val="00CF51A4"/>
    <w:rsid w:val="00CF59E2"/>
    <w:rsid w:val="00CF5E85"/>
    <w:rsid w:val="00CF6000"/>
    <w:rsid w:val="00CF60BA"/>
    <w:rsid w:val="00CF730D"/>
    <w:rsid w:val="00CF78E4"/>
    <w:rsid w:val="00CF79EA"/>
    <w:rsid w:val="00CF7AFB"/>
    <w:rsid w:val="00D003F3"/>
    <w:rsid w:val="00D00A94"/>
    <w:rsid w:val="00D00B90"/>
    <w:rsid w:val="00D014DB"/>
    <w:rsid w:val="00D01CB2"/>
    <w:rsid w:val="00D01D19"/>
    <w:rsid w:val="00D023C5"/>
    <w:rsid w:val="00D02446"/>
    <w:rsid w:val="00D025C6"/>
    <w:rsid w:val="00D031D5"/>
    <w:rsid w:val="00D0364F"/>
    <w:rsid w:val="00D03956"/>
    <w:rsid w:val="00D03BB4"/>
    <w:rsid w:val="00D050A0"/>
    <w:rsid w:val="00D0596F"/>
    <w:rsid w:val="00D05A0B"/>
    <w:rsid w:val="00D0615E"/>
    <w:rsid w:val="00D0636A"/>
    <w:rsid w:val="00D06507"/>
    <w:rsid w:val="00D06834"/>
    <w:rsid w:val="00D06997"/>
    <w:rsid w:val="00D06D11"/>
    <w:rsid w:val="00D10B98"/>
    <w:rsid w:val="00D10CA4"/>
    <w:rsid w:val="00D10D26"/>
    <w:rsid w:val="00D11C3E"/>
    <w:rsid w:val="00D1250C"/>
    <w:rsid w:val="00D13676"/>
    <w:rsid w:val="00D1378E"/>
    <w:rsid w:val="00D137CB"/>
    <w:rsid w:val="00D148B3"/>
    <w:rsid w:val="00D153C7"/>
    <w:rsid w:val="00D1569A"/>
    <w:rsid w:val="00D163C4"/>
    <w:rsid w:val="00D178ED"/>
    <w:rsid w:val="00D17C61"/>
    <w:rsid w:val="00D17E61"/>
    <w:rsid w:val="00D2007B"/>
    <w:rsid w:val="00D20FDB"/>
    <w:rsid w:val="00D211FD"/>
    <w:rsid w:val="00D218B9"/>
    <w:rsid w:val="00D21BB6"/>
    <w:rsid w:val="00D21D70"/>
    <w:rsid w:val="00D21D76"/>
    <w:rsid w:val="00D22A66"/>
    <w:rsid w:val="00D247A7"/>
    <w:rsid w:val="00D249E4"/>
    <w:rsid w:val="00D25E34"/>
    <w:rsid w:val="00D26271"/>
    <w:rsid w:val="00D26292"/>
    <w:rsid w:val="00D26BBC"/>
    <w:rsid w:val="00D2715A"/>
    <w:rsid w:val="00D2755A"/>
    <w:rsid w:val="00D3025F"/>
    <w:rsid w:val="00D30572"/>
    <w:rsid w:val="00D308ED"/>
    <w:rsid w:val="00D31890"/>
    <w:rsid w:val="00D31D76"/>
    <w:rsid w:val="00D322E9"/>
    <w:rsid w:val="00D32733"/>
    <w:rsid w:val="00D35B8F"/>
    <w:rsid w:val="00D35E63"/>
    <w:rsid w:val="00D3617A"/>
    <w:rsid w:val="00D3664A"/>
    <w:rsid w:val="00D36D86"/>
    <w:rsid w:val="00D371FC"/>
    <w:rsid w:val="00D3722E"/>
    <w:rsid w:val="00D373B8"/>
    <w:rsid w:val="00D3777F"/>
    <w:rsid w:val="00D377DC"/>
    <w:rsid w:val="00D400F6"/>
    <w:rsid w:val="00D40747"/>
    <w:rsid w:val="00D408D6"/>
    <w:rsid w:val="00D409E9"/>
    <w:rsid w:val="00D40AA7"/>
    <w:rsid w:val="00D411C0"/>
    <w:rsid w:val="00D42693"/>
    <w:rsid w:val="00D428AA"/>
    <w:rsid w:val="00D428E6"/>
    <w:rsid w:val="00D42C85"/>
    <w:rsid w:val="00D43499"/>
    <w:rsid w:val="00D4394F"/>
    <w:rsid w:val="00D43DE6"/>
    <w:rsid w:val="00D45304"/>
    <w:rsid w:val="00D4569F"/>
    <w:rsid w:val="00D45AF8"/>
    <w:rsid w:val="00D45ECD"/>
    <w:rsid w:val="00D46BBC"/>
    <w:rsid w:val="00D46C54"/>
    <w:rsid w:val="00D470C0"/>
    <w:rsid w:val="00D470E1"/>
    <w:rsid w:val="00D470EE"/>
    <w:rsid w:val="00D4779D"/>
    <w:rsid w:val="00D47A68"/>
    <w:rsid w:val="00D47EA9"/>
    <w:rsid w:val="00D500D8"/>
    <w:rsid w:val="00D507DD"/>
    <w:rsid w:val="00D508B9"/>
    <w:rsid w:val="00D50A34"/>
    <w:rsid w:val="00D50BEB"/>
    <w:rsid w:val="00D50F7A"/>
    <w:rsid w:val="00D51127"/>
    <w:rsid w:val="00D51583"/>
    <w:rsid w:val="00D51CD1"/>
    <w:rsid w:val="00D523C9"/>
    <w:rsid w:val="00D52B34"/>
    <w:rsid w:val="00D53689"/>
    <w:rsid w:val="00D53EFA"/>
    <w:rsid w:val="00D5410A"/>
    <w:rsid w:val="00D547C7"/>
    <w:rsid w:val="00D5498D"/>
    <w:rsid w:val="00D5508C"/>
    <w:rsid w:val="00D55520"/>
    <w:rsid w:val="00D55649"/>
    <w:rsid w:val="00D55ED9"/>
    <w:rsid w:val="00D567BE"/>
    <w:rsid w:val="00D56FB2"/>
    <w:rsid w:val="00D579C4"/>
    <w:rsid w:val="00D57EB1"/>
    <w:rsid w:val="00D57F35"/>
    <w:rsid w:val="00D608CB"/>
    <w:rsid w:val="00D60C38"/>
    <w:rsid w:val="00D61330"/>
    <w:rsid w:val="00D6134F"/>
    <w:rsid w:val="00D61669"/>
    <w:rsid w:val="00D61E83"/>
    <w:rsid w:val="00D628F2"/>
    <w:rsid w:val="00D62F21"/>
    <w:rsid w:val="00D630BA"/>
    <w:rsid w:val="00D6389B"/>
    <w:rsid w:val="00D638EF"/>
    <w:rsid w:val="00D63EDA"/>
    <w:rsid w:val="00D64496"/>
    <w:rsid w:val="00D64762"/>
    <w:rsid w:val="00D6561C"/>
    <w:rsid w:val="00D6571D"/>
    <w:rsid w:val="00D65737"/>
    <w:rsid w:val="00D65ACE"/>
    <w:rsid w:val="00D662B3"/>
    <w:rsid w:val="00D669AD"/>
    <w:rsid w:val="00D70462"/>
    <w:rsid w:val="00D7047F"/>
    <w:rsid w:val="00D704B3"/>
    <w:rsid w:val="00D70B6E"/>
    <w:rsid w:val="00D71ACE"/>
    <w:rsid w:val="00D71ADD"/>
    <w:rsid w:val="00D73040"/>
    <w:rsid w:val="00D734A7"/>
    <w:rsid w:val="00D73899"/>
    <w:rsid w:val="00D73C3A"/>
    <w:rsid w:val="00D749C5"/>
    <w:rsid w:val="00D759C1"/>
    <w:rsid w:val="00D75D9B"/>
    <w:rsid w:val="00D763C7"/>
    <w:rsid w:val="00D763E5"/>
    <w:rsid w:val="00D77856"/>
    <w:rsid w:val="00D77891"/>
    <w:rsid w:val="00D77AB9"/>
    <w:rsid w:val="00D77F39"/>
    <w:rsid w:val="00D8012F"/>
    <w:rsid w:val="00D801AA"/>
    <w:rsid w:val="00D80920"/>
    <w:rsid w:val="00D80D7D"/>
    <w:rsid w:val="00D810FC"/>
    <w:rsid w:val="00D8167A"/>
    <w:rsid w:val="00D82229"/>
    <w:rsid w:val="00D82355"/>
    <w:rsid w:val="00D827A3"/>
    <w:rsid w:val="00D8286D"/>
    <w:rsid w:val="00D82E73"/>
    <w:rsid w:val="00D835FF"/>
    <w:rsid w:val="00D83673"/>
    <w:rsid w:val="00D83DDD"/>
    <w:rsid w:val="00D8402E"/>
    <w:rsid w:val="00D857CA"/>
    <w:rsid w:val="00D8623B"/>
    <w:rsid w:val="00D86984"/>
    <w:rsid w:val="00D87A3B"/>
    <w:rsid w:val="00D87B98"/>
    <w:rsid w:val="00D90716"/>
    <w:rsid w:val="00D915D8"/>
    <w:rsid w:val="00D91E46"/>
    <w:rsid w:val="00D92539"/>
    <w:rsid w:val="00D92909"/>
    <w:rsid w:val="00D92ED6"/>
    <w:rsid w:val="00D92EEA"/>
    <w:rsid w:val="00D92F9D"/>
    <w:rsid w:val="00D931DF"/>
    <w:rsid w:val="00D947B6"/>
    <w:rsid w:val="00D94A7C"/>
    <w:rsid w:val="00D954A6"/>
    <w:rsid w:val="00D95623"/>
    <w:rsid w:val="00D95750"/>
    <w:rsid w:val="00D95896"/>
    <w:rsid w:val="00D95DAF"/>
    <w:rsid w:val="00D96032"/>
    <w:rsid w:val="00D96327"/>
    <w:rsid w:val="00D97D48"/>
    <w:rsid w:val="00DA05E1"/>
    <w:rsid w:val="00DA0949"/>
    <w:rsid w:val="00DA0BD7"/>
    <w:rsid w:val="00DA1665"/>
    <w:rsid w:val="00DA1F85"/>
    <w:rsid w:val="00DA232E"/>
    <w:rsid w:val="00DA26DA"/>
    <w:rsid w:val="00DA2991"/>
    <w:rsid w:val="00DA2C23"/>
    <w:rsid w:val="00DA32E8"/>
    <w:rsid w:val="00DA3B65"/>
    <w:rsid w:val="00DA4074"/>
    <w:rsid w:val="00DA568D"/>
    <w:rsid w:val="00DA5B65"/>
    <w:rsid w:val="00DA7361"/>
    <w:rsid w:val="00DB080F"/>
    <w:rsid w:val="00DB0B08"/>
    <w:rsid w:val="00DB0B57"/>
    <w:rsid w:val="00DB0CF8"/>
    <w:rsid w:val="00DB1891"/>
    <w:rsid w:val="00DB2287"/>
    <w:rsid w:val="00DB2983"/>
    <w:rsid w:val="00DB326A"/>
    <w:rsid w:val="00DB386A"/>
    <w:rsid w:val="00DB3DF5"/>
    <w:rsid w:val="00DB4116"/>
    <w:rsid w:val="00DB458C"/>
    <w:rsid w:val="00DB486F"/>
    <w:rsid w:val="00DB48BD"/>
    <w:rsid w:val="00DB4C9B"/>
    <w:rsid w:val="00DB4E3F"/>
    <w:rsid w:val="00DB5303"/>
    <w:rsid w:val="00DB5D4A"/>
    <w:rsid w:val="00DB6146"/>
    <w:rsid w:val="00DB68F5"/>
    <w:rsid w:val="00DB6DD4"/>
    <w:rsid w:val="00DB7E60"/>
    <w:rsid w:val="00DC0ECC"/>
    <w:rsid w:val="00DC1257"/>
    <w:rsid w:val="00DC13C6"/>
    <w:rsid w:val="00DC1A5A"/>
    <w:rsid w:val="00DC2CFE"/>
    <w:rsid w:val="00DC309A"/>
    <w:rsid w:val="00DC3182"/>
    <w:rsid w:val="00DC375E"/>
    <w:rsid w:val="00DC39D0"/>
    <w:rsid w:val="00DC3DC0"/>
    <w:rsid w:val="00DC4685"/>
    <w:rsid w:val="00DC49A0"/>
    <w:rsid w:val="00DC4F60"/>
    <w:rsid w:val="00DC549D"/>
    <w:rsid w:val="00DC59F0"/>
    <w:rsid w:val="00DC5B2B"/>
    <w:rsid w:val="00DC5C09"/>
    <w:rsid w:val="00DC6CB1"/>
    <w:rsid w:val="00DC778B"/>
    <w:rsid w:val="00DD0C35"/>
    <w:rsid w:val="00DD0EB2"/>
    <w:rsid w:val="00DD1010"/>
    <w:rsid w:val="00DD23E0"/>
    <w:rsid w:val="00DD287D"/>
    <w:rsid w:val="00DD2933"/>
    <w:rsid w:val="00DD318D"/>
    <w:rsid w:val="00DD3683"/>
    <w:rsid w:val="00DD4A73"/>
    <w:rsid w:val="00DD5215"/>
    <w:rsid w:val="00DD53CB"/>
    <w:rsid w:val="00DD5C6C"/>
    <w:rsid w:val="00DD5EFF"/>
    <w:rsid w:val="00DD5F2B"/>
    <w:rsid w:val="00DD618B"/>
    <w:rsid w:val="00DD6B99"/>
    <w:rsid w:val="00DD7BAD"/>
    <w:rsid w:val="00DE03A9"/>
    <w:rsid w:val="00DE05C2"/>
    <w:rsid w:val="00DE25AD"/>
    <w:rsid w:val="00DE2A62"/>
    <w:rsid w:val="00DE3573"/>
    <w:rsid w:val="00DE3B9B"/>
    <w:rsid w:val="00DE419A"/>
    <w:rsid w:val="00DE457C"/>
    <w:rsid w:val="00DE4954"/>
    <w:rsid w:val="00DE49EE"/>
    <w:rsid w:val="00DE5146"/>
    <w:rsid w:val="00DE54E7"/>
    <w:rsid w:val="00DE7236"/>
    <w:rsid w:val="00DE773A"/>
    <w:rsid w:val="00DF0884"/>
    <w:rsid w:val="00DF0C38"/>
    <w:rsid w:val="00DF1525"/>
    <w:rsid w:val="00DF1B74"/>
    <w:rsid w:val="00DF28AF"/>
    <w:rsid w:val="00DF2E12"/>
    <w:rsid w:val="00DF345F"/>
    <w:rsid w:val="00DF38AD"/>
    <w:rsid w:val="00DF45A6"/>
    <w:rsid w:val="00DF4A2B"/>
    <w:rsid w:val="00DF4B59"/>
    <w:rsid w:val="00DF4D4D"/>
    <w:rsid w:val="00DF514A"/>
    <w:rsid w:val="00DF5435"/>
    <w:rsid w:val="00DF5447"/>
    <w:rsid w:val="00DF5F0E"/>
    <w:rsid w:val="00DF656A"/>
    <w:rsid w:val="00DF661F"/>
    <w:rsid w:val="00DF6690"/>
    <w:rsid w:val="00DF6804"/>
    <w:rsid w:val="00DF68DF"/>
    <w:rsid w:val="00DF7110"/>
    <w:rsid w:val="00DF7236"/>
    <w:rsid w:val="00DF794E"/>
    <w:rsid w:val="00E002E5"/>
    <w:rsid w:val="00E00ADD"/>
    <w:rsid w:val="00E00DF7"/>
    <w:rsid w:val="00E01855"/>
    <w:rsid w:val="00E026F0"/>
    <w:rsid w:val="00E0302E"/>
    <w:rsid w:val="00E0320B"/>
    <w:rsid w:val="00E03388"/>
    <w:rsid w:val="00E03405"/>
    <w:rsid w:val="00E0358D"/>
    <w:rsid w:val="00E04323"/>
    <w:rsid w:val="00E045AD"/>
    <w:rsid w:val="00E047DD"/>
    <w:rsid w:val="00E0491B"/>
    <w:rsid w:val="00E05635"/>
    <w:rsid w:val="00E05ECA"/>
    <w:rsid w:val="00E05FE7"/>
    <w:rsid w:val="00E0626A"/>
    <w:rsid w:val="00E06E7F"/>
    <w:rsid w:val="00E070A2"/>
    <w:rsid w:val="00E0741A"/>
    <w:rsid w:val="00E07589"/>
    <w:rsid w:val="00E07F05"/>
    <w:rsid w:val="00E109D1"/>
    <w:rsid w:val="00E123F9"/>
    <w:rsid w:val="00E1382C"/>
    <w:rsid w:val="00E1399B"/>
    <w:rsid w:val="00E143BB"/>
    <w:rsid w:val="00E14649"/>
    <w:rsid w:val="00E147B4"/>
    <w:rsid w:val="00E14824"/>
    <w:rsid w:val="00E14D3D"/>
    <w:rsid w:val="00E15116"/>
    <w:rsid w:val="00E153A2"/>
    <w:rsid w:val="00E16504"/>
    <w:rsid w:val="00E16E42"/>
    <w:rsid w:val="00E17290"/>
    <w:rsid w:val="00E17B24"/>
    <w:rsid w:val="00E17EA4"/>
    <w:rsid w:val="00E20667"/>
    <w:rsid w:val="00E20D73"/>
    <w:rsid w:val="00E21305"/>
    <w:rsid w:val="00E2155B"/>
    <w:rsid w:val="00E2176E"/>
    <w:rsid w:val="00E21AA0"/>
    <w:rsid w:val="00E21B7B"/>
    <w:rsid w:val="00E2241F"/>
    <w:rsid w:val="00E22827"/>
    <w:rsid w:val="00E23312"/>
    <w:rsid w:val="00E244ED"/>
    <w:rsid w:val="00E2457D"/>
    <w:rsid w:val="00E24D51"/>
    <w:rsid w:val="00E25A73"/>
    <w:rsid w:val="00E25C16"/>
    <w:rsid w:val="00E2656A"/>
    <w:rsid w:val="00E26FB5"/>
    <w:rsid w:val="00E27676"/>
    <w:rsid w:val="00E278EA"/>
    <w:rsid w:val="00E303AD"/>
    <w:rsid w:val="00E30B55"/>
    <w:rsid w:val="00E30C81"/>
    <w:rsid w:val="00E30F74"/>
    <w:rsid w:val="00E3101B"/>
    <w:rsid w:val="00E31216"/>
    <w:rsid w:val="00E31372"/>
    <w:rsid w:val="00E321A7"/>
    <w:rsid w:val="00E3254B"/>
    <w:rsid w:val="00E32637"/>
    <w:rsid w:val="00E32DFC"/>
    <w:rsid w:val="00E3374D"/>
    <w:rsid w:val="00E33E04"/>
    <w:rsid w:val="00E34548"/>
    <w:rsid w:val="00E354D1"/>
    <w:rsid w:val="00E35C9A"/>
    <w:rsid w:val="00E35ED6"/>
    <w:rsid w:val="00E36815"/>
    <w:rsid w:val="00E368A7"/>
    <w:rsid w:val="00E36C21"/>
    <w:rsid w:val="00E376AC"/>
    <w:rsid w:val="00E3791F"/>
    <w:rsid w:val="00E37ADF"/>
    <w:rsid w:val="00E410B2"/>
    <w:rsid w:val="00E41251"/>
    <w:rsid w:val="00E412D0"/>
    <w:rsid w:val="00E415CB"/>
    <w:rsid w:val="00E41965"/>
    <w:rsid w:val="00E41AC3"/>
    <w:rsid w:val="00E41B75"/>
    <w:rsid w:val="00E41E99"/>
    <w:rsid w:val="00E424D8"/>
    <w:rsid w:val="00E427A9"/>
    <w:rsid w:val="00E43D9A"/>
    <w:rsid w:val="00E445A1"/>
    <w:rsid w:val="00E44BB7"/>
    <w:rsid w:val="00E45ACA"/>
    <w:rsid w:val="00E47785"/>
    <w:rsid w:val="00E47FB6"/>
    <w:rsid w:val="00E50DBD"/>
    <w:rsid w:val="00E5115A"/>
    <w:rsid w:val="00E51578"/>
    <w:rsid w:val="00E51F82"/>
    <w:rsid w:val="00E5272E"/>
    <w:rsid w:val="00E536E3"/>
    <w:rsid w:val="00E54260"/>
    <w:rsid w:val="00E547C4"/>
    <w:rsid w:val="00E54FDE"/>
    <w:rsid w:val="00E55337"/>
    <w:rsid w:val="00E56005"/>
    <w:rsid w:val="00E56322"/>
    <w:rsid w:val="00E57895"/>
    <w:rsid w:val="00E60030"/>
    <w:rsid w:val="00E60982"/>
    <w:rsid w:val="00E60B00"/>
    <w:rsid w:val="00E6106C"/>
    <w:rsid w:val="00E6181D"/>
    <w:rsid w:val="00E6257A"/>
    <w:rsid w:val="00E62C62"/>
    <w:rsid w:val="00E62E47"/>
    <w:rsid w:val="00E63605"/>
    <w:rsid w:val="00E637F8"/>
    <w:rsid w:val="00E641E2"/>
    <w:rsid w:val="00E6490C"/>
    <w:rsid w:val="00E654C1"/>
    <w:rsid w:val="00E654E6"/>
    <w:rsid w:val="00E65927"/>
    <w:rsid w:val="00E65D97"/>
    <w:rsid w:val="00E65F32"/>
    <w:rsid w:val="00E66610"/>
    <w:rsid w:val="00E672FB"/>
    <w:rsid w:val="00E70275"/>
    <w:rsid w:val="00E70A8F"/>
    <w:rsid w:val="00E70C8A"/>
    <w:rsid w:val="00E70EC2"/>
    <w:rsid w:val="00E70F2B"/>
    <w:rsid w:val="00E721B3"/>
    <w:rsid w:val="00E72A5A"/>
    <w:rsid w:val="00E73354"/>
    <w:rsid w:val="00E733F2"/>
    <w:rsid w:val="00E73894"/>
    <w:rsid w:val="00E739E8"/>
    <w:rsid w:val="00E74261"/>
    <w:rsid w:val="00E7430D"/>
    <w:rsid w:val="00E744E9"/>
    <w:rsid w:val="00E76A51"/>
    <w:rsid w:val="00E77110"/>
    <w:rsid w:val="00E773AA"/>
    <w:rsid w:val="00E774D5"/>
    <w:rsid w:val="00E77898"/>
    <w:rsid w:val="00E8076B"/>
    <w:rsid w:val="00E81005"/>
    <w:rsid w:val="00E81326"/>
    <w:rsid w:val="00E82FCB"/>
    <w:rsid w:val="00E83EC0"/>
    <w:rsid w:val="00E84168"/>
    <w:rsid w:val="00E843A5"/>
    <w:rsid w:val="00E844A0"/>
    <w:rsid w:val="00E84660"/>
    <w:rsid w:val="00E84B55"/>
    <w:rsid w:val="00E84B7E"/>
    <w:rsid w:val="00E85227"/>
    <w:rsid w:val="00E8603F"/>
    <w:rsid w:val="00E87AD4"/>
    <w:rsid w:val="00E87BA2"/>
    <w:rsid w:val="00E90572"/>
    <w:rsid w:val="00E90E50"/>
    <w:rsid w:val="00E913FE"/>
    <w:rsid w:val="00E91470"/>
    <w:rsid w:val="00E9242D"/>
    <w:rsid w:val="00E92DB5"/>
    <w:rsid w:val="00E93CE1"/>
    <w:rsid w:val="00E94499"/>
    <w:rsid w:val="00E9460F"/>
    <w:rsid w:val="00E94F58"/>
    <w:rsid w:val="00E96296"/>
    <w:rsid w:val="00E96804"/>
    <w:rsid w:val="00E96CE1"/>
    <w:rsid w:val="00EA089C"/>
    <w:rsid w:val="00EA099D"/>
    <w:rsid w:val="00EA0E05"/>
    <w:rsid w:val="00EA13B3"/>
    <w:rsid w:val="00EA30EF"/>
    <w:rsid w:val="00EA4951"/>
    <w:rsid w:val="00EA6369"/>
    <w:rsid w:val="00EA69D8"/>
    <w:rsid w:val="00EA759F"/>
    <w:rsid w:val="00EB0D0C"/>
    <w:rsid w:val="00EB17F7"/>
    <w:rsid w:val="00EB1BCF"/>
    <w:rsid w:val="00EB261A"/>
    <w:rsid w:val="00EB281A"/>
    <w:rsid w:val="00EB2887"/>
    <w:rsid w:val="00EB2A06"/>
    <w:rsid w:val="00EB31AE"/>
    <w:rsid w:val="00EB5035"/>
    <w:rsid w:val="00EB5255"/>
    <w:rsid w:val="00EB5BA9"/>
    <w:rsid w:val="00EB5BBC"/>
    <w:rsid w:val="00EB5C47"/>
    <w:rsid w:val="00EB6DA0"/>
    <w:rsid w:val="00EB7028"/>
    <w:rsid w:val="00EB7BD3"/>
    <w:rsid w:val="00EB7C3A"/>
    <w:rsid w:val="00EB7DA8"/>
    <w:rsid w:val="00EC00A6"/>
    <w:rsid w:val="00EC05AF"/>
    <w:rsid w:val="00EC05B3"/>
    <w:rsid w:val="00EC0751"/>
    <w:rsid w:val="00EC0B3F"/>
    <w:rsid w:val="00EC1DB4"/>
    <w:rsid w:val="00EC289A"/>
    <w:rsid w:val="00EC29A5"/>
    <w:rsid w:val="00EC39D2"/>
    <w:rsid w:val="00EC41FE"/>
    <w:rsid w:val="00EC42ED"/>
    <w:rsid w:val="00EC4475"/>
    <w:rsid w:val="00EC511B"/>
    <w:rsid w:val="00EC52C6"/>
    <w:rsid w:val="00EC5837"/>
    <w:rsid w:val="00EC5898"/>
    <w:rsid w:val="00EC58DC"/>
    <w:rsid w:val="00EC5914"/>
    <w:rsid w:val="00EC6066"/>
    <w:rsid w:val="00EC68C9"/>
    <w:rsid w:val="00EC6AAD"/>
    <w:rsid w:val="00EC6D1A"/>
    <w:rsid w:val="00EC6FB0"/>
    <w:rsid w:val="00EC7187"/>
    <w:rsid w:val="00EC79CA"/>
    <w:rsid w:val="00EC7B3B"/>
    <w:rsid w:val="00ED038D"/>
    <w:rsid w:val="00ED0639"/>
    <w:rsid w:val="00ED1309"/>
    <w:rsid w:val="00ED15F9"/>
    <w:rsid w:val="00ED1C0D"/>
    <w:rsid w:val="00ED261B"/>
    <w:rsid w:val="00ED27CA"/>
    <w:rsid w:val="00ED3037"/>
    <w:rsid w:val="00ED37D5"/>
    <w:rsid w:val="00ED3805"/>
    <w:rsid w:val="00ED41B0"/>
    <w:rsid w:val="00ED42A2"/>
    <w:rsid w:val="00ED5B97"/>
    <w:rsid w:val="00ED61D6"/>
    <w:rsid w:val="00ED690D"/>
    <w:rsid w:val="00ED6F90"/>
    <w:rsid w:val="00ED77E0"/>
    <w:rsid w:val="00ED7A7C"/>
    <w:rsid w:val="00EE0392"/>
    <w:rsid w:val="00EE09A3"/>
    <w:rsid w:val="00EE0B6A"/>
    <w:rsid w:val="00EE11F0"/>
    <w:rsid w:val="00EE1897"/>
    <w:rsid w:val="00EE1F15"/>
    <w:rsid w:val="00EE237B"/>
    <w:rsid w:val="00EE32DD"/>
    <w:rsid w:val="00EE4076"/>
    <w:rsid w:val="00EE520D"/>
    <w:rsid w:val="00EE53D5"/>
    <w:rsid w:val="00EE5D73"/>
    <w:rsid w:val="00EE6538"/>
    <w:rsid w:val="00EE662D"/>
    <w:rsid w:val="00EE6E9A"/>
    <w:rsid w:val="00EE7166"/>
    <w:rsid w:val="00EE7494"/>
    <w:rsid w:val="00EE751A"/>
    <w:rsid w:val="00EE7EBC"/>
    <w:rsid w:val="00EF07C7"/>
    <w:rsid w:val="00EF13D9"/>
    <w:rsid w:val="00EF1CCF"/>
    <w:rsid w:val="00EF2924"/>
    <w:rsid w:val="00EF2BB3"/>
    <w:rsid w:val="00EF374F"/>
    <w:rsid w:val="00EF3EC4"/>
    <w:rsid w:val="00EF3EDB"/>
    <w:rsid w:val="00EF4755"/>
    <w:rsid w:val="00EF4A02"/>
    <w:rsid w:val="00EF54EB"/>
    <w:rsid w:val="00EF5A9C"/>
    <w:rsid w:val="00EF5D74"/>
    <w:rsid w:val="00EF680B"/>
    <w:rsid w:val="00EF6863"/>
    <w:rsid w:val="00EF7135"/>
    <w:rsid w:val="00EF7336"/>
    <w:rsid w:val="00EF7C0A"/>
    <w:rsid w:val="00EF7D66"/>
    <w:rsid w:val="00F00107"/>
    <w:rsid w:val="00F008C3"/>
    <w:rsid w:val="00F019EA"/>
    <w:rsid w:val="00F01F17"/>
    <w:rsid w:val="00F027B2"/>
    <w:rsid w:val="00F027DB"/>
    <w:rsid w:val="00F02DF3"/>
    <w:rsid w:val="00F030AD"/>
    <w:rsid w:val="00F034AF"/>
    <w:rsid w:val="00F03576"/>
    <w:rsid w:val="00F04B7C"/>
    <w:rsid w:val="00F055DE"/>
    <w:rsid w:val="00F058F0"/>
    <w:rsid w:val="00F076D0"/>
    <w:rsid w:val="00F07A29"/>
    <w:rsid w:val="00F07D2C"/>
    <w:rsid w:val="00F1058C"/>
    <w:rsid w:val="00F10BEF"/>
    <w:rsid w:val="00F10C62"/>
    <w:rsid w:val="00F11034"/>
    <w:rsid w:val="00F11077"/>
    <w:rsid w:val="00F112F3"/>
    <w:rsid w:val="00F12854"/>
    <w:rsid w:val="00F138F7"/>
    <w:rsid w:val="00F1398C"/>
    <w:rsid w:val="00F13C93"/>
    <w:rsid w:val="00F13E31"/>
    <w:rsid w:val="00F14A7A"/>
    <w:rsid w:val="00F14D8E"/>
    <w:rsid w:val="00F15307"/>
    <w:rsid w:val="00F1655F"/>
    <w:rsid w:val="00F203D9"/>
    <w:rsid w:val="00F20895"/>
    <w:rsid w:val="00F211F0"/>
    <w:rsid w:val="00F22333"/>
    <w:rsid w:val="00F22985"/>
    <w:rsid w:val="00F236A5"/>
    <w:rsid w:val="00F23C97"/>
    <w:rsid w:val="00F23D74"/>
    <w:rsid w:val="00F23E83"/>
    <w:rsid w:val="00F24F39"/>
    <w:rsid w:val="00F25678"/>
    <w:rsid w:val="00F25F77"/>
    <w:rsid w:val="00F262EC"/>
    <w:rsid w:val="00F2660E"/>
    <w:rsid w:val="00F27680"/>
    <w:rsid w:val="00F3055C"/>
    <w:rsid w:val="00F30575"/>
    <w:rsid w:val="00F312DA"/>
    <w:rsid w:val="00F32015"/>
    <w:rsid w:val="00F32456"/>
    <w:rsid w:val="00F32506"/>
    <w:rsid w:val="00F32A1A"/>
    <w:rsid w:val="00F332A6"/>
    <w:rsid w:val="00F337CD"/>
    <w:rsid w:val="00F3383E"/>
    <w:rsid w:val="00F339EA"/>
    <w:rsid w:val="00F34B3C"/>
    <w:rsid w:val="00F34D2B"/>
    <w:rsid w:val="00F3525A"/>
    <w:rsid w:val="00F360EE"/>
    <w:rsid w:val="00F3638E"/>
    <w:rsid w:val="00F366A9"/>
    <w:rsid w:val="00F36A68"/>
    <w:rsid w:val="00F36EDA"/>
    <w:rsid w:val="00F37EE9"/>
    <w:rsid w:val="00F40A95"/>
    <w:rsid w:val="00F411AA"/>
    <w:rsid w:val="00F41643"/>
    <w:rsid w:val="00F416F9"/>
    <w:rsid w:val="00F41AB9"/>
    <w:rsid w:val="00F42107"/>
    <w:rsid w:val="00F42DE7"/>
    <w:rsid w:val="00F43850"/>
    <w:rsid w:val="00F43CBB"/>
    <w:rsid w:val="00F442CE"/>
    <w:rsid w:val="00F446BE"/>
    <w:rsid w:val="00F44EFF"/>
    <w:rsid w:val="00F451B3"/>
    <w:rsid w:val="00F45280"/>
    <w:rsid w:val="00F45430"/>
    <w:rsid w:val="00F45554"/>
    <w:rsid w:val="00F45558"/>
    <w:rsid w:val="00F456AE"/>
    <w:rsid w:val="00F4642A"/>
    <w:rsid w:val="00F465A7"/>
    <w:rsid w:val="00F465B1"/>
    <w:rsid w:val="00F47A3F"/>
    <w:rsid w:val="00F50B7C"/>
    <w:rsid w:val="00F518AB"/>
    <w:rsid w:val="00F51CB3"/>
    <w:rsid w:val="00F51CC8"/>
    <w:rsid w:val="00F52B59"/>
    <w:rsid w:val="00F52D59"/>
    <w:rsid w:val="00F53838"/>
    <w:rsid w:val="00F53D90"/>
    <w:rsid w:val="00F541A7"/>
    <w:rsid w:val="00F54237"/>
    <w:rsid w:val="00F54F71"/>
    <w:rsid w:val="00F550E6"/>
    <w:rsid w:val="00F56651"/>
    <w:rsid w:val="00F56B9B"/>
    <w:rsid w:val="00F60C17"/>
    <w:rsid w:val="00F62D1B"/>
    <w:rsid w:val="00F63803"/>
    <w:rsid w:val="00F63942"/>
    <w:rsid w:val="00F64513"/>
    <w:rsid w:val="00F6476D"/>
    <w:rsid w:val="00F657BC"/>
    <w:rsid w:val="00F66751"/>
    <w:rsid w:val="00F66E5B"/>
    <w:rsid w:val="00F67766"/>
    <w:rsid w:val="00F67A94"/>
    <w:rsid w:val="00F67BBA"/>
    <w:rsid w:val="00F7061A"/>
    <w:rsid w:val="00F71F3F"/>
    <w:rsid w:val="00F7238A"/>
    <w:rsid w:val="00F731ED"/>
    <w:rsid w:val="00F73452"/>
    <w:rsid w:val="00F73E53"/>
    <w:rsid w:val="00F74345"/>
    <w:rsid w:val="00F748C5"/>
    <w:rsid w:val="00F749E3"/>
    <w:rsid w:val="00F74BC4"/>
    <w:rsid w:val="00F74F57"/>
    <w:rsid w:val="00F76095"/>
    <w:rsid w:val="00F76363"/>
    <w:rsid w:val="00F7652E"/>
    <w:rsid w:val="00F77780"/>
    <w:rsid w:val="00F77AF2"/>
    <w:rsid w:val="00F77B61"/>
    <w:rsid w:val="00F77EF4"/>
    <w:rsid w:val="00F80A0A"/>
    <w:rsid w:val="00F80CF6"/>
    <w:rsid w:val="00F81BFD"/>
    <w:rsid w:val="00F81C97"/>
    <w:rsid w:val="00F82690"/>
    <w:rsid w:val="00F82B19"/>
    <w:rsid w:val="00F82CEB"/>
    <w:rsid w:val="00F82D98"/>
    <w:rsid w:val="00F833BC"/>
    <w:rsid w:val="00F87672"/>
    <w:rsid w:val="00F8775E"/>
    <w:rsid w:val="00F912DD"/>
    <w:rsid w:val="00F920E4"/>
    <w:rsid w:val="00F9212D"/>
    <w:rsid w:val="00F92157"/>
    <w:rsid w:val="00F92225"/>
    <w:rsid w:val="00F930D1"/>
    <w:rsid w:val="00F936A6"/>
    <w:rsid w:val="00F937C3"/>
    <w:rsid w:val="00F937DE"/>
    <w:rsid w:val="00F93ABB"/>
    <w:rsid w:val="00F93C5A"/>
    <w:rsid w:val="00F94AD1"/>
    <w:rsid w:val="00F965DA"/>
    <w:rsid w:val="00F96B44"/>
    <w:rsid w:val="00F96FE9"/>
    <w:rsid w:val="00F97A67"/>
    <w:rsid w:val="00F97CE6"/>
    <w:rsid w:val="00FA020C"/>
    <w:rsid w:val="00FA0320"/>
    <w:rsid w:val="00FA048F"/>
    <w:rsid w:val="00FA0CCD"/>
    <w:rsid w:val="00FA11BD"/>
    <w:rsid w:val="00FA266D"/>
    <w:rsid w:val="00FA26D6"/>
    <w:rsid w:val="00FA2A79"/>
    <w:rsid w:val="00FA2BD2"/>
    <w:rsid w:val="00FA2CAA"/>
    <w:rsid w:val="00FA35FA"/>
    <w:rsid w:val="00FA406A"/>
    <w:rsid w:val="00FA43D9"/>
    <w:rsid w:val="00FA442C"/>
    <w:rsid w:val="00FA4B1A"/>
    <w:rsid w:val="00FA4CA2"/>
    <w:rsid w:val="00FA5580"/>
    <w:rsid w:val="00FA6823"/>
    <w:rsid w:val="00FA699A"/>
    <w:rsid w:val="00FA70C9"/>
    <w:rsid w:val="00FA7822"/>
    <w:rsid w:val="00FB01F8"/>
    <w:rsid w:val="00FB0653"/>
    <w:rsid w:val="00FB0875"/>
    <w:rsid w:val="00FB124A"/>
    <w:rsid w:val="00FB1501"/>
    <w:rsid w:val="00FB224E"/>
    <w:rsid w:val="00FB2ADD"/>
    <w:rsid w:val="00FB313E"/>
    <w:rsid w:val="00FB372F"/>
    <w:rsid w:val="00FB394B"/>
    <w:rsid w:val="00FB4D3B"/>
    <w:rsid w:val="00FB503A"/>
    <w:rsid w:val="00FB516C"/>
    <w:rsid w:val="00FB5196"/>
    <w:rsid w:val="00FB522A"/>
    <w:rsid w:val="00FB5D32"/>
    <w:rsid w:val="00FB6156"/>
    <w:rsid w:val="00FB6B08"/>
    <w:rsid w:val="00FB6D79"/>
    <w:rsid w:val="00FB711A"/>
    <w:rsid w:val="00FB76C6"/>
    <w:rsid w:val="00FB774A"/>
    <w:rsid w:val="00FB7D8A"/>
    <w:rsid w:val="00FC0A3E"/>
    <w:rsid w:val="00FC0BEA"/>
    <w:rsid w:val="00FC2244"/>
    <w:rsid w:val="00FC31F4"/>
    <w:rsid w:val="00FC5983"/>
    <w:rsid w:val="00FC5D72"/>
    <w:rsid w:val="00FC67C5"/>
    <w:rsid w:val="00FC6A04"/>
    <w:rsid w:val="00FC74B0"/>
    <w:rsid w:val="00FC7694"/>
    <w:rsid w:val="00FC7750"/>
    <w:rsid w:val="00FC7F87"/>
    <w:rsid w:val="00FD0236"/>
    <w:rsid w:val="00FD04FA"/>
    <w:rsid w:val="00FD0FD2"/>
    <w:rsid w:val="00FD136E"/>
    <w:rsid w:val="00FD15A9"/>
    <w:rsid w:val="00FD18F4"/>
    <w:rsid w:val="00FD2F6B"/>
    <w:rsid w:val="00FD34BC"/>
    <w:rsid w:val="00FD37AA"/>
    <w:rsid w:val="00FD3AC2"/>
    <w:rsid w:val="00FD4234"/>
    <w:rsid w:val="00FD4488"/>
    <w:rsid w:val="00FD4508"/>
    <w:rsid w:val="00FD4B39"/>
    <w:rsid w:val="00FD54DB"/>
    <w:rsid w:val="00FD5DFB"/>
    <w:rsid w:val="00FD5F2D"/>
    <w:rsid w:val="00FD619F"/>
    <w:rsid w:val="00FD64E0"/>
    <w:rsid w:val="00FD6544"/>
    <w:rsid w:val="00FD6DAB"/>
    <w:rsid w:val="00FD6F59"/>
    <w:rsid w:val="00FD7026"/>
    <w:rsid w:val="00FD7530"/>
    <w:rsid w:val="00FD76AF"/>
    <w:rsid w:val="00FD7B45"/>
    <w:rsid w:val="00FE2457"/>
    <w:rsid w:val="00FE2684"/>
    <w:rsid w:val="00FE2DC9"/>
    <w:rsid w:val="00FE3586"/>
    <w:rsid w:val="00FE5173"/>
    <w:rsid w:val="00FE5355"/>
    <w:rsid w:val="00FE6F7D"/>
    <w:rsid w:val="00FE70A4"/>
    <w:rsid w:val="00FE76FF"/>
    <w:rsid w:val="00FE78ED"/>
    <w:rsid w:val="00FE7BBC"/>
    <w:rsid w:val="00FF04AD"/>
    <w:rsid w:val="00FF0D93"/>
    <w:rsid w:val="00FF0FA3"/>
    <w:rsid w:val="00FF1C7F"/>
    <w:rsid w:val="00FF1CD7"/>
    <w:rsid w:val="00FF20DD"/>
    <w:rsid w:val="00FF3138"/>
    <w:rsid w:val="00FF338F"/>
    <w:rsid w:val="00FF35F9"/>
    <w:rsid w:val="00FF3A79"/>
    <w:rsid w:val="00FF3BE5"/>
    <w:rsid w:val="00FF423A"/>
    <w:rsid w:val="00FF44B9"/>
    <w:rsid w:val="00FF4822"/>
    <w:rsid w:val="00FF53E6"/>
    <w:rsid w:val="00FF58F3"/>
    <w:rsid w:val="00FF5ADD"/>
    <w:rsid w:val="00FF5C87"/>
    <w:rsid w:val="00FF604A"/>
    <w:rsid w:val="00FF6E31"/>
    <w:rsid w:val="00FF784E"/>
    <w:rsid w:val="00FF787E"/>
    <w:rsid w:val="00FF7C86"/>
    <w:rsid w:val="01290F7E"/>
    <w:rsid w:val="014829DE"/>
    <w:rsid w:val="015D1E09"/>
    <w:rsid w:val="017017EF"/>
    <w:rsid w:val="017B08BC"/>
    <w:rsid w:val="01AA41A0"/>
    <w:rsid w:val="023312BD"/>
    <w:rsid w:val="025729DE"/>
    <w:rsid w:val="025C26F8"/>
    <w:rsid w:val="02697903"/>
    <w:rsid w:val="02F96569"/>
    <w:rsid w:val="030B6FF1"/>
    <w:rsid w:val="03EA7B21"/>
    <w:rsid w:val="04141034"/>
    <w:rsid w:val="04AA413D"/>
    <w:rsid w:val="056343AB"/>
    <w:rsid w:val="05DF316D"/>
    <w:rsid w:val="05F83EAE"/>
    <w:rsid w:val="063E7D85"/>
    <w:rsid w:val="069D6CEF"/>
    <w:rsid w:val="070219FF"/>
    <w:rsid w:val="0713199A"/>
    <w:rsid w:val="07293586"/>
    <w:rsid w:val="07295285"/>
    <w:rsid w:val="07394B3A"/>
    <w:rsid w:val="07636392"/>
    <w:rsid w:val="07770C56"/>
    <w:rsid w:val="08690AB5"/>
    <w:rsid w:val="08D54D5D"/>
    <w:rsid w:val="092217DD"/>
    <w:rsid w:val="093A7294"/>
    <w:rsid w:val="0A263993"/>
    <w:rsid w:val="0A2D3AC2"/>
    <w:rsid w:val="0A540297"/>
    <w:rsid w:val="0AA755DF"/>
    <w:rsid w:val="0AE41970"/>
    <w:rsid w:val="0B064214"/>
    <w:rsid w:val="0B120D44"/>
    <w:rsid w:val="0BA82C4E"/>
    <w:rsid w:val="0BD27BF6"/>
    <w:rsid w:val="0C3B3C7D"/>
    <w:rsid w:val="0CA745C4"/>
    <w:rsid w:val="0CAB2EAE"/>
    <w:rsid w:val="0D621C7D"/>
    <w:rsid w:val="0E327634"/>
    <w:rsid w:val="0E56100F"/>
    <w:rsid w:val="0E73034D"/>
    <w:rsid w:val="0E87696B"/>
    <w:rsid w:val="0F13775A"/>
    <w:rsid w:val="0F5F45FE"/>
    <w:rsid w:val="0F9A112B"/>
    <w:rsid w:val="106D2F64"/>
    <w:rsid w:val="108152C4"/>
    <w:rsid w:val="10B63710"/>
    <w:rsid w:val="10F10820"/>
    <w:rsid w:val="111227EF"/>
    <w:rsid w:val="111C2F7A"/>
    <w:rsid w:val="11665CA1"/>
    <w:rsid w:val="11E47AE1"/>
    <w:rsid w:val="12372F05"/>
    <w:rsid w:val="133C1F46"/>
    <w:rsid w:val="13434F53"/>
    <w:rsid w:val="13951726"/>
    <w:rsid w:val="13B050C2"/>
    <w:rsid w:val="13E53A33"/>
    <w:rsid w:val="14235DB3"/>
    <w:rsid w:val="14396509"/>
    <w:rsid w:val="1483713B"/>
    <w:rsid w:val="14924897"/>
    <w:rsid w:val="14AB1989"/>
    <w:rsid w:val="14D579ED"/>
    <w:rsid w:val="14DD2C3C"/>
    <w:rsid w:val="15B52312"/>
    <w:rsid w:val="15B75E38"/>
    <w:rsid w:val="16087E1D"/>
    <w:rsid w:val="160D5E69"/>
    <w:rsid w:val="163F02B7"/>
    <w:rsid w:val="16A10282"/>
    <w:rsid w:val="16CD60F0"/>
    <w:rsid w:val="17701D14"/>
    <w:rsid w:val="17735226"/>
    <w:rsid w:val="17966BC5"/>
    <w:rsid w:val="17BC0000"/>
    <w:rsid w:val="17D70E47"/>
    <w:rsid w:val="18055854"/>
    <w:rsid w:val="189F624C"/>
    <w:rsid w:val="1916274B"/>
    <w:rsid w:val="196F2E7C"/>
    <w:rsid w:val="199D10C1"/>
    <w:rsid w:val="1A1C66C0"/>
    <w:rsid w:val="1A42393B"/>
    <w:rsid w:val="1A762B49"/>
    <w:rsid w:val="1AAD45DE"/>
    <w:rsid w:val="1B046F80"/>
    <w:rsid w:val="1B132036"/>
    <w:rsid w:val="1B3267B5"/>
    <w:rsid w:val="1B40161D"/>
    <w:rsid w:val="1B441859"/>
    <w:rsid w:val="1B6606B1"/>
    <w:rsid w:val="1BA05747"/>
    <w:rsid w:val="1BCB31E8"/>
    <w:rsid w:val="1BCD5D41"/>
    <w:rsid w:val="1C2C4126"/>
    <w:rsid w:val="1C5E7925"/>
    <w:rsid w:val="1CA741C6"/>
    <w:rsid w:val="1CC525A9"/>
    <w:rsid w:val="1CFD070F"/>
    <w:rsid w:val="1D3A5FA0"/>
    <w:rsid w:val="1D5F6196"/>
    <w:rsid w:val="1D6132A5"/>
    <w:rsid w:val="1D8E56D5"/>
    <w:rsid w:val="1E4A5D6E"/>
    <w:rsid w:val="1E7A43DA"/>
    <w:rsid w:val="1F8C3D44"/>
    <w:rsid w:val="1FE7539E"/>
    <w:rsid w:val="20671BE0"/>
    <w:rsid w:val="20963CB8"/>
    <w:rsid w:val="20A81A1B"/>
    <w:rsid w:val="20B07FB6"/>
    <w:rsid w:val="20B646FB"/>
    <w:rsid w:val="213B74B1"/>
    <w:rsid w:val="215A2310"/>
    <w:rsid w:val="21C008F4"/>
    <w:rsid w:val="21DE318A"/>
    <w:rsid w:val="21EF5B80"/>
    <w:rsid w:val="22371B75"/>
    <w:rsid w:val="22576990"/>
    <w:rsid w:val="22C54C37"/>
    <w:rsid w:val="22F47480"/>
    <w:rsid w:val="233D61CB"/>
    <w:rsid w:val="23881E70"/>
    <w:rsid w:val="23DE1C48"/>
    <w:rsid w:val="23E4429A"/>
    <w:rsid w:val="240210CD"/>
    <w:rsid w:val="240532D8"/>
    <w:rsid w:val="24BF09F7"/>
    <w:rsid w:val="24C27D10"/>
    <w:rsid w:val="252D53FE"/>
    <w:rsid w:val="25EC2D81"/>
    <w:rsid w:val="25F322D3"/>
    <w:rsid w:val="2609393A"/>
    <w:rsid w:val="261B7287"/>
    <w:rsid w:val="268D3B4C"/>
    <w:rsid w:val="26ED171C"/>
    <w:rsid w:val="277057A2"/>
    <w:rsid w:val="279A6E1E"/>
    <w:rsid w:val="27E92957"/>
    <w:rsid w:val="29206EB8"/>
    <w:rsid w:val="29595666"/>
    <w:rsid w:val="29874881"/>
    <w:rsid w:val="29D32B59"/>
    <w:rsid w:val="29E325E0"/>
    <w:rsid w:val="2A452503"/>
    <w:rsid w:val="2ABF68F9"/>
    <w:rsid w:val="2B1549FC"/>
    <w:rsid w:val="2B2F1C18"/>
    <w:rsid w:val="2B751A36"/>
    <w:rsid w:val="2BA936A8"/>
    <w:rsid w:val="2BB43A74"/>
    <w:rsid w:val="2C315A5A"/>
    <w:rsid w:val="2C4B1C25"/>
    <w:rsid w:val="2C5E34E4"/>
    <w:rsid w:val="2C740D8A"/>
    <w:rsid w:val="2D170E42"/>
    <w:rsid w:val="2D5062DF"/>
    <w:rsid w:val="2D9E56F5"/>
    <w:rsid w:val="2DE46C3D"/>
    <w:rsid w:val="2E5D57D9"/>
    <w:rsid w:val="2E667F96"/>
    <w:rsid w:val="2E8226AB"/>
    <w:rsid w:val="2ECC29D0"/>
    <w:rsid w:val="2FD065E6"/>
    <w:rsid w:val="2FD96870"/>
    <w:rsid w:val="301377D6"/>
    <w:rsid w:val="30580BC9"/>
    <w:rsid w:val="30632C33"/>
    <w:rsid w:val="30DA3857"/>
    <w:rsid w:val="311E2ED7"/>
    <w:rsid w:val="315619EE"/>
    <w:rsid w:val="315C449C"/>
    <w:rsid w:val="31A16195"/>
    <w:rsid w:val="31B82709"/>
    <w:rsid w:val="31D05482"/>
    <w:rsid w:val="32065244"/>
    <w:rsid w:val="32400B34"/>
    <w:rsid w:val="32623A01"/>
    <w:rsid w:val="329E6876"/>
    <w:rsid w:val="32AB3B28"/>
    <w:rsid w:val="333015F2"/>
    <w:rsid w:val="334B6320"/>
    <w:rsid w:val="33667587"/>
    <w:rsid w:val="33D934D4"/>
    <w:rsid w:val="33FE2F6A"/>
    <w:rsid w:val="340E07E5"/>
    <w:rsid w:val="34235BF7"/>
    <w:rsid w:val="358C5FA8"/>
    <w:rsid w:val="35C15DF1"/>
    <w:rsid w:val="36074A7F"/>
    <w:rsid w:val="36923549"/>
    <w:rsid w:val="36B75FBF"/>
    <w:rsid w:val="36BD0C45"/>
    <w:rsid w:val="370154EA"/>
    <w:rsid w:val="373A5739"/>
    <w:rsid w:val="378E4631"/>
    <w:rsid w:val="37B502A5"/>
    <w:rsid w:val="37E00298"/>
    <w:rsid w:val="37E34BD0"/>
    <w:rsid w:val="386D0B7F"/>
    <w:rsid w:val="38B302F9"/>
    <w:rsid w:val="38E20AE5"/>
    <w:rsid w:val="38F12CD3"/>
    <w:rsid w:val="38F94775"/>
    <w:rsid w:val="392971ED"/>
    <w:rsid w:val="39325651"/>
    <w:rsid w:val="3A872856"/>
    <w:rsid w:val="3B3763D1"/>
    <w:rsid w:val="3C1E6247"/>
    <w:rsid w:val="3C2F6E1E"/>
    <w:rsid w:val="3C343181"/>
    <w:rsid w:val="3C4F64BA"/>
    <w:rsid w:val="3CB875B3"/>
    <w:rsid w:val="3CD3327B"/>
    <w:rsid w:val="3CDA245A"/>
    <w:rsid w:val="3D1E06B7"/>
    <w:rsid w:val="3D1F4E95"/>
    <w:rsid w:val="3D3E2948"/>
    <w:rsid w:val="3D52437F"/>
    <w:rsid w:val="3D650E15"/>
    <w:rsid w:val="3D792D63"/>
    <w:rsid w:val="3E1675C3"/>
    <w:rsid w:val="3E971F0C"/>
    <w:rsid w:val="3ECB0EFF"/>
    <w:rsid w:val="3EDA0523"/>
    <w:rsid w:val="402F7E95"/>
    <w:rsid w:val="40523A01"/>
    <w:rsid w:val="40524BC7"/>
    <w:rsid w:val="407A6407"/>
    <w:rsid w:val="41272F73"/>
    <w:rsid w:val="41B15F81"/>
    <w:rsid w:val="4200449D"/>
    <w:rsid w:val="421B6418"/>
    <w:rsid w:val="421C079C"/>
    <w:rsid w:val="423A3BCC"/>
    <w:rsid w:val="424E57D2"/>
    <w:rsid w:val="42B26C49"/>
    <w:rsid w:val="43011196"/>
    <w:rsid w:val="433A6FE6"/>
    <w:rsid w:val="43480868"/>
    <w:rsid w:val="4350713C"/>
    <w:rsid w:val="436653E0"/>
    <w:rsid w:val="43732BE4"/>
    <w:rsid w:val="43C4431A"/>
    <w:rsid w:val="43D16466"/>
    <w:rsid w:val="44B951CC"/>
    <w:rsid w:val="44CD14E0"/>
    <w:rsid w:val="44F20B0B"/>
    <w:rsid w:val="45073813"/>
    <w:rsid w:val="452E5F4C"/>
    <w:rsid w:val="45312A33"/>
    <w:rsid w:val="45612018"/>
    <w:rsid w:val="458946E9"/>
    <w:rsid w:val="45A47C0E"/>
    <w:rsid w:val="45DE130F"/>
    <w:rsid w:val="45F24D30"/>
    <w:rsid w:val="46577FD6"/>
    <w:rsid w:val="46CE3131"/>
    <w:rsid w:val="46D955A7"/>
    <w:rsid w:val="47133957"/>
    <w:rsid w:val="475E08ED"/>
    <w:rsid w:val="47A07E0C"/>
    <w:rsid w:val="47BB64CF"/>
    <w:rsid w:val="4853060B"/>
    <w:rsid w:val="4870272E"/>
    <w:rsid w:val="4899398B"/>
    <w:rsid w:val="48A30D9F"/>
    <w:rsid w:val="48E23031"/>
    <w:rsid w:val="49B52386"/>
    <w:rsid w:val="49DC7715"/>
    <w:rsid w:val="4A023139"/>
    <w:rsid w:val="4A7B576F"/>
    <w:rsid w:val="4AEA71B9"/>
    <w:rsid w:val="4AF561A9"/>
    <w:rsid w:val="4B825B09"/>
    <w:rsid w:val="4C4A0649"/>
    <w:rsid w:val="4C6022C9"/>
    <w:rsid w:val="4C6D2051"/>
    <w:rsid w:val="4C7E5ECA"/>
    <w:rsid w:val="4C876AA5"/>
    <w:rsid w:val="4D0E00FB"/>
    <w:rsid w:val="4D176606"/>
    <w:rsid w:val="4DD059E1"/>
    <w:rsid w:val="4DEC4FB0"/>
    <w:rsid w:val="4E075D8A"/>
    <w:rsid w:val="4E35235F"/>
    <w:rsid w:val="4EC00FAD"/>
    <w:rsid w:val="4EE52110"/>
    <w:rsid w:val="4EF31DBE"/>
    <w:rsid w:val="4F005E52"/>
    <w:rsid w:val="4F972091"/>
    <w:rsid w:val="4F9843DC"/>
    <w:rsid w:val="4FA45725"/>
    <w:rsid w:val="4FC62A8C"/>
    <w:rsid w:val="4FDA42FE"/>
    <w:rsid w:val="4FE20F0D"/>
    <w:rsid w:val="4FE51552"/>
    <w:rsid w:val="50504C4B"/>
    <w:rsid w:val="506F2177"/>
    <w:rsid w:val="50964CC0"/>
    <w:rsid w:val="509C6E7C"/>
    <w:rsid w:val="51170ACF"/>
    <w:rsid w:val="5162104E"/>
    <w:rsid w:val="516857A1"/>
    <w:rsid w:val="51A46558"/>
    <w:rsid w:val="522E206A"/>
    <w:rsid w:val="536A7678"/>
    <w:rsid w:val="537E11DC"/>
    <w:rsid w:val="53A039CC"/>
    <w:rsid w:val="53A1505A"/>
    <w:rsid w:val="54063E08"/>
    <w:rsid w:val="543437E8"/>
    <w:rsid w:val="54E36DF0"/>
    <w:rsid w:val="54EA5DED"/>
    <w:rsid w:val="54F73313"/>
    <w:rsid w:val="54F80955"/>
    <w:rsid w:val="54F94875"/>
    <w:rsid w:val="550C7E84"/>
    <w:rsid w:val="555170A7"/>
    <w:rsid w:val="5587536D"/>
    <w:rsid w:val="559B174B"/>
    <w:rsid w:val="55A26527"/>
    <w:rsid w:val="55A753E5"/>
    <w:rsid w:val="55CB2912"/>
    <w:rsid w:val="55CD7471"/>
    <w:rsid w:val="55CE0CF4"/>
    <w:rsid w:val="56B22A9C"/>
    <w:rsid w:val="56F33C78"/>
    <w:rsid w:val="57B72A76"/>
    <w:rsid w:val="57C3426C"/>
    <w:rsid w:val="57CE1F93"/>
    <w:rsid w:val="585B5D23"/>
    <w:rsid w:val="588743D1"/>
    <w:rsid w:val="5887701A"/>
    <w:rsid w:val="58BF4715"/>
    <w:rsid w:val="58D94234"/>
    <w:rsid w:val="592A73D0"/>
    <w:rsid w:val="59C0439F"/>
    <w:rsid w:val="5A834C9D"/>
    <w:rsid w:val="5ABE2233"/>
    <w:rsid w:val="5B294982"/>
    <w:rsid w:val="5B650D01"/>
    <w:rsid w:val="5BA109BC"/>
    <w:rsid w:val="5BA22ABE"/>
    <w:rsid w:val="5BAF68AD"/>
    <w:rsid w:val="5BD92BD6"/>
    <w:rsid w:val="5BDF5D95"/>
    <w:rsid w:val="5BE97886"/>
    <w:rsid w:val="5BFE7528"/>
    <w:rsid w:val="5C5A4F82"/>
    <w:rsid w:val="5D111BFB"/>
    <w:rsid w:val="5E093D52"/>
    <w:rsid w:val="5E19433A"/>
    <w:rsid w:val="5E2216D5"/>
    <w:rsid w:val="5E2467F1"/>
    <w:rsid w:val="5E895A5A"/>
    <w:rsid w:val="5E8A33A9"/>
    <w:rsid w:val="5ECF7958"/>
    <w:rsid w:val="5F1A2B43"/>
    <w:rsid w:val="5F4E49B7"/>
    <w:rsid w:val="5F524EE0"/>
    <w:rsid w:val="5F93100F"/>
    <w:rsid w:val="5FB837BB"/>
    <w:rsid w:val="607938A0"/>
    <w:rsid w:val="607D37A6"/>
    <w:rsid w:val="607E477E"/>
    <w:rsid w:val="60AD1BA9"/>
    <w:rsid w:val="60CC405A"/>
    <w:rsid w:val="60FF1ED4"/>
    <w:rsid w:val="61502980"/>
    <w:rsid w:val="61AB3594"/>
    <w:rsid w:val="61AE38C6"/>
    <w:rsid w:val="61C242DB"/>
    <w:rsid w:val="61D31936"/>
    <w:rsid w:val="61E215D8"/>
    <w:rsid w:val="61ED6278"/>
    <w:rsid w:val="621B3775"/>
    <w:rsid w:val="62364782"/>
    <w:rsid w:val="6394356A"/>
    <w:rsid w:val="63C61B2C"/>
    <w:rsid w:val="63C7693A"/>
    <w:rsid w:val="63D40BE9"/>
    <w:rsid w:val="64102431"/>
    <w:rsid w:val="642C037E"/>
    <w:rsid w:val="64705D66"/>
    <w:rsid w:val="64A5243A"/>
    <w:rsid w:val="64F531DE"/>
    <w:rsid w:val="65222CB5"/>
    <w:rsid w:val="65373578"/>
    <w:rsid w:val="65E81D10"/>
    <w:rsid w:val="66A51361"/>
    <w:rsid w:val="66CE27BB"/>
    <w:rsid w:val="671F124A"/>
    <w:rsid w:val="67292DDE"/>
    <w:rsid w:val="677A33C6"/>
    <w:rsid w:val="67D86452"/>
    <w:rsid w:val="681F6961"/>
    <w:rsid w:val="68610A2F"/>
    <w:rsid w:val="68805514"/>
    <w:rsid w:val="68EE5B83"/>
    <w:rsid w:val="69316E2F"/>
    <w:rsid w:val="694E2071"/>
    <w:rsid w:val="69766163"/>
    <w:rsid w:val="697A3B33"/>
    <w:rsid w:val="69D44760"/>
    <w:rsid w:val="6A426FDC"/>
    <w:rsid w:val="6A520EC7"/>
    <w:rsid w:val="6A554FAD"/>
    <w:rsid w:val="6AF87E20"/>
    <w:rsid w:val="6B322639"/>
    <w:rsid w:val="6C636C38"/>
    <w:rsid w:val="6D6C0302"/>
    <w:rsid w:val="6DB34098"/>
    <w:rsid w:val="6DB545B6"/>
    <w:rsid w:val="6DE02FB4"/>
    <w:rsid w:val="6E317125"/>
    <w:rsid w:val="6E411640"/>
    <w:rsid w:val="6E514CED"/>
    <w:rsid w:val="6E8638D6"/>
    <w:rsid w:val="6E8B7E7B"/>
    <w:rsid w:val="6EB563D5"/>
    <w:rsid w:val="6ED92677"/>
    <w:rsid w:val="6F03508A"/>
    <w:rsid w:val="6F225983"/>
    <w:rsid w:val="6F4A71DD"/>
    <w:rsid w:val="6F540CFD"/>
    <w:rsid w:val="6FC9735D"/>
    <w:rsid w:val="6FFB4121"/>
    <w:rsid w:val="6FFC5590"/>
    <w:rsid w:val="70391D0E"/>
    <w:rsid w:val="706D1DD0"/>
    <w:rsid w:val="70756859"/>
    <w:rsid w:val="70856B87"/>
    <w:rsid w:val="70D527EE"/>
    <w:rsid w:val="70E476CF"/>
    <w:rsid w:val="715B5300"/>
    <w:rsid w:val="71D27F8A"/>
    <w:rsid w:val="724203AC"/>
    <w:rsid w:val="72514F94"/>
    <w:rsid w:val="72553024"/>
    <w:rsid w:val="73122968"/>
    <w:rsid w:val="731F5D5E"/>
    <w:rsid w:val="73757888"/>
    <w:rsid w:val="73963D0F"/>
    <w:rsid w:val="73C51AD5"/>
    <w:rsid w:val="741E793C"/>
    <w:rsid w:val="745E3944"/>
    <w:rsid w:val="749F7A80"/>
    <w:rsid w:val="74C75E72"/>
    <w:rsid w:val="74E71DDF"/>
    <w:rsid w:val="750C0526"/>
    <w:rsid w:val="7635099D"/>
    <w:rsid w:val="771D3195"/>
    <w:rsid w:val="77762421"/>
    <w:rsid w:val="77B56B1F"/>
    <w:rsid w:val="77BC5FA5"/>
    <w:rsid w:val="77DA7BEA"/>
    <w:rsid w:val="780F09F4"/>
    <w:rsid w:val="782C7B2F"/>
    <w:rsid w:val="783F51C2"/>
    <w:rsid w:val="786E75AB"/>
    <w:rsid w:val="787F28A2"/>
    <w:rsid w:val="78A90480"/>
    <w:rsid w:val="79A90E8B"/>
    <w:rsid w:val="79CF4A29"/>
    <w:rsid w:val="7A364017"/>
    <w:rsid w:val="7A8265E1"/>
    <w:rsid w:val="7AA763EE"/>
    <w:rsid w:val="7B686D42"/>
    <w:rsid w:val="7B841746"/>
    <w:rsid w:val="7BE129E3"/>
    <w:rsid w:val="7C2C6367"/>
    <w:rsid w:val="7C55517F"/>
    <w:rsid w:val="7C6C5AC7"/>
    <w:rsid w:val="7C8C5F98"/>
    <w:rsid w:val="7CAD3E8C"/>
    <w:rsid w:val="7CC6544B"/>
    <w:rsid w:val="7D0239FF"/>
    <w:rsid w:val="7D3979D5"/>
    <w:rsid w:val="7D4E341B"/>
    <w:rsid w:val="7D5E40CD"/>
    <w:rsid w:val="7DCD56F2"/>
    <w:rsid w:val="7E9722B4"/>
    <w:rsid w:val="7F001CE7"/>
    <w:rsid w:val="7F231565"/>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qFormat="1"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iPriority="99"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iPriority="99" w:semiHidden="0" w:name="Hyperlink" w:locked="1"/>
    <w:lsdException w:unhideWhenUsed="0" w:uiPriority="0" w:semiHidden="0" w:name="FollowedHyperlink" w:locked="1"/>
    <w:lsdException w:qFormat="1" w:unhideWhenUsed="0" w:uiPriority="22" w:semiHidden="0" w:name="Strong" w:locked="1"/>
    <w:lsdException w:qFormat="1" w:unhideWhenUsed="0" w:uiPriority="0" w:semiHidden="0" w:name="Emphasis" w:locked="1"/>
    <w:lsdException w:qFormat="1" w:unhideWhenUsed="0" w:uiPriority="0" w:semiHidden="0" w:name="Document Map" w:locked="1"/>
    <w:lsdException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99"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4"/>
    <w:next w:val="1"/>
    <w:link w:val="104"/>
    <w:semiHidden/>
    <w:unhideWhenUsed/>
    <w:qFormat/>
    <w:locked/>
    <w:uiPriority w:val="0"/>
    <w:pPr>
      <w:keepNext/>
      <w:keepLines/>
      <w:spacing w:line="600" w:lineRule="exact"/>
      <w:ind w:firstLine="0"/>
      <w:jc w:val="left"/>
      <w:outlineLvl w:val="1"/>
    </w:pPr>
    <w:rPr>
      <w:b/>
      <w:sz w:val="28"/>
    </w:rPr>
  </w:style>
  <w:style w:type="paragraph" w:styleId="5">
    <w:name w:val="heading 3"/>
    <w:basedOn w:val="1"/>
    <w:next w:val="1"/>
    <w:link w:val="105"/>
    <w:qFormat/>
    <w:locked/>
    <w:uiPriority w:val="0"/>
    <w:pPr>
      <w:keepNext/>
      <w:spacing w:line="360" w:lineRule="auto"/>
      <w:outlineLvl w:val="2"/>
    </w:pPr>
    <w:rPr>
      <w:sz w:val="28"/>
    </w:rPr>
  </w:style>
  <w:style w:type="paragraph" w:styleId="6">
    <w:name w:val="heading 4"/>
    <w:basedOn w:val="1"/>
    <w:next w:val="1"/>
    <w:link w:val="113"/>
    <w:semiHidden/>
    <w:unhideWhenUsed/>
    <w:qFormat/>
    <w:locked/>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9">
    <w:name w:val="Default Paragraph Font"/>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locked/>
    <w:uiPriority w:val="0"/>
    <w:pPr>
      <w:spacing w:before="120" w:line="360" w:lineRule="auto"/>
      <w:ind w:firstLine="883" w:firstLineChars="200"/>
    </w:pPr>
    <w:rPr>
      <w:rFonts w:ascii="Arial" w:hAnsi="Arial" w:eastAsia="仿宋"/>
      <w:sz w:val="24"/>
    </w:rPr>
  </w:style>
  <w:style w:type="paragraph" w:styleId="7">
    <w:name w:val="Normal Indent"/>
    <w:basedOn w:val="1"/>
    <w:link w:val="80"/>
    <w:qFormat/>
    <w:locked/>
    <w:uiPriority w:val="0"/>
    <w:pPr>
      <w:spacing w:line="360" w:lineRule="auto"/>
      <w:ind w:firstLine="420" w:firstLineChars="200"/>
    </w:pPr>
    <w:rPr>
      <w:rFonts w:ascii="宋体" w:hAnsi="宋体"/>
      <w:kern w:val="0"/>
      <w:sz w:val="24"/>
    </w:rPr>
  </w:style>
  <w:style w:type="paragraph" w:styleId="8">
    <w:name w:val="caption"/>
    <w:basedOn w:val="1"/>
    <w:next w:val="1"/>
    <w:qFormat/>
    <w:locked/>
    <w:uiPriority w:val="0"/>
    <w:pPr>
      <w:adjustRightInd w:val="0"/>
      <w:snapToGrid w:val="0"/>
      <w:jc w:val="center"/>
    </w:pPr>
    <w:rPr>
      <w:b/>
      <w:sz w:val="24"/>
    </w:rPr>
  </w:style>
  <w:style w:type="paragraph" w:styleId="9">
    <w:name w:val="Document Map"/>
    <w:basedOn w:val="1"/>
    <w:link w:val="93"/>
    <w:qFormat/>
    <w:locked/>
    <w:uiPriority w:val="0"/>
    <w:rPr>
      <w:rFonts w:ascii="宋体"/>
      <w:sz w:val="18"/>
      <w:szCs w:val="18"/>
    </w:rPr>
  </w:style>
  <w:style w:type="paragraph" w:styleId="10">
    <w:name w:val="annotation text"/>
    <w:basedOn w:val="1"/>
    <w:link w:val="52"/>
    <w:semiHidden/>
    <w:qFormat/>
    <w:uiPriority w:val="0"/>
    <w:pPr>
      <w:jc w:val="left"/>
    </w:pPr>
    <w:rPr>
      <w:kern w:val="0"/>
      <w:sz w:val="24"/>
      <w:szCs w:val="20"/>
      <w:lang w:val="zh-CN" w:eastAsia="zh-CN"/>
    </w:rPr>
  </w:style>
  <w:style w:type="paragraph" w:styleId="11">
    <w:name w:val="Body Text"/>
    <w:basedOn w:val="1"/>
    <w:next w:val="1"/>
    <w:link w:val="51"/>
    <w:qFormat/>
    <w:uiPriority w:val="1"/>
    <w:pPr>
      <w:widowControl/>
      <w:snapToGrid w:val="0"/>
      <w:spacing w:before="60" w:after="160" w:line="259" w:lineRule="auto"/>
      <w:ind w:right="113"/>
    </w:pPr>
    <w:rPr>
      <w:kern w:val="0"/>
      <w:sz w:val="18"/>
      <w:szCs w:val="20"/>
      <w:lang w:val="zh-CN" w:eastAsia="zh-CN"/>
    </w:rPr>
  </w:style>
  <w:style w:type="paragraph" w:styleId="12">
    <w:name w:val="Body Text Indent"/>
    <w:basedOn w:val="1"/>
    <w:next w:val="13"/>
    <w:link w:val="45"/>
    <w:qFormat/>
    <w:uiPriority w:val="0"/>
    <w:pPr>
      <w:spacing w:after="120"/>
      <w:ind w:left="420" w:leftChars="200"/>
    </w:pPr>
    <w:rPr>
      <w:kern w:val="0"/>
      <w:sz w:val="24"/>
      <w:szCs w:val="20"/>
      <w:lang w:val="zh-CN" w:eastAsia="zh-CN"/>
    </w:rPr>
  </w:style>
  <w:style w:type="paragraph" w:styleId="13">
    <w:name w:val="Body Text Indent 2"/>
    <w:basedOn w:val="1"/>
    <w:link w:val="111"/>
    <w:qFormat/>
    <w:locked/>
    <w:uiPriority w:val="0"/>
    <w:pPr>
      <w:spacing w:after="120" w:line="480" w:lineRule="auto"/>
      <w:ind w:left="420" w:leftChars="200"/>
    </w:pPr>
  </w:style>
  <w:style w:type="paragraph" w:styleId="14">
    <w:name w:val="Block Text"/>
    <w:basedOn w:val="1"/>
    <w:qFormat/>
    <w:locked/>
    <w:uiPriority w:val="0"/>
    <w:pPr>
      <w:widowControl/>
      <w:ind w:left="87" w:right="2" w:rightChars="2" w:firstLine="585"/>
    </w:pPr>
    <w:rPr>
      <w:rFonts w:hint="eastAsia" w:ascii="仿宋_GB2312" w:hAnsi="Times New Roman" w:eastAsia="仿宋_GB2312"/>
      <w:kern w:val="0"/>
      <w:sz w:val="28"/>
      <w:szCs w:val="20"/>
    </w:rPr>
  </w:style>
  <w:style w:type="paragraph" w:styleId="15">
    <w:name w:val="Date"/>
    <w:basedOn w:val="1"/>
    <w:next w:val="1"/>
    <w:link w:val="39"/>
    <w:qFormat/>
    <w:uiPriority w:val="0"/>
    <w:pPr>
      <w:ind w:left="100" w:leftChars="2500"/>
    </w:pPr>
    <w:rPr>
      <w:kern w:val="0"/>
      <w:sz w:val="24"/>
      <w:szCs w:val="20"/>
      <w:lang w:val="zh-CN" w:eastAsia="zh-CN"/>
    </w:rPr>
  </w:style>
  <w:style w:type="paragraph" w:styleId="16">
    <w:name w:val="Balloon Text"/>
    <w:basedOn w:val="1"/>
    <w:link w:val="55"/>
    <w:semiHidden/>
    <w:qFormat/>
    <w:uiPriority w:val="0"/>
    <w:rPr>
      <w:kern w:val="0"/>
      <w:sz w:val="18"/>
      <w:szCs w:val="20"/>
      <w:lang w:val="zh-CN" w:eastAsia="zh-CN"/>
    </w:rPr>
  </w:style>
  <w:style w:type="paragraph" w:styleId="17">
    <w:name w:val="footer"/>
    <w:basedOn w:val="1"/>
    <w:link w:val="38"/>
    <w:qFormat/>
    <w:uiPriority w:val="0"/>
    <w:pPr>
      <w:tabs>
        <w:tab w:val="center" w:pos="4153"/>
        <w:tab w:val="right" w:pos="8306"/>
      </w:tabs>
      <w:snapToGrid w:val="0"/>
      <w:jc w:val="left"/>
    </w:pPr>
    <w:rPr>
      <w:kern w:val="0"/>
      <w:sz w:val="18"/>
      <w:szCs w:val="20"/>
      <w:lang w:val="zh-CN" w:eastAsia="zh-CN"/>
    </w:rPr>
  </w:style>
  <w:style w:type="paragraph" w:styleId="18">
    <w:name w:val="header"/>
    <w:basedOn w:val="1"/>
    <w:link w:val="48"/>
    <w:qFormat/>
    <w:uiPriority w:val="0"/>
    <w:pPr>
      <w:pBdr>
        <w:bottom w:val="single" w:color="auto" w:sz="6" w:space="1"/>
      </w:pBdr>
      <w:tabs>
        <w:tab w:val="center" w:pos="4153"/>
        <w:tab w:val="right" w:pos="8306"/>
      </w:tabs>
      <w:snapToGrid w:val="0"/>
      <w:jc w:val="center"/>
    </w:pPr>
    <w:rPr>
      <w:kern w:val="0"/>
      <w:sz w:val="18"/>
      <w:szCs w:val="20"/>
      <w:lang w:val="zh-CN" w:eastAsia="zh-CN"/>
    </w:rPr>
  </w:style>
  <w:style w:type="paragraph" w:styleId="19">
    <w:name w:val="toc 1"/>
    <w:basedOn w:val="1"/>
    <w:next w:val="1"/>
    <w:qFormat/>
    <w:locked/>
    <w:uiPriority w:val="39"/>
  </w:style>
  <w:style w:type="paragraph" w:styleId="20">
    <w:name w:val="index heading"/>
    <w:basedOn w:val="1"/>
    <w:next w:val="21"/>
    <w:qFormat/>
    <w:locked/>
    <w:uiPriority w:val="0"/>
    <w:rPr>
      <w:rFonts w:ascii="Arial" w:hAnsi="Arial" w:cs="Arial"/>
      <w:b/>
      <w:bCs/>
    </w:rPr>
  </w:style>
  <w:style w:type="paragraph" w:styleId="21">
    <w:name w:val="index 1"/>
    <w:basedOn w:val="1"/>
    <w:next w:val="1"/>
    <w:qFormat/>
    <w:locked/>
    <w:uiPriority w:val="0"/>
    <w:pPr>
      <w:spacing w:line="192" w:lineRule="auto"/>
      <w:jc w:val="center"/>
    </w:pPr>
    <w:rPr>
      <w:rFonts w:ascii="宋体" w:hAnsi="宋体"/>
      <w:szCs w:val="20"/>
    </w:rPr>
  </w:style>
  <w:style w:type="paragraph" w:styleId="22">
    <w:name w:val="toc 2"/>
    <w:basedOn w:val="1"/>
    <w:next w:val="1"/>
    <w:qFormat/>
    <w:locked/>
    <w:uiPriority w:val="39"/>
    <w:pPr>
      <w:ind w:left="420" w:leftChars="200"/>
    </w:pPr>
  </w:style>
  <w:style w:type="paragraph" w:styleId="23">
    <w:name w:val="Normal (Web)"/>
    <w:basedOn w:val="1"/>
    <w:link w:val="35"/>
    <w:qFormat/>
    <w:uiPriority w:val="0"/>
    <w:pPr>
      <w:widowControl/>
      <w:spacing w:before="100" w:beforeAutospacing="1" w:after="100" w:afterAutospacing="1"/>
      <w:jc w:val="left"/>
    </w:pPr>
    <w:rPr>
      <w:rFonts w:ascii="宋体" w:hAnsi="宋体"/>
      <w:kern w:val="0"/>
      <w:sz w:val="24"/>
      <w:szCs w:val="20"/>
      <w:lang w:val="zh-CN" w:eastAsia="zh-CN"/>
    </w:rPr>
  </w:style>
  <w:style w:type="paragraph" w:styleId="24">
    <w:name w:val="annotation subject"/>
    <w:basedOn w:val="10"/>
    <w:next w:val="10"/>
    <w:link w:val="50"/>
    <w:semiHidden/>
    <w:qFormat/>
    <w:uiPriority w:val="0"/>
    <w:rPr>
      <w:b/>
      <w:kern w:val="2"/>
    </w:rPr>
  </w:style>
  <w:style w:type="paragraph" w:styleId="25">
    <w:name w:val="Body Text First Indent"/>
    <w:basedOn w:val="11"/>
    <w:next w:val="1"/>
    <w:qFormat/>
    <w:locked/>
    <w:uiPriority w:val="0"/>
    <w:pPr>
      <w:widowControl w:val="0"/>
      <w:snapToGrid/>
      <w:spacing w:before="0" w:after="120" w:line="240" w:lineRule="auto"/>
      <w:ind w:right="0" w:firstLine="420" w:firstLineChars="100"/>
    </w:pPr>
    <w:rPr>
      <w:rFonts w:ascii="Times New Roman" w:hAnsi="Times New Roman"/>
      <w:kern w:val="2"/>
      <w:sz w:val="21"/>
      <w:szCs w:val="24"/>
    </w:rPr>
  </w:style>
  <w:style w:type="paragraph" w:styleId="26">
    <w:name w:val="Body Text First Indent 2"/>
    <w:basedOn w:val="12"/>
    <w:next w:val="25"/>
    <w:unhideWhenUsed/>
    <w:qFormat/>
    <w:locked/>
    <w:uiPriority w:val="99"/>
    <w:pPr>
      <w:tabs>
        <w:tab w:val="left" w:pos="360"/>
      </w:tabs>
      <w:ind w:firstLine="420"/>
    </w:pPr>
    <w:rPr>
      <w:kern w:val="2"/>
      <w:sz w:val="21"/>
    </w:rPr>
  </w:style>
  <w:style w:type="table" w:styleId="28">
    <w:name w:val="Table Grid"/>
    <w:basedOn w:val="2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locked/>
    <w:uiPriority w:val="22"/>
    <w:rPr>
      <w:b/>
      <w:bCs/>
    </w:rPr>
  </w:style>
  <w:style w:type="character" w:styleId="31">
    <w:name w:val="page number"/>
    <w:basedOn w:val="29"/>
    <w:qFormat/>
    <w:locked/>
    <w:uiPriority w:val="0"/>
  </w:style>
  <w:style w:type="character" w:styleId="32">
    <w:name w:val="Hyperlink"/>
    <w:unhideWhenUsed/>
    <w:qFormat/>
    <w:locked/>
    <w:uiPriority w:val="99"/>
    <w:rPr>
      <w:color w:val="0000FF"/>
      <w:u w:val="single"/>
    </w:rPr>
  </w:style>
  <w:style w:type="character" w:styleId="33">
    <w:name w:val="annotation reference"/>
    <w:semiHidden/>
    <w:qFormat/>
    <w:uiPriority w:val="0"/>
    <w:rPr>
      <w:sz w:val="21"/>
    </w:rPr>
  </w:style>
  <w:style w:type="paragraph" w:customStyle="1" w:styleId="34">
    <w:name w:val="xl27"/>
    <w:basedOn w:val="1"/>
    <w:qFormat/>
    <w:uiPriority w:val="0"/>
    <w:pPr>
      <w:widowControl/>
      <w:pBdr>
        <w:bottom w:val="single" w:color="auto" w:sz="12" w:space="0"/>
      </w:pBdr>
      <w:spacing w:before="100" w:after="100"/>
      <w:jc w:val="center"/>
    </w:pPr>
    <w:rPr>
      <w:rFonts w:ascii="宋体" w:hAnsi="宋体"/>
      <w:kern w:val="0"/>
      <w:szCs w:val="20"/>
    </w:rPr>
  </w:style>
  <w:style w:type="character" w:customStyle="1" w:styleId="35">
    <w:name w:val="普通(网站) 字符"/>
    <w:link w:val="23"/>
    <w:qFormat/>
    <w:locked/>
    <w:uiPriority w:val="0"/>
    <w:rPr>
      <w:rFonts w:ascii="宋体" w:hAnsi="宋体" w:eastAsia="宋体"/>
      <w:sz w:val="24"/>
    </w:rPr>
  </w:style>
  <w:style w:type="character" w:customStyle="1" w:styleId="36">
    <w:name w:val="正文文本 字符1"/>
    <w:semiHidden/>
    <w:qFormat/>
    <w:uiPriority w:val="0"/>
    <w:rPr>
      <w:rFonts w:ascii="Times New Roman" w:hAnsi="Times New Roman" w:eastAsia="宋体"/>
      <w:sz w:val="24"/>
    </w:rPr>
  </w:style>
  <w:style w:type="character" w:customStyle="1" w:styleId="37">
    <w:name w:val="页脚 字符"/>
    <w:basedOn w:val="29"/>
    <w:qFormat/>
    <w:uiPriority w:val="99"/>
  </w:style>
  <w:style w:type="character" w:customStyle="1" w:styleId="38">
    <w:name w:val="页脚 字符1"/>
    <w:link w:val="17"/>
    <w:qFormat/>
    <w:locked/>
    <w:uiPriority w:val="0"/>
    <w:rPr>
      <w:sz w:val="18"/>
    </w:rPr>
  </w:style>
  <w:style w:type="character" w:customStyle="1" w:styleId="39">
    <w:name w:val="日期 字符1"/>
    <w:link w:val="15"/>
    <w:qFormat/>
    <w:locked/>
    <w:uiPriority w:val="0"/>
    <w:rPr>
      <w:rFonts w:ascii="Times New Roman" w:hAnsi="Times New Roman" w:eastAsia="宋体"/>
      <w:sz w:val="24"/>
    </w:rPr>
  </w:style>
  <w:style w:type="character" w:customStyle="1" w:styleId="40">
    <w:name w:val="样式 正文01 + Times New Roman Char"/>
    <w:link w:val="41"/>
    <w:qFormat/>
    <w:uiPriority w:val="0"/>
    <w:rPr>
      <w:bCs/>
    </w:rPr>
  </w:style>
  <w:style w:type="paragraph" w:customStyle="1" w:styleId="41">
    <w:name w:val="样式 正文01 + Times New Roman"/>
    <w:basedOn w:val="42"/>
    <w:link w:val="40"/>
    <w:qFormat/>
    <w:uiPriority w:val="0"/>
    <w:rPr>
      <w:bCs/>
      <w:kern w:val="0"/>
      <w:sz w:val="20"/>
      <w:szCs w:val="20"/>
      <w:lang w:val="zh-CN" w:eastAsia="zh-CN"/>
    </w:rPr>
  </w:style>
  <w:style w:type="paragraph" w:customStyle="1" w:styleId="42">
    <w:name w:val="正文01"/>
    <w:basedOn w:val="1"/>
    <w:link w:val="81"/>
    <w:qFormat/>
    <w:uiPriority w:val="0"/>
    <w:pPr>
      <w:spacing w:line="360" w:lineRule="auto"/>
      <w:ind w:firstLine="480"/>
    </w:pPr>
    <w:rPr>
      <w:sz w:val="24"/>
    </w:rPr>
  </w:style>
  <w:style w:type="character" w:customStyle="1" w:styleId="43">
    <w:name w:val="正文内容 Char Char"/>
    <w:link w:val="44"/>
    <w:qFormat/>
    <w:uiPriority w:val="0"/>
    <w:rPr>
      <w:kern w:val="2"/>
      <w:sz w:val="24"/>
      <w:szCs w:val="24"/>
      <w:lang w:val="en-US" w:eastAsia="zh-CN" w:bidi="ar-SA"/>
    </w:rPr>
  </w:style>
  <w:style w:type="paragraph" w:customStyle="1" w:styleId="44">
    <w:name w:val="正文内容"/>
    <w:link w:val="43"/>
    <w:qFormat/>
    <w:uiPriority w:val="0"/>
    <w:pPr>
      <w:widowControl w:val="0"/>
      <w:snapToGrid w:val="0"/>
      <w:spacing w:before="60" w:after="60" w:line="480" w:lineRule="exact"/>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45">
    <w:name w:val="正文文本缩进 字符"/>
    <w:link w:val="12"/>
    <w:semiHidden/>
    <w:qFormat/>
    <w:locked/>
    <w:uiPriority w:val="0"/>
    <w:rPr>
      <w:rFonts w:ascii="Times New Roman" w:hAnsi="Times New Roman" w:eastAsia="宋体"/>
      <w:sz w:val="24"/>
    </w:rPr>
  </w:style>
  <w:style w:type="character" w:customStyle="1" w:styleId="46">
    <w:name w:val="表格 Char"/>
    <w:link w:val="47"/>
    <w:qFormat/>
    <w:locked/>
    <w:uiPriority w:val="0"/>
    <w:rPr>
      <w:rFonts w:ascii="宋体"/>
      <w:sz w:val="21"/>
    </w:rPr>
  </w:style>
  <w:style w:type="paragraph" w:customStyle="1" w:styleId="47">
    <w:name w:val="表格"/>
    <w:basedOn w:val="1"/>
    <w:next w:val="1"/>
    <w:link w:val="46"/>
    <w:qFormat/>
    <w:uiPriority w:val="0"/>
    <w:pPr>
      <w:adjustRightInd w:val="0"/>
      <w:snapToGrid w:val="0"/>
      <w:spacing w:beforeLines="10" w:afterLines="10" w:line="259" w:lineRule="auto"/>
      <w:jc w:val="center"/>
    </w:pPr>
    <w:rPr>
      <w:rFonts w:ascii="宋体"/>
      <w:kern w:val="0"/>
      <w:szCs w:val="20"/>
      <w:lang w:val="zh-CN" w:eastAsia="zh-CN"/>
    </w:rPr>
  </w:style>
  <w:style w:type="character" w:customStyle="1" w:styleId="48">
    <w:name w:val="页眉 字符"/>
    <w:link w:val="18"/>
    <w:qFormat/>
    <w:locked/>
    <w:uiPriority w:val="0"/>
    <w:rPr>
      <w:sz w:val="18"/>
    </w:rPr>
  </w:style>
  <w:style w:type="character" w:customStyle="1" w:styleId="49">
    <w:name w:val="批注文字 字符1"/>
    <w:semiHidden/>
    <w:qFormat/>
    <w:uiPriority w:val="0"/>
    <w:rPr>
      <w:rFonts w:ascii="Times New Roman" w:hAnsi="Times New Roman" w:eastAsia="宋体"/>
      <w:sz w:val="24"/>
    </w:rPr>
  </w:style>
  <w:style w:type="character" w:customStyle="1" w:styleId="50">
    <w:name w:val="批注主题 字符"/>
    <w:link w:val="24"/>
    <w:semiHidden/>
    <w:qFormat/>
    <w:locked/>
    <w:uiPriority w:val="0"/>
    <w:rPr>
      <w:rFonts w:ascii="Times New Roman" w:hAnsi="Times New Roman" w:eastAsia="宋体"/>
      <w:b/>
      <w:kern w:val="2"/>
      <w:sz w:val="24"/>
    </w:rPr>
  </w:style>
  <w:style w:type="character" w:customStyle="1" w:styleId="51">
    <w:name w:val="正文文本 字符"/>
    <w:link w:val="11"/>
    <w:qFormat/>
    <w:locked/>
    <w:uiPriority w:val="1"/>
    <w:rPr>
      <w:sz w:val="18"/>
    </w:rPr>
  </w:style>
  <w:style w:type="character" w:customStyle="1" w:styleId="52">
    <w:name w:val="批注文字 字符"/>
    <w:link w:val="10"/>
    <w:qFormat/>
    <w:locked/>
    <w:uiPriority w:val="0"/>
    <w:rPr>
      <w:rFonts w:ascii="Times New Roman" w:hAnsi="Times New Roman" w:eastAsia="宋体"/>
      <w:sz w:val="24"/>
    </w:rPr>
  </w:style>
  <w:style w:type="character" w:customStyle="1" w:styleId="53">
    <w:name w:val="日期 字符"/>
    <w:semiHidden/>
    <w:qFormat/>
    <w:uiPriority w:val="0"/>
    <w:rPr>
      <w:rFonts w:ascii="Times New Roman" w:hAnsi="Times New Roman" w:eastAsia="宋体"/>
      <w:sz w:val="24"/>
    </w:rPr>
  </w:style>
  <w:style w:type="character" w:customStyle="1" w:styleId="54">
    <w:name w:val="NormalCharacter"/>
    <w:semiHidden/>
    <w:qFormat/>
    <w:uiPriority w:val="0"/>
    <w:rPr>
      <w:rFonts w:ascii="Calibri" w:hAnsi="Calibri" w:eastAsia="宋体" w:cs="Times New Roman"/>
      <w:kern w:val="2"/>
      <w:sz w:val="21"/>
      <w:szCs w:val="22"/>
      <w:lang w:val="en-US" w:eastAsia="zh-CN" w:bidi="ar-SA"/>
    </w:rPr>
  </w:style>
  <w:style w:type="character" w:customStyle="1" w:styleId="55">
    <w:name w:val="批注框文本 字符"/>
    <w:link w:val="16"/>
    <w:semiHidden/>
    <w:qFormat/>
    <w:locked/>
    <w:uiPriority w:val="0"/>
    <w:rPr>
      <w:rFonts w:ascii="Times New Roman" w:hAnsi="Times New Roman" w:eastAsia="宋体"/>
      <w:sz w:val="18"/>
    </w:rPr>
  </w:style>
  <w:style w:type="paragraph" w:customStyle="1" w:styleId="56">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7">
    <w:name w:val="纯文本1"/>
    <w:basedOn w:val="1"/>
    <w:qFormat/>
    <w:uiPriority w:val="0"/>
    <w:rPr>
      <w:rFonts w:ascii="宋体" w:hAnsi="Courier New"/>
    </w:rPr>
  </w:style>
  <w:style w:type="paragraph" w:customStyle="1" w:styleId="58">
    <w:name w:val="Default"/>
    <w:basedOn w:val="57"/>
    <w:next w:val="59"/>
    <w:qFormat/>
    <w:uiPriority w:val="0"/>
    <w:pPr>
      <w:autoSpaceDE w:val="0"/>
      <w:autoSpaceDN w:val="0"/>
      <w:adjustRightInd w:val="0"/>
    </w:pPr>
    <w:rPr>
      <w:rFonts w:ascii="黑体" w:eastAsia="黑体" w:cs="黑体"/>
      <w:color w:val="000000"/>
      <w:sz w:val="24"/>
    </w:rPr>
  </w:style>
  <w:style w:type="paragraph" w:customStyle="1" w:styleId="59">
    <w:name w:val="样式1"/>
    <w:basedOn w:val="20"/>
    <w:next w:val="14"/>
    <w:qFormat/>
    <w:uiPriority w:val="99"/>
    <w:pPr>
      <w:spacing w:after="120"/>
      <w:jc w:val="center"/>
    </w:pPr>
    <w:rPr>
      <w:rFonts w:ascii="Times New Roman" w:hAnsi="Times New Roman"/>
      <w:sz w:val="21"/>
    </w:rPr>
  </w:style>
  <w:style w:type="paragraph" w:customStyle="1" w:styleId="60">
    <w:name w:val="目录 11"/>
    <w:basedOn w:val="1"/>
    <w:next w:val="1"/>
    <w:qFormat/>
    <w:locked/>
    <w:uiPriority w:val="39"/>
  </w:style>
  <w:style w:type="paragraph" w:customStyle="1" w:styleId="61">
    <w:name w:val="正文首行缩进 21"/>
    <w:basedOn w:val="12"/>
    <w:unhideWhenUsed/>
    <w:qFormat/>
    <w:locked/>
    <w:uiPriority w:val="99"/>
    <w:pPr>
      <w:ind w:firstLine="420" w:firstLineChars="200"/>
    </w:pPr>
    <w:rPr>
      <w:sz w:val="21"/>
    </w:rPr>
  </w:style>
  <w:style w:type="paragraph" w:customStyle="1" w:styleId="62">
    <w:name w:val="目录 21"/>
    <w:basedOn w:val="1"/>
    <w:next w:val="1"/>
    <w:qFormat/>
    <w:locked/>
    <w:uiPriority w:val="39"/>
    <w:pPr>
      <w:ind w:left="420" w:leftChars="200"/>
    </w:pPr>
  </w:style>
  <w:style w:type="paragraph" w:customStyle="1" w:styleId="63">
    <w:name w:val="正文首行缩进1"/>
    <w:basedOn w:val="11"/>
    <w:unhideWhenUsed/>
    <w:qFormat/>
    <w:locked/>
    <w:uiPriority w:val="99"/>
    <w:pPr>
      <w:spacing w:after="120"/>
      <w:ind w:firstLine="420" w:firstLineChars="100"/>
    </w:pPr>
    <w:rPr>
      <w:sz w:val="21"/>
    </w:rPr>
  </w:style>
  <w:style w:type="paragraph" w:customStyle="1" w:styleId="64">
    <w:name w:val="无间隔1"/>
    <w:basedOn w:val="1"/>
    <w:qFormat/>
    <w:uiPriority w:val="1"/>
    <w:pPr>
      <w:spacing w:line="360" w:lineRule="exact"/>
      <w:jc w:val="center"/>
    </w:pPr>
  </w:style>
  <w:style w:type="paragraph" w:customStyle="1" w:styleId="65">
    <w:name w:val="段落"/>
    <w:basedOn w:val="1"/>
    <w:link w:val="88"/>
    <w:qFormat/>
    <w:uiPriority w:val="0"/>
    <w:pPr>
      <w:tabs>
        <w:tab w:val="left" w:pos="1021"/>
      </w:tabs>
      <w:spacing w:line="500" w:lineRule="exact"/>
      <w:ind w:firstLine="560" w:firstLineChars="200"/>
    </w:pPr>
    <w:rPr>
      <w:b/>
      <w:kern w:val="24"/>
      <w:sz w:val="28"/>
    </w:rPr>
  </w:style>
  <w:style w:type="paragraph" w:customStyle="1" w:styleId="66">
    <w:name w:val="Table Paragraph"/>
    <w:basedOn w:val="1"/>
    <w:qFormat/>
    <w:uiPriority w:val="1"/>
    <w:pPr>
      <w:autoSpaceDE w:val="0"/>
      <w:autoSpaceDN w:val="0"/>
      <w:adjustRightInd w:val="0"/>
      <w:jc w:val="center"/>
    </w:pPr>
    <w:rPr>
      <w:rFonts w:ascii="宋体" w:cs="宋体"/>
      <w:kern w:val="0"/>
    </w:rPr>
  </w:style>
  <w:style w:type="paragraph" w:customStyle="1" w:styleId="67">
    <w:name w:val="p0"/>
    <w:basedOn w:val="1"/>
    <w:qFormat/>
    <w:uiPriority w:val="0"/>
    <w:pPr>
      <w:widowControl/>
    </w:pPr>
    <w:rPr>
      <w:kern w:val="0"/>
      <w:szCs w:val="21"/>
    </w:rPr>
  </w:style>
  <w:style w:type="paragraph" w:customStyle="1" w:styleId="68">
    <w:name w:val="样式 宋体 小四 行距: 固定值 26 磅"/>
    <w:basedOn w:val="1"/>
    <w:qFormat/>
    <w:uiPriority w:val="0"/>
    <w:pPr>
      <w:spacing w:line="520" w:lineRule="exact"/>
      <w:ind w:firstLine="480" w:firstLineChars="200"/>
    </w:pPr>
    <w:rPr>
      <w:sz w:val="24"/>
    </w:rPr>
  </w:style>
  <w:style w:type="paragraph" w:customStyle="1" w:styleId="69">
    <w:name w:val="样式 样式 (符号) 宋体 小四 行距: 1.5 倍行距 + 首行缩进:  2 字符"/>
    <w:basedOn w:val="70"/>
    <w:qFormat/>
    <w:uiPriority w:val="0"/>
    <w:pPr>
      <w:ind w:firstLine="456"/>
    </w:pPr>
    <w:rPr>
      <w:rFonts w:cs="宋体"/>
    </w:rPr>
  </w:style>
  <w:style w:type="paragraph" w:customStyle="1" w:styleId="70">
    <w:name w:val="样式 (符号) 宋体 小四 行距: 1.5 倍行距"/>
    <w:basedOn w:val="1"/>
    <w:link w:val="92"/>
    <w:qFormat/>
    <w:uiPriority w:val="0"/>
    <w:pPr>
      <w:spacing w:line="360" w:lineRule="auto"/>
      <w:ind w:firstLine="480" w:firstLineChars="200"/>
    </w:pPr>
    <w:rPr>
      <w:rFonts w:hAnsi="宋体"/>
      <w:sz w:val="24"/>
    </w:rPr>
  </w:style>
  <w:style w:type="paragraph" w:customStyle="1" w:styleId="71">
    <w:name w:val="样式 样式 (符号) 宋体 小四 行距: 1.5 倍行距 + (符号) Times New Roman 上标"/>
    <w:basedOn w:val="70"/>
    <w:qFormat/>
    <w:uiPriority w:val="0"/>
    <w:pPr>
      <w:spacing w:line="480" w:lineRule="exact"/>
      <w:ind w:firstLine="200"/>
    </w:pPr>
    <w:rPr>
      <w:rFonts w:hAnsi="Times New Roman" w:cs="宋体"/>
    </w:rPr>
  </w:style>
  <w:style w:type="paragraph" w:customStyle="1" w:styleId="72">
    <w:name w:val="WPSOffice手动目录 1"/>
    <w:qFormat/>
    <w:uiPriority w:val="0"/>
    <w:rPr>
      <w:rFonts w:ascii="Times New Roman" w:hAnsi="Times New Roman" w:eastAsia="宋体" w:cs="Times New Roman"/>
      <w:lang w:val="en-US" w:eastAsia="zh-CN" w:bidi="ar-SA"/>
    </w:rPr>
  </w:style>
  <w:style w:type="paragraph" w:customStyle="1" w:styleId="7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三级标题"/>
    <w:basedOn w:val="1"/>
    <w:next w:val="61"/>
    <w:qFormat/>
    <w:uiPriority w:val="0"/>
    <w:pPr>
      <w:adjustRightInd w:val="0"/>
      <w:snapToGrid w:val="0"/>
      <w:spacing w:line="360" w:lineRule="exact"/>
      <w:jc w:val="center"/>
    </w:pPr>
    <w:rPr>
      <w:bCs/>
      <w:sz w:val="24"/>
    </w:rPr>
  </w:style>
  <w:style w:type="paragraph" w:customStyle="1" w:styleId="75">
    <w:name w:val="正文首行缩进 2 + Times New Roman"/>
    <w:basedOn w:val="1"/>
    <w:qFormat/>
    <w:uiPriority w:val="0"/>
    <w:pPr>
      <w:tabs>
        <w:tab w:val="left" w:pos="0"/>
        <w:tab w:val="left" w:pos="870"/>
        <w:tab w:val="left" w:pos="3150"/>
      </w:tabs>
      <w:autoSpaceDE w:val="0"/>
      <w:autoSpaceDN w:val="0"/>
      <w:ind w:firstLine="480"/>
      <w:jc w:val="left"/>
    </w:pPr>
    <w:rPr>
      <w:kern w:val="0"/>
      <w:szCs w:val="21"/>
    </w:rPr>
  </w:style>
  <w:style w:type="paragraph" w:customStyle="1" w:styleId="76">
    <w:name w:val="BodyText"/>
    <w:basedOn w:val="1"/>
    <w:next w:val="1"/>
    <w:qFormat/>
    <w:uiPriority w:val="0"/>
    <w:pPr>
      <w:spacing w:after="120"/>
      <w:textAlignment w:val="baseline"/>
    </w:pPr>
  </w:style>
  <w:style w:type="paragraph" w:customStyle="1" w:styleId="77">
    <w:name w:val="填表内容"/>
    <w:basedOn w:val="1"/>
    <w:qFormat/>
    <w:uiPriority w:val="0"/>
    <w:pPr>
      <w:adjustRightInd w:val="0"/>
      <w:spacing w:line="480" w:lineRule="exact"/>
      <w:ind w:firstLine="560" w:firstLineChars="200"/>
      <w:jc w:val="left"/>
      <w:textAlignment w:val="baseline"/>
    </w:pPr>
    <w:rPr>
      <w:rFonts w:ascii="楷体_GB2312" w:eastAsia="楷体_GB2312"/>
      <w:sz w:val="28"/>
    </w:rPr>
  </w:style>
  <w:style w:type="paragraph" w:customStyle="1" w:styleId="78">
    <w:name w:val="1文章"/>
    <w:basedOn w:val="1"/>
    <w:qFormat/>
    <w:uiPriority w:val="0"/>
    <w:pPr>
      <w:snapToGrid w:val="0"/>
      <w:spacing w:line="360" w:lineRule="auto"/>
      <w:ind w:firstLine="573"/>
    </w:pPr>
    <w:rPr>
      <w:rFonts w:eastAsia="仿宋_GB2312"/>
      <w:sz w:val="28"/>
      <w:szCs w:val="20"/>
    </w:rPr>
  </w:style>
  <w:style w:type="paragraph" w:customStyle="1" w:styleId="79">
    <w:name w:val="样式 行距: 固定值 24 磅 首行缩进:  2 字符"/>
    <w:basedOn w:val="1"/>
    <w:qFormat/>
    <w:uiPriority w:val="0"/>
    <w:pPr>
      <w:spacing w:line="480" w:lineRule="exact"/>
      <w:ind w:firstLine="480" w:firstLineChars="200"/>
    </w:pPr>
    <w:rPr>
      <w:rFonts w:cs="宋体"/>
      <w:sz w:val="24"/>
      <w:szCs w:val="20"/>
    </w:rPr>
  </w:style>
  <w:style w:type="character" w:customStyle="1" w:styleId="80">
    <w:name w:val="正文缩进 字符"/>
    <w:link w:val="7"/>
    <w:qFormat/>
    <w:locked/>
    <w:uiPriority w:val="0"/>
    <w:rPr>
      <w:rFonts w:ascii="宋体" w:hAnsi="宋体" w:eastAsia="宋体"/>
      <w:sz w:val="24"/>
      <w:szCs w:val="24"/>
      <w:lang w:val="en-US" w:eastAsia="zh-CN" w:bidi="ar-SA"/>
    </w:rPr>
  </w:style>
  <w:style w:type="character" w:customStyle="1" w:styleId="81">
    <w:name w:val="正文01 Char"/>
    <w:link w:val="42"/>
    <w:qFormat/>
    <w:locked/>
    <w:uiPriority w:val="0"/>
    <w:rPr>
      <w:rFonts w:eastAsia="宋体"/>
      <w:kern w:val="2"/>
      <w:sz w:val="24"/>
      <w:szCs w:val="24"/>
      <w:lang w:val="en-US" w:eastAsia="zh-CN" w:bidi="ar-SA"/>
    </w:rPr>
  </w:style>
  <w:style w:type="character" w:customStyle="1" w:styleId="82">
    <w:name w:val="正文式样 Char"/>
    <w:link w:val="83"/>
    <w:qFormat/>
    <w:locked/>
    <w:uiPriority w:val="0"/>
    <w:rPr>
      <w:rFonts w:ascii="宋体" w:hAnsi="宋体" w:eastAsia="宋体"/>
      <w:snapToGrid w:val="0"/>
      <w:kern w:val="2"/>
      <w:sz w:val="24"/>
      <w:szCs w:val="24"/>
      <w:lang w:val="en-US" w:eastAsia="zh-CN" w:bidi="ar-SA"/>
    </w:rPr>
  </w:style>
  <w:style w:type="paragraph" w:customStyle="1" w:styleId="83">
    <w:name w:val="正文式样"/>
    <w:basedOn w:val="1"/>
    <w:link w:val="82"/>
    <w:qFormat/>
    <w:uiPriority w:val="0"/>
    <w:pPr>
      <w:tabs>
        <w:tab w:val="left" w:pos="980"/>
      </w:tabs>
      <w:snapToGrid w:val="0"/>
      <w:spacing w:line="360" w:lineRule="auto"/>
      <w:ind w:firstLine="200" w:firstLineChars="200"/>
      <w:jc w:val="left"/>
    </w:pPr>
    <w:rPr>
      <w:rFonts w:ascii="宋体" w:hAnsi="宋体"/>
      <w:snapToGrid w:val="0"/>
      <w:sz w:val="24"/>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5">
    <w:name w:val="（正文）"/>
    <w:qFormat/>
    <w:uiPriority w:val="0"/>
    <w:pPr>
      <w:adjustRightInd w:val="0"/>
      <w:snapToGrid w:val="0"/>
      <w:spacing w:line="360" w:lineRule="auto"/>
      <w:ind w:firstLine="200" w:firstLineChars="200"/>
    </w:pPr>
    <w:rPr>
      <w:rFonts w:ascii="Times New Roman" w:hAnsi="Times New Roman" w:eastAsia="宋体" w:cs="Times New Roman"/>
      <w:sz w:val="24"/>
      <w:lang w:val="en-US" w:eastAsia="zh-CN" w:bidi="ar-SA"/>
    </w:rPr>
  </w:style>
  <w:style w:type="character" w:customStyle="1" w:styleId="86">
    <w:name w:val="表格文字 Char"/>
    <w:link w:val="87"/>
    <w:qFormat/>
    <w:locked/>
    <w:uiPriority w:val="0"/>
    <w:rPr>
      <w:kern w:val="2"/>
      <w:sz w:val="21"/>
      <w:lang w:bidi="ar-SA"/>
    </w:rPr>
  </w:style>
  <w:style w:type="paragraph" w:customStyle="1" w:styleId="87">
    <w:name w:val="表格文字"/>
    <w:basedOn w:val="63"/>
    <w:link w:val="86"/>
    <w:qFormat/>
    <w:uiPriority w:val="0"/>
    <w:pPr>
      <w:widowControl w:val="0"/>
      <w:adjustRightInd w:val="0"/>
      <w:spacing w:before="0" w:after="0" w:line="240" w:lineRule="auto"/>
      <w:ind w:right="0" w:firstLine="0" w:firstLineChars="0"/>
      <w:jc w:val="center"/>
    </w:pPr>
    <w:rPr>
      <w:kern w:val="2"/>
    </w:rPr>
  </w:style>
  <w:style w:type="character" w:customStyle="1" w:styleId="88">
    <w:name w:val="段落 Char Char"/>
    <w:link w:val="65"/>
    <w:qFormat/>
    <w:locked/>
    <w:uiPriority w:val="0"/>
    <w:rPr>
      <w:rFonts w:eastAsia="宋体"/>
      <w:b/>
      <w:kern w:val="24"/>
      <w:sz w:val="28"/>
      <w:szCs w:val="24"/>
      <w:lang w:val="en-US" w:eastAsia="zh-CN" w:bidi="ar-SA"/>
    </w:rPr>
  </w:style>
  <w:style w:type="character" w:customStyle="1" w:styleId="89">
    <w:name w:val="fontstyle21"/>
    <w:qFormat/>
    <w:uiPriority w:val="0"/>
    <w:rPr>
      <w:rFonts w:hint="eastAsia" w:ascii="TimesNewRoman" w:hAnsi="TimesNewRoman" w:eastAsia="TimesNewRoman"/>
      <w:color w:val="000000"/>
      <w:sz w:val="24"/>
      <w:szCs w:val="24"/>
    </w:rPr>
  </w:style>
  <w:style w:type="character" w:customStyle="1" w:styleId="90">
    <w:name w:val="fontstyle01"/>
    <w:qFormat/>
    <w:uiPriority w:val="0"/>
    <w:rPr>
      <w:rFonts w:hint="eastAsia" w:ascii="宋体" w:hAnsi="宋体" w:eastAsia="宋体"/>
      <w:color w:val="000000"/>
      <w:sz w:val="24"/>
      <w:szCs w:val="24"/>
    </w:rPr>
  </w:style>
  <w:style w:type="paragraph" w:customStyle="1" w:styleId="91">
    <w:name w:val="样式 小四 行距: 1.5 倍行距"/>
    <w:basedOn w:val="1"/>
    <w:qFormat/>
    <w:uiPriority w:val="0"/>
    <w:pPr>
      <w:spacing w:line="360" w:lineRule="auto"/>
      <w:ind w:firstLine="480" w:firstLineChars="200"/>
    </w:pPr>
    <w:rPr>
      <w:rFonts w:cs="宋体"/>
      <w:sz w:val="24"/>
      <w:szCs w:val="20"/>
    </w:rPr>
  </w:style>
  <w:style w:type="character" w:customStyle="1" w:styleId="92">
    <w:name w:val="样式 (符号) 宋体 小四 行距: 1.5 倍行距 Char"/>
    <w:link w:val="70"/>
    <w:qFormat/>
    <w:locked/>
    <w:uiPriority w:val="0"/>
    <w:rPr>
      <w:rFonts w:hAnsi="宋体" w:eastAsia="宋体"/>
      <w:kern w:val="2"/>
      <w:sz w:val="24"/>
      <w:szCs w:val="24"/>
      <w:lang w:val="en-US" w:eastAsia="zh-CN" w:bidi="ar-SA"/>
    </w:rPr>
  </w:style>
  <w:style w:type="character" w:customStyle="1" w:styleId="93">
    <w:name w:val="文档结构图 字符"/>
    <w:link w:val="9"/>
    <w:qFormat/>
    <w:uiPriority w:val="0"/>
    <w:rPr>
      <w:rFonts w:ascii="宋体"/>
      <w:kern w:val="2"/>
      <w:sz w:val="18"/>
      <w:szCs w:val="18"/>
    </w:rPr>
  </w:style>
  <w:style w:type="character" w:customStyle="1" w:styleId="94">
    <w:name w:val="表格文字 Char Char"/>
    <w:qFormat/>
    <w:uiPriority w:val="0"/>
    <w:rPr>
      <w:rFonts w:eastAsia="宋体"/>
      <w:kern w:val="2"/>
      <w:sz w:val="21"/>
      <w:szCs w:val="18"/>
      <w:lang w:val="en-US" w:eastAsia="zh-CN" w:bidi="ar-SA"/>
    </w:rPr>
  </w:style>
  <w:style w:type="paragraph" w:customStyle="1" w:styleId="95">
    <w:name w:val="_Style 24"/>
    <w:basedOn w:val="1"/>
    <w:next w:val="1"/>
    <w:qFormat/>
    <w:uiPriority w:val="0"/>
    <w:pPr>
      <w:spacing w:line="360" w:lineRule="auto"/>
      <w:ind w:firstLine="200" w:firstLineChars="200"/>
    </w:pPr>
    <w:rPr>
      <w:rFonts w:ascii="Calibri" w:hAnsi="Calibri" w:cs="宋体"/>
      <w:kern w:val="0"/>
      <w:sz w:val="24"/>
    </w:rPr>
  </w:style>
  <w:style w:type="character" w:customStyle="1" w:styleId="96">
    <w:name w:val="报告正文 Char Char"/>
    <w:link w:val="97"/>
    <w:qFormat/>
    <w:uiPriority w:val="0"/>
    <w:rPr>
      <w:kern w:val="2"/>
      <w:sz w:val="24"/>
    </w:rPr>
  </w:style>
  <w:style w:type="paragraph" w:customStyle="1" w:styleId="97">
    <w:name w:val="报告正文"/>
    <w:basedOn w:val="1"/>
    <w:link w:val="96"/>
    <w:qFormat/>
    <w:uiPriority w:val="0"/>
    <w:pPr>
      <w:adjustRightInd w:val="0"/>
      <w:snapToGrid w:val="0"/>
      <w:spacing w:line="360" w:lineRule="auto"/>
      <w:ind w:firstLine="200" w:firstLineChars="200"/>
    </w:pPr>
    <w:rPr>
      <w:sz w:val="24"/>
      <w:szCs w:val="20"/>
    </w:rPr>
  </w:style>
  <w:style w:type="character" w:customStyle="1" w:styleId="98">
    <w:name w:val="图表标题 Char"/>
    <w:link w:val="99"/>
    <w:qFormat/>
    <w:uiPriority w:val="0"/>
    <w:rPr>
      <w:rFonts w:eastAsia="黑体"/>
      <w:kern w:val="2"/>
      <w:sz w:val="24"/>
      <w:szCs w:val="22"/>
    </w:rPr>
  </w:style>
  <w:style w:type="paragraph" w:customStyle="1" w:styleId="99">
    <w:name w:val="图表标题"/>
    <w:next w:val="1"/>
    <w:link w:val="98"/>
    <w:qFormat/>
    <w:uiPriority w:val="0"/>
    <w:pPr>
      <w:spacing w:line="360" w:lineRule="auto"/>
      <w:jc w:val="center"/>
    </w:pPr>
    <w:rPr>
      <w:rFonts w:ascii="Times New Roman" w:hAnsi="Times New Roman" w:eastAsia="黑体" w:cs="Times New Roman"/>
      <w:kern w:val="2"/>
      <w:sz w:val="24"/>
      <w:szCs w:val="22"/>
      <w:lang w:val="en-US" w:eastAsia="zh-CN" w:bidi="ar-SA"/>
    </w:rPr>
  </w:style>
  <w:style w:type="paragraph" w:customStyle="1" w:styleId="100">
    <w:name w:val="zhang正文"/>
    <w:basedOn w:val="12"/>
    <w:qFormat/>
    <w:uiPriority w:val="0"/>
    <w:pPr>
      <w:widowControl/>
      <w:autoSpaceDE w:val="0"/>
      <w:autoSpaceDN w:val="0"/>
      <w:adjustRightInd w:val="0"/>
      <w:snapToGrid w:val="0"/>
      <w:spacing w:after="0" w:line="360" w:lineRule="auto"/>
      <w:ind w:left="0" w:leftChars="0" w:firstLine="539" w:firstLineChars="200"/>
      <w:jc w:val="left"/>
      <w:textAlignment w:val="baseline"/>
    </w:pPr>
    <w:rPr>
      <w:rFonts w:ascii="Calibri" w:hAnsi="Calibri" w:eastAsia="楷体_GB2312"/>
      <w:sz w:val="28"/>
      <w:lang w:val="en-US" w:eastAsia="zh-CN"/>
    </w:rPr>
  </w:style>
  <w:style w:type="paragraph" w:customStyle="1" w:styleId="101">
    <w:name w:val="标准正文"/>
    <w:basedOn w:val="1"/>
    <w:qFormat/>
    <w:uiPriority w:val="0"/>
    <w:pPr>
      <w:adjustRightInd w:val="0"/>
      <w:spacing w:line="360" w:lineRule="auto"/>
      <w:ind w:firstLine="200" w:firstLineChars="200"/>
      <w:jc w:val="left"/>
      <w:textAlignment w:val="baseline"/>
    </w:pPr>
    <w:rPr>
      <w:sz w:val="24"/>
      <w:szCs w:val="22"/>
    </w:rPr>
  </w:style>
  <w:style w:type="paragraph" w:customStyle="1" w:styleId="102">
    <w:name w:val="正文_19"/>
    <w:qFormat/>
    <w:uiPriority w:val="0"/>
    <w:pPr>
      <w:widowControl w:val="0"/>
      <w:jc w:val="both"/>
    </w:pPr>
    <w:rPr>
      <w:rFonts w:ascii="Calibri" w:hAnsi="Calibri" w:eastAsia="宋体" w:cs="Times New Roman"/>
      <w:kern w:val="2"/>
      <w:sz w:val="21"/>
      <w:lang w:val="en-US" w:eastAsia="zh-CN" w:bidi="ar-SA"/>
    </w:rPr>
  </w:style>
  <w:style w:type="paragraph" w:customStyle="1" w:styleId="103">
    <w:name w:val="正文_23"/>
    <w:qFormat/>
    <w:uiPriority w:val="0"/>
    <w:pPr>
      <w:widowControl w:val="0"/>
      <w:jc w:val="both"/>
    </w:pPr>
    <w:rPr>
      <w:rFonts w:ascii="Calibri" w:hAnsi="Calibri" w:eastAsia="宋体" w:cs="Times New Roman"/>
      <w:kern w:val="2"/>
      <w:sz w:val="21"/>
      <w:lang w:val="en-US" w:eastAsia="zh-CN" w:bidi="ar-SA"/>
    </w:rPr>
  </w:style>
  <w:style w:type="character" w:customStyle="1" w:styleId="104">
    <w:name w:val="标题 2 字符"/>
    <w:link w:val="3"/>
    <w:semiHidden/>
    <w:qFormat/>
    <w:uiPriority w:val="0"/>
    <w:rPr>
      <w:rFonts w:ascii="Arial" w:hAnsi="Arial" w:eastAsia="仿宋"/>
      <w:b/>
      <w:kern w:val="2"/>
      <w:sz w:val="28"/>
      <w:szCs w:val="24"/>
    </w:rPr>
  </w:style>
  <w:style w:type="character" w:customStyle="1" w:styleId="105">
    <w:name w:val="标题 3 字符"/>
    <w:link w:val="5"/>
    <w:qFormat/>
    <w:uiPriority w:val="0"/>
    <w:rPr>
      <w:kern w:val="2"/>
      <w:sz w:val="28"/>
      <w:szCs w:val="24"/>
    </w:rPr>
  </w:style>
  <w:style w:type="paragraph" w:customStyle="1" w:styleId="106">
    <w:name w:val="表头"/>
    <w:link w:val="107"/>
    <w:qFormat/>
    <w:uiPriority w:val="0"/>
    <w:pPr>
      <w:spacing w:before="120" w:beforeLines="50" w:line="360" w:lineRule="auto"/>
      <w:jc w:val="center"/>
    </w:pPr>
    <w:rPr>
      <w:rFonts w:ascii="Times New Roman" w:hAnsi="Times New Roman" w:eastAsia="宋体" w:cs="宋体"/>
      <w:b/>
      <w:color w:val="000000"/>
      <w:sz w:val="24"/>
      <w:lang w:val="en-US" w:eastAsia="zh-CN" w:bidi="ar-SA"/>
    </w:rPr>
  </w:style>
  <w:style w:type="character" w:customStyle="1" w:styleId="107">
    <w:name w:val="表头 Char"/>
    <w:link w:val="106"/>
    <w:qFormat/>
    <w:locked/>
    <w:uiPriority w:val="0"/>
    <w:rPr>
      <w:rFonts w:cs="宋体"/>
      <w:b/>
      <w:color w:val="000000"/>
      <w:sz w:val="24"/>
    </w:rPr>
  </w:style>
  <w:style w:type="paragraph" w:customStyle="1" w:styleId="108">
    <w:name w:val="表格内容"/>
    <w:basedOn w:val="1"/>
    <w:qFormat/>
    <w:uiPriority w:val="0"/>
    <w:pPr>
      <w:spacing w:line="240" w:lineRule="atLeast"/>
      <w:ind w:firstLine="480" w:firstLineChars="200"/>
      <w:jc w:val="center"/>
    </w:pPr>
    <w:rPr>
      <w:sz w:val="24"/>
    </w:rPr>
  </w:style>
  <w:style w:type="paragraph" w:customStyle="1" w:styleId="109">
    <w:name w:val="表格题目"/>
    <w:basedOn w:val="1"/>
    <w:qFormat/>
    <w:uiPriority w:val="0"/>
    <w:pPr>
      <w:spacing w:line="240" w:lineRule="atLeast"/>
      <w:jc w:val="center"/>
    </w:pPr>
    <w:rPr>
      <w:rFonts w:ascii="黑体" w:hAnsi="宋体" w:eastAsia="黑体"/>
      <w:sz w:val="24"/>
    </w:rPr>
  </w:style>
  <w:style w:type="character" w:styleId="110">
    <w:name w:val="Placeholder Text"/>
    <w:basedOn w:val="29"/>
    <w:semiHidden/>
    <w:qFormat/>
    <w:uiPriority w:val="99"/>
    <w:rPr>
      <w:color w:val="808080"/>
    </w:rPr>
  </w:style>
  <w:style w:type="character" w:customStyle="1" w:styleId="111">
    <w:name w:val="正文文本缩进 2 字符"/>
    <w:basedOn w:val="29"/>
    <w:link w:val="13"/>
    <w:qFormat/>
    <w:uiPriority w:val="0"/>
    <w:rPr>
      <w:kern w:val="2"/>
      <w:sz w:val="21"/>
      <w:szCs w:val="24"/>
    </w:rPr>
  </w:style>
  <w:style w:type="paragraph" w:customStyle="1" w:styleId="112">
    <w:name w:val="表格报告书"/>
    <w:basedOn w:val="1"/>
    <w:next w:val="1"/>
    <w:qFormat/>
    <w:uiPriority w:val="0"/>
    <w:pPr>
      <w:widowControl/>
      <w:spacing w:before="20" w:after="100" w:afterAutospacing="1"/>
      <w:jc w:val="center"/>
    </w:pPr>
    <w:rPr>
      <w:szCs w:val="21"/>
    </w:rPr>
  </w:style>
  <w:style w:type="character" w:customStyle="1" w:styleId="113">
    <w:name w:val="标题 4 字符"/>
    <w:basedOn w:val="29"/>
    <w:link w:val="6"/>
    <w:semiHidden/>
    <w:qFormat/>
    <w:uiPriority w:val="0"/>
    <w:rPr>
      <w:rFonts w:asciiTheme="majorHAnsi" w:hAnsiTheme="majorHAnsi" w:eastAsiaTheme="majorEastAsia" w:cstheme="majorBidi"/>
      <w:b/>
      <w:bCs/>
      <w:kern w:val="2"/>
      <w:sz w:val="28"/>
      <w:szCs w:val="28"/>
    </w:rPr>
  </w:style>
  <w:style w:type="table" w:customStyle="1" w:styleId="114">
    <w:name w:val="Table Normal"/>
    <w:basedOn w:val="27"/>
    <w:qFormat/>
    <w:uiPriority w:val="0"/>
    <w:rPr>
      <w:rFonts w:eastAsia="Times New Roman"/>
    </w:rPr>
    <w:tblPr>
      <w:tblCellMar>
        <w:left w:w="0" w:type="dxa"/>
        <w:right w:w="0" w:type="dxa"/>
      </w:tblCellMar>
    </w:tblPr>
  </w:style>
  <w:style w:type="paragraph" w:styleId="115">
    <w:name w:val="List Paragraph"/>
    <w:basedOn w:val="1"/>
    <w:qFormat/>
    <w:uiPriority w:val="34"/>
    <w:pPr>
      <w:ind w:firstLine="420" w:firstLineChars="200"/>
    </w:pPr>
  </w:style>
  <w:style w:type="paragraph" w:customStyle="1" w:styleId="116">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17">
    <w:name w:val="font41"/>
    <w:basedOn w:val="29"/>
    <w:qFormat/>
    <w:uiPriority w:val="0"/>
    <w:rPr>
      <w:rFonts w:hint="default" w:ascii="Times New Roman" w:hAnsi="Times New Roman" w:cs="Times New Roman"/>
      <w:b/>
      <w:bCs/>
      <w:color w:val="000000"/>
      <w:sz w:val="18"/>
      <w:szCs w:val="18"/>
      <w:u w:val="none"/>
      <w:vertAlign w:val="subscript"/>
    </w:rPr>
  </w:style>
  <w:style w:type="character" w:customStyle="1" w:styleId="118">
    <w:name w:val="font61"/>
    <w:basedOn w:val="29"/>
    <w:qFormat/>
    <w:uiPriority w:val="0"/>
    <w:rPr>
      <w:rFonts w:hint="default" w:ascii="Times New Roman" w:hAnsi="Times New Roman" w:cs="Times New Roman"/>
      <w:b/>
      <w:bCs/>
      <w:color w:val="000000"/>
      <w:sz w:val="21"/>
      <w:szCs w:val="21"/>
      <w:u w:val="none"/>
    </w:rPr>
  </w:style>
  <w:style w:type="character" w:customStyle="1" w:styleId="119">
    <w:name w:val="font21"/>
    <w:basedOn w:val="29"/>
    <w:qFormat/>
    <w:uiPriority w:val="0"/>
    <w:rPr>
      <w:rFonts w:hint="default" w:ascii="Times New Roman" w:hAnsi="Times New Roman" w:cs="Times New Roman"/>
      <w:color w:val="000000"/>
      <w:sz w:val="21"/>
      <w:szCs w:val="21"/>
      <w:u w:val="none"/>
    </w:rPr>
  </w:style>
  <w:style w:type="character" w:customStyle="1" w:styleId="120">
    <w:name w:val="font31"/>
    <w:basedOn w:val="29"/>
    <w:qFormat/>
    <w:uiPriority w:val="0"/>
    <w:rPr>
      <w:rFonts w:hint="eastAsia" w:ascii="宋体" w:hAnsi="宋体" w:eastAsia="宋体" w:cs="宋体"/>
      <w:color w:val="000000"/>
      <w:sz w:val="21"/>
      <w:szCs w:val="21"/>
      <w:u w:val="none"/>
    </w:rPr>
  </w:style>
  <w:style w:type="character" w:customStyle="1" w:styleId="121">
    <w:name w:val="font71"/>
    <w:basedOn w:val="29"/>
    <w:qFormat/>
    <w:uiPriority w:val="0"/>
    <w:rPr>
      <w:rFonts w:hint="default" w:ascii="Times New Roman" w:hAnsi="Times New Roman" w:cs="Times New Roman"/>
      <w:b/>
      <w:b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3.xml"/><Relationship Id="rId40" Type="http://schemas.openxmlformats.org/officeDocument/2006/relationships/fontTable" Target="fontTable.xml"/><Relationship Id="rId4" Type="http://schemas.openxmlformats.org/officeDocument/2006/relationships/footer" Target="footer2.xml"/><Relationship Id="rId39" Type="http://schemas.openxmlformats.org/officeDocument/2006/relationships/customXml" Target="../customXml/item3.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image" Target="media/image14.png"/><Relationship Id="rId31" Type="http://schemas.openxmlformats.org/officeDocument/2006/relationships/image" Target="media/image13.emf"/><Relationship Id="rId30" Type="http://schemas.openxmlformats.org/officeDocument/2006/relationships/oleObject" Target="embeddings/oleObject12.bin"/><Relationship Id="rId3" Type="http://schemas.openxmlformats.org/officeDocument/2006/relationships/footer" Target="footer1.xml"/><Relationship Id="rId29" Type="http://schemas.openxmlformats.org/officeDocument/2006/relationships/image" Target="media/image12.png"/><Relationship Id="rId28" Type="http://schemas.openxmlformats.org/officeDocument/2006/relationships/image" Target="media/image11.emf"/><Relationship Id="rId27" Type="http://schemas.openxmlformats.org/officeDocument/2006/relationships/oleObject" Target="embeddings/oleObject11.bin"/><Relationship Id="rId26" Type="http://schemas.openxmlformats.org/officeDocument/2006/relationships/image" Target="media/image10.emf"/><Relationship Id="rId25" Type="http://schemas.openxmlformats.org/officeDocument/2006/relationships/oleObject" Target="embeddings/oleObject10.bin"/><Relationship Id="rId24" Type="http://schemas.openxmlformats.org/officeDocument/2006/relationships/image" Target="media/image9.emf"/><Relationship Id="rId23" Type="http://schemas.openxmlformats.org/officeDocument/2006/relationships/oleObject" Target="embeddings/oleObject9.bin"/><Relationship Id="rId22" Type="http://schemas.openxmlformats.org/officeDocument/2006/relationships/image" Target="media/image8.emf"/><Relationship Id="rId21" Type="http://schemas.openxmlformats.org/officeDocument/2006/relationships/oleObject" Target="embeddings/oleObject8.bin"/><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4">
            <a:lumMod val="40000"/>
            <a:lumOff val="60000"/>
            <a:alpha val="43000"/>
          </a:schemeClr>
        </a:solidFill>
      </a:spPr>
      <a:bodyPr/>
      <a:lstStyle/>
      <a:style>
        <a:lnRef idx="2">
          <a:schemeClr val="accent1">
            <a:lumMod val="75000"/>
          </a:schemeClr>
        </a:lnRef>
        <a:fillRef idx="1">
          <a:schemeClr val="accent1"/>
        </a:fillRef>
        <a:effectRef idx="0">
          <a:srgbClr val="FFFFFF"/>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D399FF-2EBB-439F-8BBC-2B1E1972488F}">
  <ds:schemaRefs/>
</ds:datastoreItem>
</file>

<file path=customXml/itemProps3.xml><?xml version="1.0" encoding="utf-8"?>
<ds:datastoreItem xmlns:ds="http://schemas.openxmlformats.org/officeDocument/2006/customXml" ds:itemID="{188deb1a-6ba9-4dd0-aa61-0f40bba849ab}">
  <ds:schemaRefs/>
</ds:datastoreItem>
</file>

<file path=docProps/app.xml><?xml version="1.0" encoding="utf-8"?>
<Properties xmlns="http://schemas.openxmlformats.org/officeDocument/2006/extended-properties" xmlns:vt="http://schemas.openxmlformats.org/officeDocument/2006/docPropsVTypes">
  <Template>wdzx97.dot</Template>
  <Company>1232</Company>
  <Pages>200</Pages>
  <Words>559</Words>
  <Characters>666</Characters>
  <Lines>563</Lines>
  <Paragraphs>158</Paragraphs>
  <TotalTime>5</TotalTime>
  <ScaleCrop>false</ScaleCrop>
  <LinksUpToDate>false</LinksUpToDate>
  <CharactersWithSpaces>770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2021-12-21T07:05:00Z</dcterms:created>
  <dc:creator>lhj</dc:creator>
  <cp:lastModifiedBy>Administrator</cp:lastModifiedBy>
  <cp:lastPrinted>2022-05-30T08:49:00Z</cp:lastPrinted>
  <dcterms:modified xsi:type="dcterms:W3CDTF">2026-09-09T03:24:57Z</dcterms:modified>
  <dc:title>附件2</dc:title>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KSOTemplateDocerSaveRecord">
    <vt:lpwstr>eyJoZGlkIjoiM2U4MzE3YTU5MjcxMmQ2YTI0YjdlZDUwMjdlYmIyZDUiLCJ1c2VySWQiOiI1NDc4MDM4NTEifQ==</vt:lpwstr>
  </property>
  <property fmtid="{D5CDD505-2E9C-101B-9397-08002B2CF9AE}" pid="4" name="ICV">
    <vt:lpwstr>45631BBDAB014524A2027FF8833AD437</vt:lpwstr>
  </property>
</Properties>
</file>